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riekatabuky"/>
        <w:tblW w:w="0" w:type="auto"/>
        <w:tblLook w:val="04A0" w:firstRow="1" w:lastRow="0" w:firstColumn="1" w:lastColumn="0" w:noHBand="0" w:noVBand="1"/>
      </w:tblPr>
      <w:tblGrid>
        <w:gridCol w:w="9060"/>
      </w:tblGrid>
      <w:tr w:rsidR="009A0E9D" w:rsidRPr="0067300D" w:rsidTr="00725AAA">
        <w:trPr>
          <w:trHeight w:val="567"/>
        </w:trPr>
        <w:tc>
          <w:tcPr>
            <w:tcW w:w="9060" w:type="dxa"/>
            <w:shd w:val="clear" w:color="auto" w:fill="D9D9D9" w:themeFill="background1" w:themeFillShade="D9"/>
          </w:tcPr>
          <w:p w:rsidR="009A0E9D" w:rsidRPr="0067300D" w:rsidRDefault="009A0E9D" w:rsidP="00725AAA">
            <w:pPr>
              <w:jc w:val="center"/>
              <w:rPr>
                <w:b/>
                <w:sz w:val="24"/>
                <w:szCs w:val="24"/>
              </w:rPr>
            </w:pPr>
            <w:r w:rsidRPr="0067300D">
              <w:rPr>
                <w:b/>
                <w:sz w:val="24"/>
                <w:szCs w:val="24"/>
              </w:rPr>
              <w:t xml:space="preserve">Analýza vplyvov na podnikateľské prostredie </w:t>
            </w:r>
          </w:p>
          <w:p w:rsidR="009A0E9D" w:rsidRPr="0067300D" w:rsidRDefault="009A0E9D" w:rsidP="00725AAA">
            <w:pPr>
              <w:jc w:val="center"/>
              <w:rPr>
                <w:b/>
                <w:sz w:val="24"/>
                <w:szCs w:val="24"/>
              </w:rPr>
            </w:pPr>
            <w:r w:rsidRPr="0067300D">
              <w:rPr>
                <w:b/>
                <w:sz w:val="24"/>
                <w:szCs w:val="24"/>
              </w:rPr>
              <w:t>(vrátane testu MSP)</w:t>
            </w:r>
          </w:p>
        </w:tc>
      </w:tr>
      <w:tr w:rsidR="009A0E9D" w:rsidRPr="0067300D" w:rsidTr="00725AAA">
        <w:trPr>
          <w:trHeight w:val="567"/>
        </w:trPr>
        <w:tc>
          <w:tcPr>
            <w:tcW w:w="9060" w:type="dxa"/>
            <w:shd w:val="clear" w:color="auto" w:fill="D9D9D9" w:themeFill="background1" w:themeFillShade="D9"/>
          </w:tcPr>
          <w:p w:rsidR="009A0E9D" w:rsidRPr="0067300D" w:rsidRDefault="009A0E9D" w:rsidP="00725AAA">
            <w:pPr>
              <w:rPr>
                <w:b/>
                <w:sz w:val="24"/>
                <w:szCs w:val="24"/>
              </w:rPr>
            </w:pPr>
            <w:r w:rsidRPr="0067300D">
              <w:rPr>
                <w:b/>
                <w:sz w:val="24"/>
                <w:szCs w:val="24"/>
              </w:rPr>
              <w:t>Materiál bude mať vplyv s ohľadom na veľkostnú kategóriu podnikov:</w:t>
            </w:r>
          </w:p>
        </w:tc>
      </w:tr>
      <w:tr w:rsidR="009A0E9D" w:rsidRPr="0067300D" w:rsidTr="00725AAA">
        <w:trPr>
          <w:trHeight w:val="567"/>
        </w:trPr>
        <w:tc>
          <w:tcPr>
            <w:tcW w:w="9060"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9A0E9D" w:rsidRPr="0067300D" w:rsidTr="00725AAA">
              <w:tc>
                <w:tcPr>
                  <w:tcW w:w="436" w:type="dxa"/>
                  <w:tcBorders>
                    <w:top w:val="nil"/>
                    <w:left w:val="nil"/>
                    <w:bottom w:val="nil"/>
                    <w:right w:val="nil"/>
                  </w:tcBorders>
                </w:tcPr>
                <w:p w:rsidR="009A0E9D" w:rsidRPr="0067300D" w:rsidRDefault="009A0E9D" w:rsidP="00725AAA">
                  <w:pPr>
                    <w:jc w:val="center"/>
                    <w:rPr>
                      <w:sz w:val="24"/>
                      <w:szCs w:val="24"/>
                    </w:rPr>
                  </w:pPr>
                  <w:r w:rsidRPr="0067300D">
                    <w:rPr>
                      <w:rFonts w:eastAsia="MS Mincho" w:hAnsi="Segoe UI Symbol"/>
                      <w:sz w:val="24"/>
                      <w:szCs w:val="24"/>
                    </w:rPr>
                    <w:t>☐</w:t>
                  </w:r>
                </w:p>
              </w:tc>
              <w:tc>
                <w:tcPr>
                  <w:tcW w:w="8545" w:type="dxa"/>
                  <w:tcBorders>
                    <w:top w:val="nil"/>
                    <w:left w:val="nil"/>
                    <w:bottom w:val="nil"/>
                    <w:right w:val="nil"/>
                  </w:tcBorders>
                </w:tcPr>
                <w:p w:rsidR="009A0E9D" w:rsidRPr="0067300D" w:rsidRDefault="009A0E9D" w:rsidP="00725AAA">
                  <w:pPr>
                    <w:rPr>
                      <w:b/>
                      <w:sz w:val="24"/>
                      <w:szCs w:val="24"/>
                    </w:rPr>
                  </w:pPr>
                  <w:r w:rsidRPr="0067300D">
                    <w:rPr>
                      <w:b/>
                      <w:sz w:val="24"/>
                      <w:szCs w:val="24"/>
                    </w:rPr>
                    <w:t xml:space="preserve">iba na MSP (0 - 249 zamestnancov) </w:t>
                  </w:r>
                </w:p>
              </w:tc>
            </w:tr>
            <w:tr w:rsidR="009A0E9D" w:rsidRPr="0067300D" w:rsidTr="00725AAA">
              <w:tc>
                <w:tcPr>
                  <w:tcW w:w="436" w:type="dxa"/>
                  <w:tcBorders>
                    <w:top w:val="nil"/>
                    <w:left w:val="nil"/>
                    <w:bottom w:val="nil"/>
                    <w:right w:val="nil"/>
                  </w:tcBorders>
                </w:tcPr>
                <w:p w:rsidR="009A0E9D" w:rsidRPr="0067300D" w:rsidRDefault="009A0E9D" w:rsidP="00725AAA">
                  <w:pPr>
                    <w:jc w:val="center"/>
                    <w:rPr>
                      <w:sz w:val="24"/>
                      <w:szCs w:val="24"/>
                    </w:rPr>
                  </w:pPr>
                  <w:r w:rsidRPr="0067300D">
                    <w:rPr>
                      <w:rFonts w:eastAsia="MS Mincho" w:hAnsi="Segoe UI Symbol"/>
                      <w:sz w:val="24"/>
                      <w:szCs w:val="24"/>
                    </w:rPr>
                    <w:t>☐</w:t>
                  </w:r>
                </w:p>
              </w:tc>
              <w:tc>
                <w:tcPr>
                  <w:tcW w:w="8545" w:type="dxa"/>
                  <w:tcBorders>
                    <w:top w:val="nil"/>
                    <w:left w:val="nil"/>
                    <w:bottom w:val="nil"/>
                    <w:right w:val="nil"/>
                  </w:tcBorders>
                </w:tcPr>
                <w:p w:rsidR="009A0E9D" w:rsidRPr="0067300D" w:rsidRDefault="009A0E9D" w:rsidP="00725AAA">
                  <w:pPr>
                    <w:rPr>
                      <w:b/>
                      <w:sz w:val="24"/>
                      <w:szCs w:val="24"/>
                    </w:rPr>
                  </w:pPr>
                  <w:r w:rsidRPr="0067300D">
                    <w:rPr>
                      <w:b/>
                      <w:sz w:val="24"/>
                      <w:szCs w:val="24"/>
                    </w:rPr>
                    <w:t>iba na veľké podniky (250 a viac zamestnancov)</w:t>
                  </w:r>
                </w:p>
              </w:tc>
            </w:tr>
            <w:tr w:rsidR="009A0E9D" w:rsidRPr="0067300D" w:rsidTr="00725AAA">
              <w:tc>
                <w:tcPr>
                  <w:tcW w:w="436" w:type="dxa"/>
                  <w:tcBorders>
                    <w:top w:val="nil"/>
                    <w:left w:val="nil"/>
                    <w:bottom w:val="nil"/>
                    <w:right w:val="nil"/>
                  </w:tcBorders>
                </w:tcPr>
                <w:p w:rsidR="009A0E9D" w:rsidRPr="0067300D" w:rsidRDefault="009A0E9D" w:rsidP="00725AAA">
                  <w:pPr>
                    <w:jc w:val="center"/>
                    <w:rPr>
                      <w:sz w:val="24"/>
                      <w:szCs w:val="24"/>
                    </w:rPr>
                  </w:pPr>
                  <w:r w:rsidRPr="0067300D">
                    <w:rPr>
                      <w:rFonts w:eastAsia="MS Gothic" w:hAnsi="Segoe UI Symbol"/>
                      <w:sz w:val="24"/>
                      <w:szCs w:val="24"/>
                    </w:rPr>
                    <w:t>☒</w:t>
                  </w:r>
                </w:p>
              </w:tc>
              <w:tc>
                <w:tcPr>
                  <w:tcW w:w="8545" w:type="dxa"/>
                  <w:tcBorders>
                    <w:top w:val="nil"/>
                    <w:left w:val="nil"/>
                    <w:bottom w:val="nil"/>
                    <w:right w:val="nil"/>
                  </w:tcBorders>
                </w:tcPr>
                <w:p w:rsidR="009A0E9D" w:rsidRPr="0067300D" w:rsidRDefault="009A0E9D" w:rsidP="00725AAA">
                  <w:pPr>
                    <w:rPr>
                      <w:sz w:val="24"/>
                      <w:szCs w:val="24"/>
                    </w:rPr>
                  </w:pPr>
                  <w:r w:rsidRPr="0067300D">
                    <w:rPr>
                      <w:b/>
                      <w:sz w:val="24"/>
                      <w:szCs w:val="24"/>
                    </w:rPr>
                    <w:t>na všetky kategórie podnikov</w:t>
                  </w:r>
                </w:p>
              </w:tc>
            </w:tr>
          </w:tbl>
          <w:p w:rsidR="009A0E9D" w:rsidRPr="0067300D" w:rsidRDefault="009A0E9D" w:rsidP="00725AAA">
            <w:pPr>
              <w:rPr>
                <w:b/>
                <w:sz w:val="24"/>
                <w:szCs w:val="24"/>
              </w:rPr>
            </w:pPr>
          </w:p>
        </w:tc>
      </w:tr>
      <w:tr w:rsidR="009A0E9D" w:rsidRPr="0067300D" w:rsidTr="00725AAA">
        <w:tc>
          <w:tcPr>
            <w:tcW w:w="9060" w:type="dxa"/>
            <w:shd w:val="clear" w:color="auto" w:fill="D9D9D9" w:themeFill="background1" w:themeFillShade="D9"/>
          </w:tcPr>
          <w:p w:rsidR="009A0E9D" w:rsidRPr="0067300D" w:rsidRDefault="009A0E9D" w:rsidP="00725AAA">
            <w:pPr>
              <w:rPr>
                <w:b/>
                <w:sz w:val="24"/>
                <w:szCs w:val="24"/>
              </w:rPr>
            </w:pPr>
            <w:r w:rsidRPr="0067300D">
              <w:rPr>
                <w:b/>
                <w:sz w:val="24"/>
                <w:szCs w:val="24"/>
              </w:rPr>
              <w:t>3.1 Dotknuté podnikateľské subjekty</w:t>
            </w:r>
          </w:p>
          <w:p w:rsidR="009A0E9D" w:rsidRPr="0067300D" w:rsidRDefault="009A0E9D" w:rsidP="00725AAA">
            <w:pPr>
              <w:ind w:left="284"/>
              <w:rPr>
                <w:b/>
                <w:sz w:val="24"/>
                <w:szCs w:val="24"/>
              </w:rPr>
            </w:pPr>
            <w:r w:rsidRPr="0067300D">
              <w:rPr>
                <w:sz w:val="24"/>
                <w:szCs w:val="24"/>
              </w:rPr>
              <w:t xml:space="preserve"> - </w:t>
            </w:r>
            <w:r w:rsidRPr="0067300D">
              <w:rPr>
                <w:b/>
                <w:sz w:val="24"/>
                <w:szCs w:val="24"/>
              </w:rPr>
              <w:t>z toho MSP</w:t>
            </w:r>
          </w:p>
        </w:tc>
      </w:tr>
      <w:tr w:rsidR="009A0E9D" w:rsidRPr="0067300D" w:rsidTr="00725AAA">
        <w:tc>
          <w:tcPr>
            <w:tcW w:w="9060" w:type="dxa"/>
          </w:tcPr>
          <w:p w:rsidR="009A0E9D" w:rsidRPr="0067300D" w:rsidRDefault="009A0E9D" w:rsidP="00B322CA">
            <w:pPr>
              <w:jc w:val="both"/>
              <w:rPr>
                <w:i/>
                <w:sz w:val="24"/>
                <w:szCs w:val="24"/>
              </w:rPr>
            </w:pPr>
            <w:bookmarkStart w:id="0" w:name="_GoBack"/>
            <w:r w:rsidRPr="0067300D">
              <w:rPr>
                <w:i/>
                <w:sz w:val="24"/>
                <w:szCs w:val="24"/>
              </w:rPr>
              <w:t>Uveďte, aké podnikateľské subjekty budú predkladaným návrhom ovplyvnené. Aký je ich počet?</w:t>
            </w:r>
            <w:bookmarkEnd w:id="0"/>
          </w:p>
        </w:tc>
      </w:tr>
      <w:tr w:rsidR="009A0E9D" w:rsidRPr="0067300D" w:rsidTr="00725AAA">
        <w:trPr>
          <w:trHeight w:val="794"/>
        </w:trPr>
        <w:tc>
          <w:tcPr>
            <w:tcW w:w="9060" w:type="dxa"/>
            <w:vAlign w:val="center"/>
          </w:tcPr>
          <w:p w:rsidR="009A0E9D" w:rsidRPr="0067300D" w:rsidRDefault="009A0E9D" w:rsidP="00725AAA">
            <w:pPr>
              <w:jc w:val="both"/>
              <w:rPr>
                <w:sz w:val="24"/>
                <w:szCs w:val="24"/>
              </w:rPr>
            </w:pPr>
            <w:r w:rsidRPr="0067300D">
              <w:rPr>
                <w:sz w:val="24"/>
                <w:szCs w:val="24"/>
              </w:rPr>
              <w:t xml:space="preserve">Ustanovenia návrhu zákona, ktorými sa mení a dopĺňa zákon č. 222/2004 Z. z. o dani z pridanej hodnoty v znení neskorších predpisov, sa dotknú platiteľov dane z pridanej hodnoty, ktorí vykonávajú </w:t>
            </w:r>
            <w:proofErr w:type="spellStart"/>
            <w:r w:rsidRPr="0067300D">
              <w:rPr>
                <w:sz w:val="24"/>
                <w:szCs w:val="24"/>
              </w:rPr>
              <w:t>intrakomunitárne</w:t>
            </w:r>
            <w:proofErr w:type="spellEnd"/>
            <w:r w:rsidRPr="0067300D">
              <w:rPr>
                <w:sz w:val="24"/>
                <w:szCs w:val="24"/>
              </w:rPr>
              <w:t xml:space="preserve"> transakcie a obchody v tovarom v rámci tzv. </w:t>
            </w:r>
            <w:proofErr w:type="spellStart"/>
            <w:r w:rsidRPr="0067300D">
              <w:rPr>
                <w:sz w:val="24"/>
                <w:szCs w:val="24"/>
              </w:rPr>
              <w:t>call-off</w:t>
            </w:r>
            <w:proofErr w:type="spellEnd"/>
            <w:r w:rsidR="009A154D">
              <w:rPr>
                <w:sz w:val="24"/>
                <w:szCs w:val="24"/>
              </w:rPr>
              <w:t xml:space="preserve"> </w:t>
            </w:r>
            <w:proofErr w:type="spellStart"/>
            <w:r w:rsidRPr="0067300D">
              <w:rPr>
                <w:sz w:val="24"/>
                <w:szCs w:val="24"/>
              </w:rPr>
              <w:t>stock</w:t>
            </w:r>
            <w:proofErr w:type="spellEnd"/>
            <w:r w:rsidRPr="0067300D">
              <w:rPr>
                <w:sz w:val="24"/>
                <w:szCs w:val="24"/>
              </w:rPr>
              <w:t xml:space="preserve"> úpravy, ako aj tých</w:t>
            </w:r>
            <w:r w:rsidR="00B322CA">
              <w:rPr>
                <w:sz w:val="24"/>
                <w:szCs w:val="24"/>
              </w:rPr>
              <w:t xml:space="preserve"> zdaniteľných osôb, ktoré</w:t>
            </w:r>
            <w:r w:rsidRPr="0067300D">
              <w:rPr>
                <w:sz w:val="24"/>
                <w:szCs w:val="24"/>
              </w:rPr>
              <w:t xml:space="preserve"> obchodujú s uskladnenou surovou ropou, motorovou naftou a benzínom.  </w:t>
            </w:r>
          </w:p>
          <w:p w:rsidR="009A0E9D" w:rsidRPr="0067300D" w:rsidRDefault="009A0E9D" w:rsidP="00725AAA">
            <w:pPr>
              <w:pStyle w:val="Bezriadkovania"/>
              <w:jc w:val="both"/>
              <w:rPr>
                <w:rFonts w:ascii="Times New Roman" w:hAnsi="Times New Roman"/>
                <w:color w:val="FF0000"/>
                <w:sz w:val="24"/>
                <w:szCs w:val="24"/>
                <w:lang w:eastAsia="sk-SK"/>
              </w:rPr>
            </w:pPr>
          </w:p>
          <w:p w:rsidR="009A0E9D" w:rsidRPr="0067300D" w:rsidRDefault="009A0E9D" w:rsidP="00725AAA">
            <w:pPr>
              <w:pStyle w:val="Bezriadkovania"/>
              <w:jc w:val="both"/>
              <w:rPr>
                <w:rFonts w:ascii="Times New Roman" w:hAnsi="Times New Roman"/>
                <w:sz w:val="24"/>
                <w:szCs w:val="24"/>
              </w:rPr>
            </w:pPr>
            <w:r w:rsidRPr="0067300D">
              <w:rPr>
                <w:rFonts w:ascii="Times New Roman" w:hAnsi="Times New Roman"/>
                <w:sz w:val="24"/>
                <w:szCs w:val="24"/>
              </w:rPr>
              <w:t xml:space="preserve">Zmenami a doplnením zákona o DPH dôjde k úprave existujúcich a vytvoreniu nových zákonných pravidiel upravujúcich cezhraničné dodanie tovaru medzi podnikmi v rámci EÚ za účelom dosiahnutia harmonizovaných pravidiel v EÚ v tejto oblasti. </w:t>
            </w:r>
          </w:p>
          <w:p w:rsidR="009A0E9D" w:rsidRPr="0067300D" w:rsidRDefault="009A0E9D" w:rsidP="00725AAA">
            <w:pPr>
              <w:pStyle w:val="Bezriadkovania"/>
              <w:jc w:val="both"/>
              <w:rPr>
                <w:rFonts w:ascii="Times New Roman" w:hAnsi="Times New Roman"/>
                <w:sz w:val="24"/>
                <w:szCs w:val="24"/>
              </w:rPr>
            </w:pPr>
            <w:r w:rsidRPr="0067300D">
              <w:rPr>
                <w:rFonts w:ascii="Times New Roman" w:hAnsi="Times New Roman"/>
                <w:sz w:val="24"/>
                <w:szCs w:val="24"/>
              </w:rPr>
              <w:t xml:space="preserve">Smernicou </w:t>
            </w:r>
            <w:r>
              <w:rPr>
                <w:rFonts w:ascii="Times New Roman" w:hAnsi="Times New Roman"/>
                <w:sz w:val="24"/>
                <w:szCs w:val="24"/>
              </w:rPr>
              <w:t xml:space="preserve">Rady (EÚ) </w:t>
            </w:r>
            <w:r w:rsidRPr="0067300D">
              <w:rPr>
                <w:rFonts w:ascii="Times New Roman" w:hAnsi="Times New Roman"/>
                <w:sz w:val="24"/>
                <w:szCs w:val="24"/>
              </w:rPr>
              <w:t xml:space="preserve">2018/1910 sa zavádzajú spoločné pravidlá spočívajúce  </w:t>
            </w:r>
          </w:p>
          <w:p w:rsidR="009A0E9D" w:rsidRPr="0067300D" w:rsidRDefault="009A0E9D" w:rsidP="00725AAA">
            <w:pPr>
              <w:pStyle w:val="Bezriadkovania"/>
              <w:jc w:val="both"/>
              <w:rPr>
                <w:rFonts w:ascii="Times New Roman" w:hAnsi="Times New Roman"/>
                <w:sz w:val="24"/>
                <w:szCs w:val="24"/>
              </w:rPr>
            </w:pPr>
            <w:r w:rsidRPr="0067300D">
              <w:rPr>
                <w:rFonts w:ascii="Times New Roman" w:hAnsi="Times New Roman"/>
                <w:sz w:val="24"/>
                <w:szCs w:val="24"/>
              </w:rPr>
              <w:t xml:space="preserve">- </w:t>
            </w:r>
            <w:r w:rsidR="00B322CA">
              <w:rPr>
                <w:rFonts w:ascii="Times New Roman" w:hAnsi="Times New Roman"/>
                <w:sz w:val="24"/>
                <w:szCs w:val="24"/>
              </w:rPr>
              <w:t xml:space="preserve">v </w:t>
            </w:r>
            <w:r w:rsidRPr="0067300D">
              <w:rPr>
                <w:rFonts w:ascii="Times New Roman" w:hAnsi="Times New Roman"/>
                <w:sz w:val="24"/>
                <w:szCs w:val="24"/>
              </w:rPr>
              <w:t xml:space="preserve">uľahčení cezhraničného obchodovania s tovarom v rámci tzv. </w:t>
            </w:r>
            <w:proofErr w:type="spellStart"/>
            <w:r w:rsidRPr="0067300D">
              <w:rPr>
                <w:rFonts w:ascii="Times New Roman" w:hAnsi="Times New Roman"/>
                <w:sz w:val="24"/>
                <w:szCs w:val="24"/>
              </w:rPr>
              <w:t>call-off</w:t>
            </w:r>
            <w:proofErr w:type="spellEnd"/>
            <w:r>
              <w:rPr>
                <w:rFonts w:ascii="Times New Roman" w:hAnsi="Times New Roman"/>
                <w:sz w:val="24"/>
                <w:szCs w:val="24"/>
              </w:rPr>
              <w:t xml:space="preserve"> </w:t>
            </w:r>
            <w:proofErr w:type="spellStart"/>
            <w:r w:rsidRPr="0067300D">
              <w:rPr>
                <w:rFonts w:ascii="Times New Roman" w:hAnsi="Times New Roman"/>
                <w:sz w:val="24"/>
                <w:szCs w:val="24"/>
              </w:rPr>
              <w:t>stock</w:t>
            </w:r>
            <w:proofErr w:type="spellEnd"/>
            <w:r w:rsidRPr="0067300D">
              <w:rPr>
                <w:rFonts w:ascii="Times New Roman" w:hAnsi="Times New Roman"/>
                <w:sz w:val="24"/>
                <w:szCs w:val="24"/>
              </w:rPr>
              <w:t xml:space="preserve"> úpravy, </w:t>
            </w:r>
          </w:p>
          <w:p w:rsidR="009A0E9D" w:rsidRPr="0067300D" w:rsidRDefault="009A0E9D" w:rsidP="00725AAA">
            <w:pPr>
              <w:pStyle w:val="Bezriadkovania"/>
              <w:jc w:val="both"/>
              <w:rPr>
                <w:rFonts w:ascii="Times New Roman" w:hAnsi="Times New Roman"/>
                <w:sz w:val="24"/>
                <w:szCs w:val="24"/>
              </w:rPr>
            </w:pPr>
            <w:r w:rsidRPr="0067300D">
              <w:rPr>
                <w:rFonts w:ascii="Times New Roman" w:hAnsi="Times New Roman"/>
                <w:sz w:val="24"/>
                <w:szCs w:val="24"/>
              </w:rPr>
              <w:t>-</w:t>
            </w:r>
            <w:r w:rsidR="00B322CA">
              <w:rPr>
                <w:rFonts w:ascii="Times New Roman" w:hAnsi="Times New Roman"/>
                <w:sz w:val="24"/>
                <w:szCs w:val="24"/>
              </w:rPr>
              <w:t xml:space="preserve"> v</w:t>
            </w:r>
            <w:r w:rsidRPr="0067300D">
              <w:rPr>
                <w:rFonts w:ascii="Times New Roman" w:hAnsi="Times New Roman"/>
                <w:sz w:val="24"/>
                <w:szCs w:val="24"/>
              </w:rPr>
              <w:t xml:space="preserve"> určení miesta dodania tovaru s prepravou uskutočňovanou tzv. </w:t>
            </w:r>
            <w:proofErr w:type="spellStart"/>
            <w:r w:rsidRPr="0067300D">
              <w:rPr>
                <w:rFonts w:ascii="Times New Roman" w:hAnsi="Times New Roman"/>
                <w:sz w:val="24"/>
                <w:szCs w:val="24"/>
              </w:rPr>
              <w:t>sprostredkujúcim</w:t>
            </w:r>
            <w:proofErr w:type="spellEnd"/>
            <w:r w:rsidRPr="0067300D">
              <w:rPr>
                <w:rFonts w:ascii="Times New Roman" w:hAnsi="Times New Roman"/>
                <w:sz w:val="24"/>
                <w:szCs w:val="24"/>
              </w:rPr>
              <w:t xml:space="preserve"> </w:t>
            </w:r>
            <w:r w:rsidR="00B322CA">
              <w:rPr>
                <w:rFonts w:ascii="Times New Roman" w:hAnsi="Times New Roman"/>
                <w:sz w:val="24"/>
                <w:szCs w:val="24"/>
              </w:rPr>
              <w:t>subjektom alebo na jeho účet</w:t>
            </w:r>
            <w:r w:rsidRPr="0067300D">
              <w:rPr>
                <w:rFonts w:ascii="Times New Roman" w:hAnsi="Times New Roman"/>
                <w:sz w:val="24"/>
                <w:szCs w:val="24"/>
              </w:rPr>
              <w:t xml:space="preserve"> v  tzv. reťazových transakciách v rámci EÚ,</w:t>
            </w:r>
          </w:p>
          <w:p w:rsidR="009A0E9D" w:rsidRPr="0067300D" w:rsidRDefault="00B322CA" w:rsidP="00725AAA">
            <w:pPr>
              <w:pStyle w:val="Bezriadkovania"/>
              <w:jc w:val="both"/>
              <w:rPr>
                <w:rFonts w:ascii="Times New Roman" w:hAnsi="Times New Roman"/>
                <w:sz w:val="24"/>
                <w:szCs w:val="24"/>
              </w:rPr>
            </w:pPr>
            <w:r>
              <w:rPr>
                <w:rFonts w:ascii="Times New Roman" w:hAnsi="Times New Roman"/>
                <w:sz w:val="24"/>
                <w:szCs w:val="24"/>
              </w:rPr>
              <w:t>- v</w:t>
            </w:r>
            <w:r w:rsidR="009A0E9D" w:rsidRPr="0067300D">
              <w:rPr>
                <w:rFonts w:ascii="Times New Roman" w:hAnsi="Times New Roman"/>
                <w:sz w:val="24"/>
                <w:szCs w:val="24"/>
              </w:rPr>
              <w:t xml:space="preserve"> doplnení, že identifikačné číslo pre DPH nadobúdateľa tovaru pridelené iným členským štátom ako je členský štát začatia prepravy tovaru predstavuje hmotnoprávnu podmienku pre oslobodenie dodania tovaru do iného členského štátu.</w:t>
            </w:r>
          </w:p>
          <w:p w:rsidR="009A0E9D" w:rsidRPr="0067300D" w:rsidRDefault="00B322CA" w:rsidP="00725AAA">
            <w:pPr>
              <w:pStyle w:val="Bezriadkovania"/>
              <w:jc w:val="both"/>
              <w:rPr>
                <w:rFonts w:ascii="Times New Roman" w:hAnsi="Times New Roman"/>
                <w:sz w:val="24"/>
                <w:szCs w:val="24"/>
              </w:rPr>
            </w:pPr>
            <w:r>
              <w:rPr>
                <w:rFonts w:ascii="Times New Roman" w:hAnsi="Times New Roman"/>
                <w:sz w:val="24"/>
                <w:szCs w:val="24"/>
              </w:rPr>
              <w:t>Súčasne</w:t>
            </w:r>
            <w:r w:rsidR="009A0E9D" w:rsidRPr="0067300D">
              <w:rPr>
                <w:rFonts w:ascii="Times New Roman" w:hAnsi="Times New Roman"/>
                <w:sz w:val="24"/>
                <w:szCs w:val="24"/>
              </w:rPr>
              <w:t xml:space="preserve"> </w:t>
            </w:r>
            <w:r>
              <w:rPr>
                <w:rFonts w:ascii="Times New Roman" w:hAnsi="Times New Roman"/>
                <w:sz w:val="24"/>
                <w:szCs w:val="24"/>
              </w:rPr>
              <w:t>s účinnosťou od 1. januára 2020</w:t>
            </w:r>
            <w:r w:rsidR="009A0E9D" w:rsidRPr="0067300D">
              <w:rPr>
                <w:rFonts w:ascii="Times New Roman" w:hAnsi="Times New Roman"/>
                <w:sz w:val="24"/>
                <w:szCs w:val="24"/>
              </w:rPr>
              <w:t xml:space="preserve"> dochádza k zavedeniu jednotnej úpravy v EÚ v oblasti preukazovania uskutočnenia prepravy tovaru do iného členského štátu EÚ prostredníctvom nového článku 45a vykonávacieho nariadenia Rady (EÚ) 2018/1912. </w:t>
            </w:r>
          </w:p>
          <w:p w:rsidR="009A0E9D" w:rsidRPr="0067300D" w:rsidRDefault="009A0E9D" w:rsidP="00725AAA">
            <w:pPr>
              <w:jc w:val="both"/>
              <w:rPr>
                <w:sz w:val="24"/>
                <w:szCs w:val="24"/>
              </w:rPr>
            </w:pPr>
          </w:p>
          <w:p w:rsidR="009A0E9D" w:rsidRPr="0067300D" w:rsidRDefault="009A0E9D" w:rsidP="00725AAA">
            <w:pPr>
              <w:jc w:val="both"/>
              <w:rPr>
                <w:sz w:val="24"/>
                <w:szCs w:val="24"/>
              </w:rPr>
            </w:pPr>
            <w:r w:rsidRPr="0067300D">
              <w:rPr>
                <w:sz w:val="24"/>
                <w:szCs w:val="24"/>
              </w:rPr>
              <w:t xml:space="preserve">V súčasnosti neexistuje jednotná právna úprava regulujúca uplatňovanie pravidiel v EÚ vo vyššie uvedených situáciách. Nejednotným postupom členských štátov z hľadiska DPH tak dochádza k vytváraniu zbytočnej bariéry, ktorá bráni plynulému pohybu tovaru v rámci vnútorného trhu. Harmonizácia a spresnenie pravidiel pri cezhraničných obchodoch zvyšuje stav právnej istoty, čo </w:t>
            </w:r>
            <w:r>
              <w:rPr>
                <w:sz w:val="24"/>
                <w:szCs w:val="24"/>
              </w:rPr>
              <w:t>možno  považovať</w:t>
            </w:r>
            <w:r w:rsidRPr="0067300D">
              <w:rPr>
                <w:sz w:val="24"/>
                <w:szCs w:val="24"/>
              </w:rPr>
              <w:t xml:space="preserve"> za pozitívny dopad na podnikateľské prostredie.</w:t>
            </w:r>
          </w:p>
          <w:p w:rsidR="009A0E9D" w:rsidRPr="0067300D" w:rsidRDefault="009A0E9D" w:rsidP="00725AAA">
            <w:pPr>
              <w:tabs>
                <w:tab w:val="left" w:pos="2410"/>
              </w:tabs>
              <w:jc w:val="both"/>
              <w:rPr>
                <w:color w:val="FF0000"/>
                <w:sz w:val="24"/>
                <w:szCs w:val="24"/>
              </w:rPr>
            </w:pPr>
          </w:p>
          <w:p w:rsidR="009A0E9D" w:rsidRPr="0067300D" w:rsidRDefault="009A0E9D" w:rsidP="00725AAA">
            <w:pPr>
              <w:jc w:val="both"/>
              <w:rPr>
                <w:sz w:val="24"/>
                <w:szCs w:val="24"/>
              </w:rPr>
            </w:pPr>
            <w:r w:rsidRPr="0067300D">
              <w:rPr>
                <w:sz w:val="24"/>
                <w:szCs w:val="24"/>
              </w:rPr>
              <w:t>Smernica Rady 2006/112/E</w:t>
            </w:r>
            <w:r>
              <w:rPr>
                <w:sz w:val="24"/>
                <w:szCs w:val="24"/>
              </w:rPr>
              <w:t>S</w:t>
            </w:r>
            <w:r w:rsidRPr="0067300D">
              <w:rPr>
                <w:sz w:val="24"/>
                <w:szCs w:val="24"/>
              </w:rPr>
              <w:t xml:space="preserve"> o spoločnom systéme DPH umožňuje, ab</w:t>
            </w:r>
            <w:r>
              <w:rPr>
                <w:sz w:val="24"/>
                <w:szCs w:val="24"/>
              </w:rPr>
              <w:t xml:space="preserve">y členské štáty Európskej únie </w:t>
            </w:r>
            <w:r w:rsidRPr="0067300D">
              <w:rPr>
                <w:sz w:val="24"/>
                <w:szCs w:val="24"/>
              </w:rPr>
              <w:t xml:space="preserve">implementovali do svojej národnej legislatívy oslobodenie od DPH pri transakciách spojených s medzinárodným obchodom. Ide predovšetkým o oslobodenie od dane dodávok tovarov, ktoré sú umiestnené v colných alebo iných skladoch. Takéto oslobodenie má zavedené viacero členských štátov EÚ. Slovenská republika zákonom č. 369/2018 Z. z. s účinnosťou od 1. 1. 2020 transponovala príslušné dobrovoľné ustanovenie. </w:t>
            </w:r>
          </w:p>
          <w:p w:rsidR="009A0E9D" w:rsidRPr="0067300D" w:rsidRDefault="009A0E9D" w:rsidP="00725AAA">
            <w:pPr>
              <w:jc w:val="both"/>
              <w:rPr>
                <w:sz w:val="24"/>
                <w:szCs w:val="24"/>
              </w:rPr>
            </w:pPr>
            <w:r w:rsidRPr="0067300D">
              <w:rPr>
                <w:sz w:val="24"/>
                <w:szCs w:val="24"/>
              </w:rPr>
              <w:t xml:space="preserve">Návrhom zákona sa právna úprava týkajúca sa oslobodenia od dane dopĺňa o podrobné pravidlá, ktoré stanovujú povinnosti zdaniteľných osôb uskutočňujúcich dodávky predmetných tovarov a upravujú vznik daňovej povinnosti a určenie osoby povinnej platiť daň v prípadoch, keď sa pri uvedených tovaroch ukončia režimy a situácie, v ktorých sa uplatnilo oslobodenie od dane pri transakciách v colných skladoch, osobitných skladoch a daňových skladoch.  </w:t>
            </w:r>
          </w:p>
          <w:p w:rsidR="009A0E9D" w:rsidRPr="0067300D" w:rsidRDefault="009A0E9D" w:rsidP="00725AAA">
            <w:pPr>
              <w:tabs>
                <w:tab w:val="left" w:pos="2410"/>
              </w:tabs>
              <w:jc w:val="both"/>
              <w:rPr>
                <w:sz w:val="24"/>
                <w:szCs w:val="24"/>
              </w:rPr>
            </w:pPr>
            <w:r>
              <w:rPr>
                <w:sz w:val="24"/>
                <w:szCs w:val="24"/>
              </w:rPr>
              <w:lastRenderedPageBreak/>
              <w:t>Očakáva</w:t>
            </w:r>
            <w:r w:rsidR="00B322CA">
              <w:rPr>
                <w:sz w:val="24"/>
                <w:szCs w:val="24"/>
              </w:rPr>
              <w:t xml:space="preserve"> sa</w:t>
            </w:r>
            <w:r>
              <w:rPr>
                <w:sz w:val="24"/>
                <w:szCs w:val="24"/>
              </w:rPr>
              <w:t xml:space="preserve">, </w:t>
            </w:r>
            <w:r w:rsidRPr="0067300D">
              <w:rPr>
                <w:sz w:val="24"/>
                <w:szCs w:val="24"/>
              </w:rPr>
              <w:t>že navrhovaná právna úprava prinesie pozitívny vplyv na podnikateľské prostredie, pretože umožní ekonomicky relevantné obchodovanie s uskladnenou surovou ropou, motorovou naftou a</w:t>
            </w:r>
            <w:r w:rsidR="00B322CA">
              <w:rPr>
                <w:sz w:val="24"/>
                <w:szCs w:val="24"/>
              </w:rPr>
              <w:t> </w:t>
            </w:r>
            <w:r w:rsidRPr="0067300D">
              <w:rPr>
                <w:sz w:val="24"/>
                <w:szCs w:val="24"/>
              </w:rPr>
              <w:t>benzínom</w:t>
            </w:r>
            <w:r w:rsidR="00B322CA">
              <w:rPr>
                <w:sz w:val="24"/>
                <w:szCs w:val="24"/>
              </w:rPr>
              <w:t xml:space="preserve"> na medzinárodných burzách</w:t>
            </w:r>
            <w:r w:rsidRPr="0067300D">
              <w:rPr>
                <w:sz w:val="24"/>
                <w:szCs w:val="24"/>
              </w:rPr>
              <w:t xml:space="preserve">. </w:t>
            </w:r>
          </w:p>
          <w:p w:rsidR="009A0E9D" w:rsidRPr="0067300D" w:rsidRDefault="009A0E9D" w:rsidP="00725AAA">
            <w:pPr>
              <w:jc w:val="both"/>
              <w:rPr>
                <w:sz w:val="24"/>
                <w:szCs w:val="24"/>
              </w:rPr>
            </w:pPr>
            <w:r w:rsidRPr="0067300D">
              <w:rPr>
                <w:sz w:val="24"/>
                <w:szCs w:val="24"/>
              </w:rPr>
              <w:t xml:space="preserve">Následkom oslobodenia od dane možno </w:t>
            </w:r>
            <w:r w:rsidR="00B322CA">
              <w:rPr>
                <w:sz w:val="24"/>
                <w:szCs w:val="24"/>
              </w:rPr>
              <w:t xml:space="preserve">taktiež </w:t>
            </w:r>
            <w:r w:rsidRPr="0067300D">
              <w:rPr>
                <w:sz w:val="24"/>
                <w:szCs w:val="24"/>
              </w:rPr>
              <w:t>predpokladať zvýšený objem skladovanej surovej ropy v SR, v dôsledku ktorého dôjde k zlepšeniu energetickej bezpečnosti SR.</w:t>
            </w:r>
          </w:p>
          <w:p w:rsidR="009A0E9D" w:rsidRPr="0067300D" w:rsidRDefault="009A0E9D" w:rsidP="00725AAA">
            <w:pPr>
              <w:jc w:val="both"/>
              <w:rPr>
                <w:sz w:val="24"/>
                <w:szCs w:val="24"/>
              </w:rPr>
            </w:pPr>
            <w:r w:rsidRPr="0067300D">
              <w:rPr>
                <w:sz w:val="24"/>
                <w:szCs w:val="24"/>
              </w:rPr>
              <w:t>Zmena právnej úpravy bude mať pozitívny dopad na zvýšenie príjmov prevádzkovateľov takýchto skladov zo skladovacích a k nim pridružených služieb a prinesie výrazné z</w:t>
            </w:r>
            <w:r w:rsidR="00B322CA">
              <w:rPr>
                <w:sz w:val="24"/>
                <w:szCs w:val="24"/>
              </w:rPr>
              <w:t xml:space="preserve">níženie administratívnej záťaže </w:t>
            </w:r>
            <w:r w:rsidRPr="0067300D">
              <w:rPr>
                <w:sz w:val="24"/>
                <w:szCs w:val="24"/>
              </w:rPr>
              <w:t xml:space="preserve">podnikateľom obchodujúcich s týmito komoditami na medzinárodných burzách. </w:t>
            </w:r>
          </w:p>
          <w:p w:rsidR="009A0E9D" w:rsidRDefault="009A0E9D" w:rsidP="00725AAA">
            <w:pPr>
              <w:jc w:val="both"/>
              <w:rPr>
                <w:sz w:val="24"/>
                <w:szCs w:val="24"/>
              </w:rPr>
            </w:pPr>
            <w:r w:rsidRPr="0067300D">
              <w:rPr>
                <w:sz w:val="24"/>
                <w:szCs w:val="24"/>
              </w:rPr>
              <w:t>V neposlednom rade je potrebné spomenúť priaznivý vplyv na peňažné toky obchodníkov s vymedzenými komoditami, ktoré môže znamenať zvýšenie konkurencieschopnosti Slovenskej republiky vo vzťahu k ostatným členským štátom EÚ.</w:t>
            </w:r>
          </w:p>
          <w:p w:rsidR="00B322CA" w:rsidRPr="0067300D" w:rsidRDefault="00B322CA" w:rsidP="00725AAA">
            <w:pPr>
              <w:jc w:val="both"/>
              <w:rPr>
                <w:sz w:val="24"/>
                <w:szCs w:val="24"/>
              </w:rPr>
            </w:pPr>
          </w:p>
        </w:tc>
      </w:tr>
      <w:tr w:rsidR="009A0E9D" w:rsidRPr="0067300D" w:rsidTr="00725AAA">
        <w:trPr>
          <w:trHeight w:val="339"/>
        </w:trPr>
        <w:tc>
          <w:tcPr>
            <w:tcW w:w="9060" w:type="dxa"/>
            <w:shd w:val="clear" w:color="auto" w:fill="D9D9D9" w:themeFill="background1" w:themeFillShade="D9"/>
          </w:tcPr>
          <w:p w:rsidR="009A0E9D" w:rsidRPr="0067300D" w:rsidRDefault="009A0E9D" w:rsidP="00725AAA">
            <w:pPr>
              <w:rPr>
                <w:b/>
                <w:sz w:val="24"/>
                <w:szCs w:val="24"/>
              </w:rPr>
            </w:pPr>
            <w:r w:rsidRPr="0067300D">
              <w:rPr>
                <w:b/>
                <w:sz w:val="24"/>
                <w:szCs w:val="24"/>
              </w:rPr>
              <w:lastRenderedPageBreak/>
              <w:t>3.2 Vyhodnotenie konzultácií</w:t>
            </w:r>
          </w:p>
          <w:p w:rsidR="009A0E9D" w:rsidRPr="0067300D" w:rsidRDefault="009A0E9D" w:rsidP="00725AAA">
            <w:pPr>
              <w:rPr>
                <w:b/>
                <w:sz w:val="24"/>
                <w:szCs w:val="24"/>
              </w:rPr>
            </w:pPr>
            <w:r w:rsidRPr="0067300D">
              <w:rPr>
                <w:sz w:val="24"/>
                <w:szCs w:val="24"/>
              </w:rPr>
              <w:t xml:space="preserve">       - </w:t>
            </w:r>
            <w:r w:rsidRPr="0067300D">
              <w:rPr>
                <w:b/>
                <w:sz w:val="24"/>
                <w:szCs w:val="24"/>
              </w:rPr>
              <w:t>z toho MSP</w:t>
            </w:r>
          </w:p>
        </w:tc>
      </w:tr>
      <w:tr w:rsidR="009A0E9D" w:rsidRPr="0067300D" w:rsidTr="00725AAA">
        <w:trPr>
          <w:trHeight w:val="454"/>
        </w:trPr>
        <w:tc>
          <w:tcPr>
            <w:tcW w:w="9060" w:type="dxa"/>
          </w:tcPr>
          <w:p w:rsidR="009A0E9D" w:rsidRPr="0067300D" w:rsidRDefault="009A0E9D" w:rsidP="00B322CA">
            <w:pPr>
              <w:jc w:val="both"/>
              <w:rPr>
                <w:i/>
                <w:sz w:val="24"/>
                <w:szCs w:val="24"/>
              </w:rPr>
            </w:pPr>
            <w:r w:rsidRPr="0067300D">
              <w:rPr>
                <w:i/>
                <w:sz w:val="24"/>
                <w:szCs w:val="24"/>
              </w:rPr>
              <w:t>Uveďte, akou formou (verejné alebo cielené konzultácie a prečo) a s kým bol návrh konzultovaný.</w:t>
            </w:r>
          </w:p>
          <w:p w:rsidR="009A0E9D" w:rsidRPr="0067300D" w:rsidRDefault="009A0E9D" w:rsidP="00B322CA">
            <w:pPr>
              <w:jc w:val="both"/>
              <w:rPr>
                <w:i/>
                <w:sz w:val="24"/>
                <w:szCs w:val="24"/>
              </w:rPr>
            </w:pPr>
            <w:r w:rsidRPr="0067300D">
              <w:rPr>
                <w:i/>
                <w:sz w:val="24"/>
                <w:szCs w:val="24"/>
              </w:rPr>
              <w:t xml:space="preserve">Ako dlho trvali konzultácie? Uveďte hlavné body konzultácií a výsledky konzultácií. </w:t>
            </w:r>
          </w:p>
        </w:tc>
      </w:tr>
      <w:tr w:rsidR="009A0E9D" w:rsidRPr="0067300D" w:rsidTr="00725AAA">
        <w:trPr>
          <w:trHeight w:val="680"/>
        </w:trPr>
        <w:tc>
          <w:tcPr>
            <w:tcW w:w="9060" w:type="dxa"/>
            <w:vAlign w:val="center"/>
          </w:tcPr>
          <w:p w:rsidR="009A0E9D" w:rsidRPr="0067300D" w:rsidRDefault="009A0E9D" w:rsidP="00725AAA">
            <w:pPr>
              <w:jc w:val="both"/>
              <w:rPr>
                <w:sz w:val="24"/>
                <w:szCs w:val="24"/>
              </w:rPr>
            </w:pPr>
            <w:r w:rsidRPr="0067300D">
              <w:rPr>
                <w:sz w:val="24"/>
                <w:szCs w:val="24"/>
              </w:rPr>
              <w:t>Nadväzne na Predbežnú informáciu k návrhu zákona, ktorým sa mení a dopĺňa zákon č. 222/2004 Z. z. o dani z pridanej hodnoty v znení neskorších predpisov (PI/2019/2), ktorá bola zverejnená na portáli Slov-Lex, a verejnosť sa mala možnosť k nej vyjadriť v čase od 10.01.2019 do 31.01.2019, sa k novele zákona o DPH uskutočnili dňa 20.02.2019 konzultácie s podnikateľskými subjektmi. Konzultácií sa zúčastnili zástupcovia Asociácie podnikateľských zväzov, Klubu 500 a P</w:t>
            </w:r>
            <w:r>
              <w:rPr>
                <w:sz w:val="24"/>
                <w:szCs w:val="24"/>
              </w:rPr>
              <w:t>WC</w:t>
            </w:r>
            <w:r w:rsidRPr="0067300D">
              <w:rPr>
                <w:sz w:val="24"/>
                <w:szCs w:val="24"/>
              </w:rPr>
              <w:t xml:space="preserve">. Následne sa do konzultácií zapojili aj zástupcovia spoločností Transpetrol, a.s., </w:t>
            </w:r>
            <w:proofErr w:type="spellStart"/>
            <w:r w:rsidRPr="0067300D">
              <w:rPr>
                <w:sz w:val="24"/>
                <w:szCs w:val="24"/>
              </w:rPr>
              <w:t>Hillbridges</w:t>
            </w:r>
            <w:proofErr w:type="spellEnd"/>
            <w:r w:rsidRPr="0067300D">
              <w:rPr>
                <w:sz w:val="24"/>
                <w:szCs w:val="24"/>
              </w:rPr>
              <w:t>, s.r.o. a Slovnaft, a.s..</w:t>
            </w:r>
          </w:p>
          <w:p w:rsidR="009A0E9D" w:rsidRPr="0067300D" w:rsidRDefault="009A0E9D" w:rsidP="00725AAA">
            <w:pPr>
              <w:jc w:val="both"/>
              <w:rPr>
                <w:sz w:val="24"/>
                <w:szCs w:val="24"/>
              </w:rPr>
            </w:pPr>
            <w:r w:rsidRPr="0067300D">
              <w:rPr>
                <w:sz w:val="24"/>
                <w:szCs w:val="24"/>
              </w:rPr>
              <w:t xml:space="preserve">Konzultácie sa uskutočnili v rámci legislatívneho procesu prípravy návrhu novely zákona v súlade s Jednotnou metodikou na posudzovanie vybraných vplyvov schválenou uznesením vlády SR č. 24 z 14.5.2015 v znení uznesení vlády SR č. 513 z 16.9.2015 a č. 76 z 24.2.2016. </w:t>
            </w:r>
          </w:p>
          <w:p w:rsidR="009A0E9D" w:rsidRPr="0067300D" w:rsidRDefault="009A0E9D" w:rsidP="00725AAA">
            <w:pPr>
              <w:pStyle w:val="Zkladntext"/>
              <w:rPr>
                <w:rFonts w:ascii="Times New Roman" w:hAnsi="Times New Roman"/>
                <w:sz w:val="24"/>
                <w:szCs w:val="24"/>
              </w:rPr>
            </w:pPr>
            <w:r w:rsidRPr="0067300D">
              <w:rPr>
                <w:rFonts w:ascii="Times New Roman" w:hAnsi="Times New Roman"/>
                <w:sz w:val="24"/>
                <w:szCs w:val="24"/>
              </w:rPr>
              <w:t xml:space="preserve">MF SR predstavilo okruh plánovaných legislatívnych úprav, ktoré budú súčasťou novely zákona o DPH. </w:t>
            </w:r>
          </w:p>
          <w:p w:rsidR="009A0E9D" w:rsidRPr="0067300D" w:rsidRDefault="009A0E9D" w:rsidP="00725AAA">
            <w:pPr>
              <w:pStyle w:val="Zkladntext"/>
              <w:rPr>
                <w:rFonts w:ascii="Times New Roman" w:hAnsi="Times New Roman"/>
                <w:i/>
                <w:sz w:val="24"/>
                <w:szCs w:val="24"/>
              </w:rPr>
            </w:pPr>
            <w:r w:rsidRPr="0067300D">
              <w:rPr>
                <w:rFonts w:ascii="Times New Roman" w:hAnsi="Times New Roman"/>
                <w:i/>
                <w:sz w:val="24"/>
                <w:szCs w:val="24"/>
              </w:rPr>
              <w:t>MF SR:</w:t>
            </w:r>
            <w:r>
              <w:rPr>
                <w:rFonts w:ascii="Times New Roman" w:hAnsi="Times New Roman"/>
                <w:i/>
                <w:sz w:val="24"/>
                <w:szCs w:val="24"/>
              </w:rPr>
              <w:t xml:space="preserve"> </w:t>
            </w:r>
            <w:r w:rsidRPr="0067300D">
              <w:rPr>
                <w:rFonts w:ascii="Times New Roman" w:hAnsi="Times New Roman"/>
                <w:i/>
                <w:sz w:val="24"/>
                <w:szCs w:val="24"/>
              </w:rPr>
              <w:t xml:space="preserve">Hlavným predmetom novely je transpozícia smernice Rady (EÚ) 2018/1910 zo 4. decembra 2018, ktorou sa mení smernica 2006/112/ES, pokiaľ ide o harmonizáciu a zjednodušenie určitých pravidiel v systéme dane z pridanej hodnoty pre zdaňovanie obchodu medzi členskými štátmi (ďalej len „smernica 2018/1910“). Zmenami a doplnením zákona o DPH dôjde k úprave existujúcich a vytvoreniu nových pravidiel upravujúcich cezhraničné dodanie tovaru medzi podnikmi v rámci EÚ, za účelom dosiahnutia harmonizovaných pravidiel v EÚ v tejto oblasti.  Smernicou 2018/1910 sa zavádzajú spoločné pravidlá spočívajúce  </w:t>
            </w:r>
          </w:p>
          <w:p w:rsidR="009A0E9D" w:rsidRPr="0067300D" w:rsidRDefault="009A0E9D" w:rsidP="00725AAA">
            <w:pPr>
              <w:pStyle w:val="Odsekzoznamu"/>
              <w:spacing w:after="0" w:line="240" w:lineRule="auto"/>
              <w:ind w:left="0"/>
              <w:jc w:val="both"/>
              <w:rPr>
                <w:rFonts w:ascii="Times New Roman" w:hAnsi="Times New Roman"/>
                <w:i/>
                <w:sz w:val="24"/>
                <w:szCs w:val="24"/>
              </w:rPr>
            </w:pPr>
            <w:r w:rsidRPr="0067300D">
              <w:rPr>
                <w:rFonts w:ascii="Times New Roman" w:hAnsi="Times New Roman"/>
                <w:i/>
                <w:sz w:val="24"/>
                <w:szCs w:val="24"/>
              </w:rPr>
              <w:t xml:space="preserve">- v uľahčení cezhraničného obchodovania s tovarom v rámci tzv. </w:t>
            </w:r>
            <w:proofErr w:type="spellStart"/>
            <w:r w:rsidRPr="0067300D">
              <w:rPr>
                <w:rFonts w:ascii="Times New Roman" w:hAnsi="Times New Roman"/>
                <w:i/>
                <w:sz w:val="24"/>
                <w:szCs w:val="24"/>
              </w:rPr>
              <w:t>call-off</w:t>
            </w:r>
            <w:proofErr w:type="spellEnd"/>
            <w:r>
              <w:rPr>
                <w:rFonts w:ascii="Times New Roman" w:hAnsi="Times New Roman"/>
                <w:i/>
                <w:sz w:val="24"/>
                <w:szCs w:val="24"/>
              </w:rPr>
              <w:t xml:space="preserve"> </w:t>
            </w:r>
            <w:proofErr w:type="spellStart"/>
            <w:r w:rsidRPr="0067300D">
              <w:rPr>
                <w:rFonts w:ascii="Times New Roman" w:hAnsi="Times New Roman"/>
                <w:i/>
                <w:sz w:val="24"/>
                <w:szCs w:val="24"/>
              </w:rPr>
              <w:t>stock</w:t>
            </w:r>
            <w:proofErr w:type="spellEnd"/>
            <w:r w:rsidRPr="0067300D">
              <w:rPr>
                <w:rFonts w:ascii="Times New Roman" w:hAnsi="Times New Roman"/>
                <w:i/>
                <w:sz w:val="24"/>
                <w:szCs w:val="24"/>
              </w:rPr>
              <w:t xml:space="preserve"> úpravy, </w:t>
            </w:r>
          </w:p>
          <w:p w:rsidR="009A0E9D" w:rsidRPr="0067300D" w:rsidRDefault="009A0E9D" w:rsidP="00725AAA">
            <w:pPr>
              <w:pStyle w:val="Odsekzoznamu"/>
              <w:spacing w:after="0" w:line="240" w:lineRule="auto"/>
              <w:ind w:left="0"/>
              <w:jc w:val="both"/>
              <w:rPr>
                <w:rFonts w:ascii="Times New Roman" w:hAnsi="Times New Roman"/>
                <w:i/>
                <w:sz w:val="24"/>
                <w:szCs w:val="24"/>
              </w:rPr>
            </w:pPr>
            <w:r w:rsidRPr="0067300D">
              <w:rPr>
                <w:rFonts w:ascii="Times New Roman" w:hAnsi="Times New Roman"/>
                <w:i/>
                <w:sz w:val="24"/>
                <w:szCs w:val="24"/>
              </w:rPr>
              <w:t>- v určení</w:t>
            </w:r>
            <w:r>
              <w:rPr>
                <w:rFonts w:ascii="Times New Roman" w:hAnsi="Times New Roman"/>
                <w:i/>
                <w:sz w:val="24"/>
                <w:szCs w:val="24"/>
              </w:rPr>
              <w:t xml:space="preserve"> </w:t>
            </w:r>
            <w:r w:rsidRPr="0067300D">
              <w:rPr>
                <w:rFonts w:ascii="Times New Roman" w:hAnsi="Times New Roman"/>
                <w:i/>
                <w:sz w:val="24"/>
                <w:szCs w:val="24"/>
              </w:rPr>
              <w:t xml:space="preserve">miesta dodania tovaru s prepravou uskutočňovanou tzv. </w:t>
            </w:r>
            <w:proofErr w:type="spellStart"/>
            <w:r w:rsidRPr="0067300D">
              <w:rPr>
                <w:rFonts w:ascii="Times New Roman" w:hAnsi="Times New Roman"/>
                <w:i/>
                <w:sz w:val="24"/>
                <w:szCs w:val="24"/>
              </w:rPr>
              <w:t>sprostredkujúcim</w:t>
            </w:r>
            <w:proofErr w:type="spellEnd"/>
            <w:r w:rsidRPr="0067300D">
              <w:rPr>
                <w:rFonts w:ascii="Times New Roman" w:hAnsi="Times New Roman"/>
                <w:i/>
                <w:sz w:val="24"/>
                <w:szCs w:val="24"/>
              </w:rPr>
              <w:t xml:space="preserve"> subjektom alebo na jeho účet v  tzv. reťazových transakciách v rámci EÚ a</w:t>
            </w:r>
          </w:p>
          <w:p w:rsidR="009A0E9D" w:rsidRPr="0067300D" w:rsidRDefault="009A0E9D" w:rsidP="00725AAA">
            <w:pPr>
              <w:pStyle w:val="Odsekzoznamu"/>
              <w:spacing w:after="0" w:line="240" w:lineRule="auto"/>
              <w:ind w:left="0"/>
              <w:jc w:val="both"/>
              <w:rPr>
                <w:rFonts w:ascii="Times New Roman" w:hAnsi="Times New Roman"/>
                <w:i/>
                <w:sz w:val="24"/>
                <w:szCs w:val="24"/>
              </w:rPr>
            </w:pPr>
            <w:r w:rsidRPr="0067300D">
              <w:rPr>
                <w:rFonts w:ascii="Times New Roman" w:hAnsi="Times New Roman"/>
                <w:i/>
                <w:sz w:val="24"/>
                <w:szCs w:val="24"/>
              </w:rPr>
              <w:t xml:space="preserve">- v doplnení, že identifikačné číslo pre DPH nadobúdateľa tovaru, pridelené iným členským štátom ako je členský štát začatia prepravy tovaru, predstavuje hmotnoprávnu podmienku pre oslobodenie dodania tovaru do iného členského štátu. </w:t>
            </w:r>
          </w:p>
          <w:p w:rsidR="009A0E9D" w:rsidRPr="0067300D" w:rsidRDefault="009A0E9D" w:rsidP="00725AAA">
            <w:pPr>
              <w:pStyle w:val="Odsekzoznamu"/>
              <w:spacing w:after="0" w:line="240" w:lineRule="auto"/>
              <w:ind w:left="0"/>
              <w:jc w:val="both"/>
              <w:rPr>
                <w:rFonts w:ascii="Times New Roman" w:hAnsi="Times New Roman"/>
                <w:i/>
                <w:sz w:val="24"/>
                <w:szCs w:val="24"/>
              </w:rPr>
            </w:pPr>
            <w:r w:rsidRPr="0067300D">
              <w:rPr>
                <w:rFonts w:ascii="Times New Roman" w:hAnsi="Times New Roman"/>
                <w:i/>
                <w:sz w:val="24"/>
                <w:szCs w:val="24"/>
              </w:rPr>
              <w:t>Súčasne, s účinnosťou od 1. januára 2020, dochádza k zavedeniu jednotnej úpravy v EÚ v oblasti preukazovania uskutočnenia prepravy tovaru do iného členského štátu prostredníctvom nového článku 45a vykonávacieho nariadenia Rady (EÚ) 2018/1912 zo 4. decembra 2018, ktorým sa mení vykonávacie nariadenie (EÚ) č. 282/2011, pokiaľ ide o určité oslobodenia od dane pri transakciách v rámci Spoločenstva. Táto jednotná úprava sa v zákone o DPH premietne zmenou existujúceho ustanovenia § 43 ods. 5.</w:t>
            </w:r>
          </w:p>
          <w:p w:rsidR="009A0E9D" w:rsidRPr="0067300D" w:rsidRDefault="009A0E9D" w:rsidP="00725AAA">
            <w:pPr>
              <w:jc w:val="both"/>
              <w:rPr>
                <w:sz w:val="24"/>
                <w:szCs w:val="24"/>
              </w:rPr>
            </w:pPr>
          </w:p>
          <w:p w:rsidR="009A0E9D" w:rsidRPr="0067300D" w:rsidRDefault="009A0E9D" w:rsidP="00725AAA">
            <w:pPr>
              <w:jc w:val="both"/>
              <w:rPr>
                <w:sz w:val="24"/>
                <w:szCs w:val="24"/>
              </w:rPr>
            </w:pPr>
            <w:r w:rsidRPr="0067300D">
              <w:rPr>
                <w:b/>
                <w:sz w:val="24"/>
                <w:szCs w:val="24"/>
              </w:rPr>
              <w:t>Pripomienky P</w:t>
            </w:r>
            <w:r>
              <w:rPr>
                <w:b/>
                <w:sz w:val="24"/>
                <w:szCs w:val="24"/>
              </w:rPr>
              <w:t>WC</w:t>
            </w:r>
            <w:r w:rsidRPr="0067300D">
              <w:rPr>
                <w:sz w:val="24"/>
                <w:szCs w:val="24"/>
              </w:rPr>
              <w:t xml:space="preserve"> (</w:t>
            </w:r>
            <w:r>
              <w:rPr>
                <w:sz w:val="24"/>
                <w:szCs w:val="24"/>
              </w:rPr>
              <w:t>zástupca PWC</w:t>
            </w:r>
            <w:r w:rsidRPr="0067300D">
              <w:rPr>
                <w:sz w:val="24"/>
                <w:szCs w:val="24"/>
              </w:rPr>
              <w:t>)</w:t>
            </w:r>
          </w:p>
          <w:p w:rsidR="009A0E9D" w:rsidRPr="0067300D" w:rsidRDefault="009A0E9D" w:rsidP="00725AAA">
            <w:pPr>
              <w:jc w:val="both"/>
              <w:rPr>
                <w:sz w:val="24"/>
                <w:szCs w:val="24"/>
              </w:rPr>
            </w:pPr>
          </w:p>
          <w:p w:rsidR="009A0E9D" w:rsidRPr="0067300D" w:rsidRDefault="009A0E9D" w:rsidP="00725AAA">
            <w:pPr>
              <w:jc w:val="both"/>
              <w:rPr>
                <w:b/>
                <w:sz w:val="24"/>
                <w:szCs w:val="24"/>
              </w:rPr>
            </w:pPr>
            <w:r w:rsidRPr="0067300D">
              <w:rPr>
                <w:b/>
                <w:sz w:val="24"/>
                <w:szCs w:val="24"/>
              </w:rPr>
              <w:t>Čl. 138 - nový odsek 1a smernice 2006/112/ES</w:t>
            </w:r>
          </w:p>
          <w:p w:rsidR="009A0E9D" w:rsidRPr="0067300D" w:rsidRDefault="009A0E9D" w:rsidP="00725AAA">
            <w:pPr>
              <w:jc w:val="both"/>
              <w:rPr>
                <w:sz w:val="24"/>
                <w:szCs w:val="24"/>
              </w:rPr>
            </w:pPr>
            <w:r w:rsidRPr="0067300D">
              <w:rPr>
                <w:sz w:val="24"/>
                <w:szCs w:val="24"/>
              </w:rPr>
              <w:t>Navrhujeme bližšie špecifikovať, akým spôsobom vie dodávateľ náležite odôvodniť svoje nedostatky k spokojnosti príslušných orgánov.</w:t>
            </w:r>
          </w:p>
          <w:p w:rsidR="009A0E9D" w:rsidRPr="0067300D" w:rsidRDefault="009A0E9D" w:rsidP="00725AAA">
            <w:pPr>
              <w:jc w:val="both"/>
              <w:rPr>
                <w:sz w:val="24"/>
                <w:szCs w:val="24"/>
              </w:rPr>
            </w:pPr>
          </w:p>
          <w:p w:rsidR="009A0E9D" w:rsidRPr="0067300D" w:rsidRDefault="009A0E9D" w:rsidP="00725AAA">
            <w:pPr>
              <w:jc w:val="both"/>
              <w:rPr>
                <w:i/>
                <w:sz w:val="24"/>
                <w:szCs w:val="24"/>
              </w:rPr>
            </w:pPr>
            <w:r w:rsidRPr="0067300D">
              <w:rPr>
                <w:i/>
                <w:sz w:val="24"/>
                <w:szCs w:val="24"/>
              </w:rPr>
              <w:t>MF SR: Z dôvodu, že tieto prípady môžu byť rôznorodé, prikláňame sa k všeobecnejšej formulácii. Ak máte nejaký konkrétny námet, resp. ak to viete špecifikovať, uvítame to.</w:t>
            </w:r>
          </w:p>
          <w:p w:rsidR="009A0E9D" w:rsidRPr="0067300D" w:rsidRDefault="009A0E9D" w:rsidP="00725AAA">
            <w:pPr>
              <w:jc w:val="both"/>
              <w:rPr>
                <w:sz w:val="24"/>
                <w:szCs w:val="24"/>
              </w:rPr>
            </w:pPr>
          </w:p>
          <w:p w:rsidR="009A0E9D" w:rsidRPr="0067300D" w:rsidRDefault="009A0E9D" w:rsidP="00725AAA">
            <w:pPr>
              <w:jc w:val="both"/>
              <w:rPr>
                <w:b/>
                <w:sz w:val="24"/>
                <w:szCs w:val="24"/>
              </w:rPr>
            </w:pPr>
            <w:r w:rsidRPr="0067300D">
              <w:rPr>
                <w:b/>
                <w:sz w:val="24"/>
                <w:szCs w:val="24"/>
              </w:rPr>
              <w:t>Nový článok 262 odsek 1 smernice 2006/112/ES</w:t>
            </w:r>
          </w:p>
          <w:p w:rsidR="009A0E9D" w:rsidRPr="0067300D" w:rsidRDefault="009A0E9D" w:rsidP="00725AAA">
            <w:pPr>
              <w:jc w:val="both"/>
              <w:rPr>
                <w:i/>
                <w:iCs/>
                <w:sz w:val="24"/>
                <w:szCs w:val="24"/>
              </w:rPr>
            </w:pPr>
            <w:r w:rsidRPr="0067300D">
              <w:rPr>
                <w:sz w:val="24"/>
                <w:szCs w:val="24"/>
              </w:rPr>
              <w:t>Navrhujeme v zákone o DPH uviesť správnejšiu formuláciu: "</w:t>
            </w:r>
            <w:r w:rsidRPr="0067300D">
              <w:rPr>
                <w:bCs/>
                <w:i/>
                <w:iCs/>
                <w:sz w:val="24"/>
                <w:szCs w:val="24"/>
              </w:rPr>
              <w:t>každá zdaniteľná osoba identifikovaná na účely DPH musí predložiť súhrnný výkaz obsahujúci informácie o transakciách s týmito osobami"</w:t>
            </w:r>
            <w:r w:rsidRPr="0067300D">
              <w:rPr>
                <w:i/>
                <w:iCs/>
                <w:sz w:val="24"/>
                <w:szCs w:val="24"/>
              </w:rPr>
              <w:t>  </w:t>
            </w:r>
            <w:r w:rsidRPr="0067300D">
              <w:rPr>
                <w:sz w:val="24"/>
                <w:szCs w:val="24"/>
              </w:rPr>
              <w:t>namiesto súčasnej formulácie</w:t>
            </w:r>
            <w:r w:rsidRPr="0067300D">
              <w:rPr>
                <w:i/>
                <w:iCs/>
                <w:sz w:val="24"/>
                <w:szCs w:val="24"/>
              </w:rPr>
              <w:t>..."</w:t>
            </w:r>
            <w:r w:rsidRPr="0067300D">
              <w:rPr>
                <w:bCs/>
                <w:i/>
                <w:iCs/>
                <w:sz w:val="24"/>
                <w:szCs w:val="24"/>
              </w:rPr>
              <w:t>musí predložiť súhrnný výkaz týchto osôb</w:t>
            </w:r>
            <w:r w:rsidRPr="0067300D">
              <w:rPr>
                <w:i/>
                <w:iCs/>
                <w:sz w:val="24"/>
                <w:szCs w:val="24"/>
              </w:rPr>
              <w:t>".</w:t>
            </w:r>
          </w:p>
          <w:p w:rsidR="009A0E9D" w:rsidRPr="0067300D" w:rsidRDefault="009A0E9D" w:rsidP="00725AAA">
            <w:pPr>
              <w:jc w:val="both"/>
              <w:rPr>
                <w:i/>
                <w:iCs/>
                <w:sz w:val="24"/>
                <w:szCs w:val="24"/>
              </w:rPr>
            </w:pPr>
          </w:p>
          <w:p w:rsidR="009A0E9D" w:rsidRPr="0067300D" w:rsidRDefault="009A0E9D" w:rsidP="00725AAA">
            <w:pPr>
              <w:jc w:val="both"/>
              <w:rPr>
                <w:i/>
                <w:iCs/>
                <w:sz w:val="24"/>
                <w:szCs w:val="24"/>
              </w:rPr>
            </w:pPr>
            <w:r w:rsidRPr="0067300D">
              <w:rPr>
                <w:i/>
                <w:sz w:val="24"/>
                <w:szCs w:val="24"/>
              </w:rPr>
              <w:t>MF SR</w:t>
            </w:r>
            <w:r w:rsidRPr="0067300D">
              <w:rPr>
                <w:i/>
                <w:iCs/>
                <w:sz w:val="24"/>
                <w:szCs w:val="24"/>
              </w:rPr>
              <w:t>: V tomto prípade nebudeme preberať presnú formuláciu zo smernice. Ak budete mať k formulácii nejaké pripomienky, môžete ich uplatniť v rámci MPK.</w:t>
            </w:r>
          </w:p>
          <w:p w:rsidR="009A0E9D" w:rsidRPr="0067300D" w:rsidRDefault="009A0E9D" w:rsidP="00725AAA">
            <w:pPr>
              <w:jc w:val="both"/>
              <w:rPr>
                <w:i/>
                <w:iCs/>
                <w:sz w:val="24"/>
                <w:szCs w:val="24"/>
              </w:rPr>
            </w:pPr>
          </w:p>
          <w:p w:rsidR="009A0E9D" w:rsidRPr="0067300D" w:rsidRDefault="009A0E9D" w:rsidP="00725AAA">
            <w:pPr>
              <w:jc w:val="both"/>
              <w:rPr>
                <w:sz w:val="24"/>
                <w:szCs w:val="24"/>
              </w:rPr>
            </w:pPr>
            <w:r w:rsidRPr="0067300D">
              <w:rPr>
                <w:b/>
                <w:iCs/>
                <w:sz w:val="24"/>
                <w:szCs w:val="24"/>
              </w:rPr>
              <w:t>Článok 54a odsek 1 písm. f</w:t>
            </w:r>
            <w:r w:rsidRPr="0067300D">
              <w:rPr>
                <w:iCs/>
                <w:sz w:val="24"/>
                <w:szCs w:val="24"/>
              </w:rPr>
              <w:t>)</w:t>
            </w:r>
            <w:r w:rsidRPr="0067300D">
              <w:rPr>
                <w:b/>
                <w:sz w:val="24"/>
                <w:szCs w:val="24"/>
              </w:rPr>
              <w:t xml:space="preserve"> vykonávacieho nariadenia Rady (EÚ) 2018/1912</w:t>
            </w:r>
          </w:p>
          <w:p w:rsidR="009A0E9D" w:rsidRPr="0067300D" w:rsidRDefault="009A0E9D" w:rsidP="00725AAA">
            <w:pPr>
              <w:jc w:val="both"/>
              <w:rPr>
                <w:i/>
                <w:iCs/>
                <w:sz w:val="24"/>
                <w:szCs w:val="24"/>
              </w:rPr>
            </w:pPr>
            <w:r w:rsidRPr="0067300D">
              <w:rPr>
                <w:sz w:val="24"/>
                <w:szCs w:val="24"/>
              </w:rPr>
              <w:t>Navrhujeme presne špecifikovať osobu "</w:t>
            </w:r>
            <w:r w:rsidRPr="0067300D">
              <w:rPr>
                <w:i/>
                <w:iCs/>
                <w:sz w:val="24"/>
                <w:szCs w:val="24"/>
              </w:rPr>
              <w:t>kupujúceho</w:t>
            </w:r>
            <w:r w:rsidRPr="0067300D">
              <w:rPr>
                <w:sz w:val="24"/>
                <w:szCs w:val="24"/>
              </w:rPr>
              <w:t>", nakoľko sa v predchádzajúcom znení tohoto ustanovenia táto osoba nespomína a môže byť zamieňaná "</w:t>
            </w:r>
            <w:r w:rsidRPr="0067300D">
              <w:rPr>
                <w:i/>
                <w:iCs/>
                <w:sz w:val="24"/>
                <w:szCs w:val="24"/>
              </w:rPr>
              <w:t>s osobou, ktorej sa má tovar pod týmto špeciálnym režimom dodať".</w:t>
            </w:r>
          </w:p>
          <w:p w:rsidR="009A0E9D" w:rsidRPr="0067300D" w:rsidRDefault="009A0E9D" w:rsidP="00725AAA">
            <w:pPr>
              <w:jc w:val="both"/>
              <w:rPr>
                <w:i/>
                <w:iCs/>
                <w:sz w:val="24"/>
                <w:szCs w:val="24"/>
              </w:rPr>
            </w:pPr>
          </w:p>
          <w:p w:rsidR="009A0E9D" w:rsidRPr="0067300D" w:rsidRDefault="009A0E9D" w:rsidP="00725AAA">
            <w:pPr>
              <w:jc w:val="both"/>
              <w:rPr>
                <w:i/>
                <w:iCs/>
                <w:sz w:val="24"/>
                <w:szCs w:val="24"/>
              </w:rPr>
            </w:pPr>
            <w:r w:rsidRPr="0067300D">
              <w:rPr>
                <w:i/>
                <w:iCs/>
                <w:sz w:val="24"/>
                <w:szCs w:val="24"/>
              </w:rPr>
              <w:t>MF SR: Nepredpokladáme, že by v týchto situáciách dochádzalo k aplikačným problémom. Napokon tu ide o ustanovenie nariadenia, kde nemôžeme ísť nad rámec jeho obsahu.</w:t>
            </w:r>
          </w:p>
          <w:p w:rsidR="009A0E9D" w:rsidRPr="0067300D" w:rsidRDefault="009A0E9D" w:rsidP="00725AAA">
            <w:pPr>
              <w:jc w:val="both"/>
              <w:rPr>
                <w:i/>
                <w:iCs/>
                <w:sz w:val="24"/>
                <w:szCs w:val="24"/>
              </w:rPr>
            </w:pPr>
          </w:p>
          <w:p w:rsidR="009A0E9D" w:rsidRPr="0067300D" w:rsidRDefault="009A0E9D" w:rsidP="00725AAA">
            <w:pPr>
              <w:jc w:val="both"/>
              <w:rPr>
                <w:b/>
                <w:sz w:val="24"/>
                <w:szCs w:val="24"/>
              </w:rPr>
            </w:pPr>
            <w:r w:rsidRPr="0067300D">
              <w:rPr>
                <w:b/>
                <w:sz w:val="24"/>
                <w:szCs w:val="24"/>
              </w:rPr>
              <w:t>Článok 45a odsek 1vykonávacieho nariadenia Rady (EÚ) 2018/1912</w:t>
            </w:r>
          </w:p>
          <w:p w:rsidR="009A0E9D" w:rsidRPr="0067300D" w:rsidRDefault="009A0E9D" w:rsidP="00725AAA">
            <w:pPr>
              <w:jc w:val="both"/>
              <w:rPr>
                <w:b/>
                <w:iCs/>
                <w:sz w:val="24"/>
                <w:szCs w:val="24"/>
              </w:rPr>
            </w:pPr>
            <w:r w:rsidRPr="0067300D">
              <w:rPr>
                <w:sz w:val="24"/>
                <w:szCs w:val="24"/>
              </w:rPr>
              <w:t>Navrhujeme prehľadne zadefinovať doklady, ktorými musí predávajúci preukázať dodanie tovaru do iného členského štátu, najmä v situácii, ak tovar do iného členského štátu prepravuje on sám vlastnými dopravnými prostriedkami.</w:t>
            </w:r>
          </w:p>
          <w:p w:rsidR="009A0E9D" w:rsidRPr="0067300D" w:rsidRDefault="009A0E9D" w:rsidP="00725AAA">
            <w:pPr>
              <w:jc w:val="both"/>
              <w:rPr>
                <w:iCs/>
                <w:sz w:val="24"/>
                <w:szCs w:val="24"/>
              </w:rPr>
            </w:pPr>
          </w:p>
          <w:p w:rsidR="009A0E9D" w:rsidRPr="0067300D" w:rsidRDefault="009A0E9D" w:rsidP="00725AAA">
            <w:pPr>
              <w:jc w:val="both"/>
              <w:rPr>
                <w:b/>
                <w:i/>
                <w:iCs/>
                <w:sz w:val="24"/>
                <w:szCs w:val="24"/>
              </w:rPr>
            </w:pPr>
            <w:r w:rsidRPr="0067300D">
              <w:rPr>
                <w:i/>
                <w:sz w:val="24"/>
                <w:szCs w:val="24"/>
              </w:rPr>
              <w:t>MF SR</w:t>
            </w:r>
            <w:r w:rsidRPr="0067300D">
              <w:rPr>
                <w:i/>
                <w:iCs/>
                <w:sz w:val="24"/>
                <w:szCs w:val="24"/>
              </w:rPr>
              <w:t>: Nariadenia EÚ majú priamu účinnosť, preto nepovažujeme za potrebné preberať tieto ustanovenia do zákona.</w:t>
            </w:r>
          </w:p>
          <w:p w:rsidR="009A0E9D" w:rsidRPr="0067300D" w:rsidRDefault="009A0E9D" w:rsidP="00725AAA">
            <w:pPr>
              <w:jc w:val="both"/>
              <w:rPr>
                <w:b/>
                <w:iCs/>
                <w:sz w:val="24"/>
                <w:szCs w:val="24"/>
              </w:rPr>
            </w:pPr>
          </w:p>
          <w:p w:rsidR="009A0E9D" w:rsidRPr="0067300D" w:rsidRDefault="009A0E9D" w:rsidP="00725AAA">
            <w:pPr>
              <w:jc w:val="both"/>
              <w:rPr>
                <w:b/>
                <w:iCs/>
                <w:sz w:val="24"/>
                <w:szCs w:val="24"/>
              </w:rPr>
            </w:pPr>
            <w:r w:rsidRPr="0067300D">
              <w:rPr>
                <w:b/>
                <w:iCs/>
                <w:sz w:val="24"/>
                <w:szCs w:val="24"/>
              </w:rPr>
              <w:t xml:space="preserve">Článok 17a tzv. </w:t>
            </w:r>
            <w:proofErr w:type="spellStart"/>
            <w:r w:rsidRPr="0067300D">
              <w:rPr>
                <w:b/>
                <w:iCs/>
                <w:sz w:val="24"/>
                <w:szCs w:val="24"/>
              </w:rPr>
              <w:t>call</w:t>
            </w:r>
            <w:proofErr w:type="spellEnd"/>
            <w:r w:rsidRPr="0067300D">
              <w:rPr>
                <w:b/>
                <w:iCs/>
                <w:sz w:val="24"/>
                <w:szCs w:val="24"/>
              </w:rPr>
              <w:t xml:space="preserve"> of </w:t>
            </w:r>
            <w:proofErr w:type="spellStart"/>
            <w:r w:rsidRPr="0067300D">
              <w:rPr>
                <w:b/>
                <w:iCs/>
                <w:sz w:val="24"/>
                <w:szCs w:val="24"/>
              </w:rPr>
              <w:t>stock</w:t>
            </w:r>
            <w:proofErr w:type="spellEnd"/>
            <w:r w:rsidRPr="0067300D">
              <w:rPr>
                <w:b/>
                <w:iCs/>
                <w:sz w:val="24"/>
                <w:szCs w:val="24"/>
              </w:rPr>
              <w:t xml:space="preserve"> režim</w:t>
            </w:r>
          </w:p>
          <w:p w:rsidR="009A0E9D" w:rsidRPr="0067300D" w:rsidRDefault="009A0E9D" w:rsidP="00725AAA">
            <w:pPr>
              <w:jc w:val="both"/>
              <w:rPr>
                <w:sz w:val="24"/>
                <w:szCs w:val="24"/>
              </w:rPr>
            </w:pPr>
            <w:r w:rsidRPr="0067300D">
              <w:rPr>
                <w:sz w:val="24"/>
                <w:szCs w:val="24"/>
              </w:rPr>
              <w:t xml:space="preserve">Aké budú pri novej úprave tzv. </w:t>
            </w:r>
            <w:proofErr w:type="spellStart"/>
            <w:r w:rsidRPr="0067300D">
              <w:rPr>
                <w:sz w:val="24"/>
                <w:szCs w:val="24"/>
              </w:rPr>
              <w:t>call</w:t>
            </w:r>
            <w:proofErr w:type="spellEnd"/>
            <w:r w:rsidRPr="0067300D">
              <w:rPr>
                <w:sz w:val="24"/>
                <w:szCs w:val="24"/>
              </w:rPr>
              <w:t xml:space="preserve"> of </w:t>
            </w:r>
            <w:proofErr w:type="spellStart"/>
            <w:r w:rsidRPr="0067300D">
              <w:rPr>
                <w:sz w:val="24"/>
                <w:szCs w:val="24"/>
              </w:rPr>
              <w:t>stock</w:t>
            </w:r>
            <w:proofErr w:type="spellEnd"/>
            <w:r w:rsidRPr="0067300D">
              <w:rPr>
                <w:sz w:val="24"/>
                <w:szCs w:val="24"/>
              </w:rPr>
              <w:t xml:space="preserve"> prechodné ustanovenia?</w:t>
            </w:r>
          </w:p>
          <w:p w:rsidR="009A0E9D" w:rsidRPr="0067300D" w:rsidRDefault="009A0E9D" w:rsidP="00725AAA">
            <w:pPr>
              <w:jc w:val="both"/>
              <w:rPr>
                <w:sz w:val="24"/>
                <w:szCs w:val="24"/>
              </w:rPr>
            </w:pPr>
          </w:p>
          <w:p w:rsidR="009A0E9D" w:rsidRPr="0067300D" w:rsidRDefault="009A0E9D" w:rsidP="00725AAA">
            <w:pPr>
              <w:jc w:val="both"/>
              <w:rPr>
                <w:i/>
                <w:sz w:val="24"/>
                <w:szCs w:val="24"/>
              </w:rPr>
            </w:pPr>
            <w:r w:rsidRPr="0067300D">
              <w:rPr>
                <w:i/>
                <w:sz w:val="24"/>
                <w:szCs w:val="24"/>
              </w:rPr>
              <w:t>MF SR</w:t>
            </w:r>
            <w:r w:rsidRPr="0067300D">
              <w:rPr>
                <w:sz w:val="24"/>
                <w:szCs w:val="24"/>
              </w:rPr>
              <w:t xml:space="preserve">: </w:t>
            </w:r>
            <w:r w:rsidRPr="0067300D">
              <w:rPr>
                <w:i/>
                <w:sz w:val="24"/>
                <w:szCs w:val="24"/>
              </w:rPr>
              <w:t xml:space="preserve">Prechodné ustanovenia momentálne ešte nemáme pripravené, avšak s prechodnými ustanoveniami počítame.  </w:t>
            </w:r>
          </w:p>
          <w:p w:rsidR="009A0E9D" w:rsidRPr="0067300D" w:rsidRDefault="009A0E9D" w:rsidP="00725AAA">
            <w:pPr>
              <w:jc w:val="both"/>
              <w:rPr>
                <w:sz w:val="24"/>
                <w:szCs w:val="24"/>
              </w:rPr>
            </w:pPr>
          </w:p>
          <w:p w:rsidR="009A0E9D" w:rsidRPr="0067300D" w:rsidRDefault="009A0E9D" w:rsidP="00725AAA">
            <w:pPr>
              <w:pStyle w:val="Nadpis1"/>
              <w:outlineLvl w:val="0"/>
              <w:rPr>
                <w:rFonts w:ascii="Times New Roman" w:hAnsi="Times New Roman" w:cs="Times New Roman"/>
                <w:sz w:val="24"/>
                <w:szCs w:val="24"/>
              </w:rPr>
            </w:pPr>
            <w:r w:rsidRPr="0067300D">
              <w:rPr>
                <w:rFonts w:ascii="Times New Roman" w:hAnsi="Times New Roman" w:cs="Times New Roman"/>
                <w:sz w:val="24"/>
                <w:szCs w:val="24"/>
              </w:rPr>
              <w:t>Pripomienky APZ</w:t>
            </w:r>
          </w:p>
          <w:p w:rsidR="009A0E9D" w:rsidRPr="0067300D" w:rsidRDefault="009A0E9D" w:rsidP="00725AAA">
            <w:pPr>
              <w:jc w:val="both"/>
              <w:rPr>
                <w:b/>
                <w:sz w:val="24"/>
                <w:szCs w:val="24"/>
              </w:rPr>
            </w:pPr>
          </w:p>
          <w:p w:rsidR="009A0E9D" w:rsidRPr="0067300D" w:rsidRDefault="009A0E9D" w:rsidP="00725AAA">
            <w:pPr>
              <w:pStyle w:val="Nadpis1"/>
              <w:outlineLvl w:val="0"/>
              <w:rPr>
                <w:rFonts w:ascii="Times New Roman" w:hAnsi="Times New Roman" w:cs="Times New Roman"/>
                <w:sz w:val="24"/>
                <w:szCs w:val="24"/>
              </w:rPr>
            </w:pPr>
            <w:r w:rsidRPr="0067300D">
              <w:rPr>
                <w:rFonts w:ascii="Times New Roman" w:hAnsi="Times New Roman" w:cs="Times New Roman"/>
                <w:sz w:val="24"/>
                <w:szCs w:val="24"/>
              </w:rPr>
              <w:t>Prenos daňovej povinnosti pri stavebných prácach na báze dobrovoľnosti</w:t>
            </w:r>
          </w:p>
          <w:p w:rsidR="009A0E9D" w:rsidRPr="0067300D" w:rsidRDefault="009A0E9D" w:rsidP="00725AAA">
            <w:pPr>
              <w:jc w:val="both"/>
              <w:rPr>
                <w:sz w:val="24"/>
                <w:szCs w:val="24"/>
              </w:rPr>
            </w:pPr>
            <w:r w:rsidRPr="0067300D">
              <w:rPr>
                <w:sz w:val="24"/>
                <w:szCs w:val="24"/>
              </w:rPr>
              <w:t xml:space="preserve">Podľa zástupcu výrobných podnikov vznikajú v praxi problémy pri dodávkach stavebných prác. V zmysle zákona o DPH sa na stavebné práce uplatňuje prenos daňovej povinnosti (RCM), a teda DPH odvádza odberateľ stavebných prác. Dodávatelia sa dostávajú do sporu s odberateľmi, či sa má pri konkrétnych stavebných prácach uplatniť RCM. Čiastočne pomáha informatívny zoznam stavebných prác Finančnej správy SR (ďalej len „FS“), ale pri niektorých prácach je potrebné prerokovať faktúru po faktúre. </w:t>
            </w:r>
          </w:p>
          <w:p w:rsidR="009A0E9D" w:rsidRPr="0067300D" w:rsidRDefault="009A0E9D" w:rsidP="00725AAA">
            <w:pPr>
              <w:jc w:val="both"/>
              <w:rPr>
                <w:sz w:val="24"/>
                <w:szCs w:val="24"/>
              </w:rPr>
            </w:pPr>
          </w:p>
          <w:p w:rsidR="009A0E9D" w:rsidRPr="0067300D" w:rsidRDefault="009A0E9D" w:rsidP="00725AAA">
            <w:pPr>
              <w:jc w:val="both"/>
              <w:rPr>
                <w:sz w:val="24"/>
                <w:szCs w:val="24"/>
              </w:rPr>
            </w:pPr>
            <w:r w:rsidRPr="0067300D">
              <w:rPr>
                <w:i/>
                <w:sz w:val="24"/>
                <w:szCs w:val="24"/>
              </w:rPr>
              <w:t xml:space="preserve">MF SR: Rozšírenie mechanizmu tuzemského prenosu daňovej povinnosti na príjemcu plnenia pri dodaní stavebných prác bolo zavedené ako jedno z opatrení vlády SR, ktorého cieľom bolo riešiť nepriaznivú ekonomickú situáciu týkajúcu sa platobnej neschopnosti odberateľov a súčasne eliminovať daňové podvody v sektore stavebníctva. Súčasnú právnu úpravu považujeme za vhodnú. </w:t>
            </w:r>
          </w:p>
          <w:p w:rsidR="009A0E9D" w:rsidRPr="0067300D" w:rsidRDefault="009A0E9D" w:rsidP="00725AAA">
            <w:pPr>
              <w:jc w:val="both"/>
              <w:rPr>
                <w:i/>
                <w:sz w:val="24"/>
                <w:szCs w:val="24"/>
              </w:rPr>
            </w:pPr>
            <w:r w:rsidRPr="0067300D">
              <w:rPr>
                <w:i/>
                <w:sz w:val="24"/>
                <w:szCs w:val="24"/>
              </w:rPr>
              <w:t>Návrh zmeny ustanovenia prekonzultujeme so zástupcami FR SR s cieľom zistiť, aké problémy majú hlásené a ako často aktualizujú tieto zoznamy.</w:t>
            </w:r>
          </w:p>
          <w:p w:rsidR="009A0E9D" w:rsidRPr="0067300D" w:rsidRDefault="009A0E9D" w:rsidP="00725AAA">
            <w:pPr>
              <w:jc w:val="both"/>
              <w:rPr>
                <w:i/>
                <w:sz w:val="24"/>
                <w:szCs w:val="24"/>
              </w:rPr>
            </w:pPr>
          </w:p>
          <w:p w:rsidR="009A0E9D" w:rsidRPr="0067300D" w:rsidRDefault="009A0E9D" w:rsidP="00725AAA">
            <w:pPr>
              <w:jc w:val="both"/>
              <w:rPr>
                <w:i/>
                <w:sz w:val="24"/>
                <w:szCs w:val="24"/>
              </w:rPr>
            </w:pPr>
            <w:r w:rsidRPr="0067300D">
              <w:rPr>
                <w:i/>
                <w:sz w:val="24"/>
                <w:szCs w:val="24"/>
              </w:rPr>
              <w:t>Odpoveď FR SR:</w:t>
            </w:r>
            <w:r>
              <w:rPr>
                <w:i/>
                <w:sz w:val="24"/>
                <w:szCs w:val="24"/>
              </w:rPr>
              <w:t xml:space="preserve"> </w:t>
            </w:r>
            <w:r w:rsidRPr="0067300D">
              <w:rPr>
                <w:i/>
                <w:sz w:val="24"/>
                <w:szCs w:val="24"/>
              </w:rPr>
              <w:t>Návrh podnikateľských subjektov, ktorý sa týka § 69 ods. 17 o DPH FR SR  nepodporuje.</w:t>
            </w:r>
          </w:p>
          <w:p w:rsidR="009A0E9D" w:rsidRPr="0067300D" w:rsidRDefault="009A0E9D" w:rsidP="00725AAA">
            <w:pPr>
              <w:jc w:val="both"/>
              <w:rPr>
                <w:i/>
                <w:sz w:val="24"/>
                <w:szCs w:val="24"/>
              </w:rPr>
            </w:pPr>
            <w:r w:rsidRPr="0067300D">
              <w:rPr>
                <w:i/>
                <w:sz w:val="24"/>
                <w:szCs w:val="24"/>
              </w:rPr>
              <w:t>Ak sa už v samotnom návrhu hovorí o stavebných prácach, je potrebné vychádzať z toho, či sa o stavebné práce jedná alebo nie, a dohoda je v takom prípade irelevantná. Úprava ods. 17 tohto ustanovenia účinná od 1.1.2017 do značnej miery odstránila aplikačné nejasnosti, keď zodpovednosť za označenie dodávky bola zverená jej dodávateľovi. Nemalo by byť vecou úvahy prijímateľa, ktorý spravidla vykonáva celkom iné zdaniteľné transakcie, aby dojednával, či ním prijaté plnenie spadá do sekcie F CPA alebo nie. Aplikovať ustanovenia zákona v závislosti od dohody platiteľov dane považujeme za nevhodné a môže byť spojené s ďalšími aplikačnými problémami:</w:t>
            </w:r>
          </w:p>
          <w:p w:rsidR="009A0E9D" w:rsidRPr="0067300D" w:rsidRDefault="009A0E9D" w:rsidP="00725AAA">
            <w:pPr>
              <w:jc w:val="both"/>
              <w:rPr>
                <w:i/>
                <w:sz w:val="24"/>
                <w:szCs w:val="24"/>
              </w:rPr>
            </w:pPr>
            <w:r w:rsidRPr="0067300D">
              <w:rPr>
                <w:i/>
                <w:sz w:val="24"/>
                <w:szCs w:val="24"/>
              </w:rPr>
              <w:t>- čo v prípade, ak by sa jednalo o dohodu ústnu, pričom následne by došlo k jej zmene, následne by sa  jeden z účastníkov dohody stal nekontaktným subjektom, bol by zrušený a pod.? Nie je zrejmé, ako by správca dane vyhodnocoval skutkový stav?</w:t>
            </w:r>
          </w:p>
          <w:p w:rsidR="009A0E9D" w:rsidRPr="0067300D" w:rsidRDefault="009A0E9D" w:rsidP="00725AAA">
            <w:pPr>
              <w:jc w:val="both"/>
              <w:rPr>
                <w:i/>
                <w:sz w:val="24"/>
                <w:szCs w:val="24"/>
              </w:rPr>
            </w:pPr>
            <w:r w:rsidRPr="0067300D">
              <w:rPr>
                <w:i/>
                <w:sz w:val="24"/>
                <w:szCs w:val="24"/>
              </w:rPr>
              <w:t xml:space="preserve">- čo v prípade, ak by došlo k dohode o prenose daňovej povinnosti, pričom by sa zjavne nejednalo o poskytnutie plnení, na ktoré sa má vzťahovať § 69 ods. 12 písm. j)? </w:t>
            </w:r>
          </w:p>
          <w:p w:rsidR="009A0E9D" w:rsidRPr="0067300D" w:rsidRDefault="009A0E9D" w:rsidP="00725AAA">
            <w:pPr>
              <w:jc w:val="both"/>
              <w:rPr>
                <w:i/>
                <w:sz w:val="24"/>
                <w:szCs w:val="24"/>
              </w:rPr>
            </w:pPr>
            <w:r w:rsidRPr="0067300D">
              <w:rPr>
                <w:i/>
                <w:sz w:val="24"/>
                <w:szCs w:val="24"/>
              </w:rPr>
              <w:t>- správca dane by v prípade rôznych špekulatívnych dohôd musel dokazovať konanie v dobrej viere a pod.</w:t>
            </w:r>
          </w:p>
          <w:p w:rsidR="009A0E9D" w:rsidRPr="0067300D" w:rsidRDefault="009A0E9D" w:rsidP="00725AAA">
            <w:pPr>
              <w:jc w:val="both"/>
              <w:rPr>
                <w:i/>
                <w:sz w:val="24"/>
                <w:szCs w:val="24"/>
              </w:rPr>
            </w:pPr>
            <w:r w:rsidRPr="0067300D">
              <w:rPr>
                <w:i/>
                <w:sz w:val="24"/>
                <w:szCs w:val="24"/>
              </w:rPr>
              <w:t>- aplikácia zákona na základe dohody by zamedzila výkon analytickej činnosti FS, nakoľko FS nebude mať informácie, kto a s kým uzavrel takúto  dohodu.</w:t>
            </w:r>
          </w:p>
          <w:p w:rsidR="009A0E9D" w:rsidRPr="0067300D" w:rsidRDefault="009A0E9D" w:rsidP="00725AAA">
            <w:pPr>
              <w:jc w:val="both"/>
              <w:rPr>
                <w:i/>
                <w:sz w:val="24"/>
                <w:szCs w:val="24"/>
              </w:rPr>
            </w:pPr>
          </w:p>
          <w:p w:rsidR="009A0E9D" w:rsidRPr="0067300D" w:rsidRDefault="009A0E9D" w:rsidP="00725AAA">
            <w:pPr>
              <w:jc w:val="both"/>
              <w:rPr>
                <w:i/>
                <w:sz w:val="24"/>
                <w:szCs w:val="24"/>
              </w:rPr>
            </w:pPr>
            <w:r w:rsidRPr="0067300D">
              <w:rPr>
                <w:i/>
                <w:sz w:val="24"/>
                <w:szCs w:val="24"/>
              </w:rPr>
              <w:t>Podľa oddelenia metodiky DPH a z vyjadrenia  daňových  úradov je zrejmé, že  v ostatnom období nie sú  evidované aplikačné problémy v tejto oblasti, čo pripisujeme  novele ustanovenia § 69 ods. 17 zákona o DPH (1.1.2017).</w:t>
            </w:r>
          </w:p>
          <w:p w:rsidR="009A0E9D" w:rsidRPr="0067300D" w:rsidRDefault="009A0E9D" w:rsidP="00725AAA">
            <w:pPr>
              <w:jc w:val="both"/>
              <w:rPr>
                <w:i/>
                <w:sz w:val="24"/>
                <w:szCs w:val="24"/>
              </w:rPr>
            </w:pPr>
            <w:r w:rsidRPr="0067300D">
              <w:rPr>
                <w:i/>
                <w:sz w:val="24"/>
                <w:szCs w:val="24"/>
              </w:rPr>
              <w:t>Centrum podpory pre dane k problematike zaujalo nasledovné stanovisko:</w:t>
            </w:r>
          </w:p>
          <w:p w:rsidR="009A0E9D" w:rsidRPr="0067300D" w:rsidRDefault="009A0E9D" w:rsidP="00725AAA">
            <w:pPr>
              <w:pStyle w:val="Default"/>
              <w:jc w:val="both"/>
              <w:rPr>
                <w:i/>
                <w:iCs/>
                <w:color w:val="auto"/>
              </w:rPr>
            </w:pPr>
            <w:r w:rsidRPr="0067300D">
              <w:rPr>
                <w:i/>
                <w:iCs/>
                <w:color w:val="auto"/>
              </w:rPr>
              <w:t>Otázky od platiteľov ohľadne zatrieďovania stavebných prác  do sekcie F klasifikácie CPA sa stále vyskytujú. Väčšinou sú to otázky,  so zatriedením ktorých nie sú veľké problémy, pretože podľa ich obsahu nie je ich ťažké nájsť v príslušnej sekcii F, resp. sa nachádzajú v príslušnom „</w:t>
            </w:r>
            <w:hyperlink r:id="rId4" w:history="1">
              <w:r w:rsidRPr="0067300D">
                <w:rPr>
                  <w:rStyle w:val="Hypertextovprepojenie"/>
                  <w:i/>
                  <w:iCs/>
                  <w:color w:val="auto"/>
                </w:rPr>
                <w:t>Prehľad-e činností zatriedených podľa štatistickej klasifikácie produktov podľa činností (CPA)“,</w:t>
              </w:r>
            </w:hyperlink>
            <w:r w:rsidRPr="0067300D">
              <w:rPr>
                <w:i/>
                <w:iCs/>
                <w:color w:val="auto"/>
              </w:rPr>
              <w:t xml:space="preserve"> ktorý je  zverejnený na portáli FR SR a obsahuje už 951 zatriedených činností. Menej často (ako po minulé roky) sa vyskytujú  problematické zatriedenia, ktoré si vyžadujú dôslednú analýzu poskytovaných činností (napr. zložené plnenia, špecifikáciu činností).   Predmetný prehľad činností sme naposledy dopĺňali novou službou 24.10. 2018.</w:t>
            </w:r>
          </w:p>
          <w:p w:rsidR="009A0E9D" w:rsidRPr="0067300D" w:rsidRDefault="009A0E9D" w:rsidP="00725AAA">
            <w:pPr>
              <w:jc w:val="both"/>
              <w:rPr>
                <w:i/>
                <w:sz w:val="24"/>
                <w:szCs w:val="24"/>
              </w:rPr>
            </w:pPr>
          </w:p>
          <w:p w:rsidR="009A0E9D" w:rsidRPr="0067300D" w:rsidRDefault="009A0E9D" w:rsidP="00725AAA">
            <w:pPr>
              <w:pStyle w:val="Nadpis1"/>
              <w:outlineLvl w:val="0"/>
              <w:rPr>
                <w:rFonts w:ascii="Times New Roman" w:hAnsi="Times New Roman" w:cs="Times New Roman"/>
                <w:sz w:val="24"/>
                <w:szCs w:val="24"/>
              </w:rPr>
            </w:pPr>
            <w:r w:rsidRPr="0067300D">
              <w:rPr>
                <w:rFonts w:ascii="Times New Roman" w:hAnsi="Times New Roman" w:cs="Times New Roman"/>
                <w:sz w:val="24"/>
                <w:szCs w:val="24"/>
              </w:rPr>
              <w:t xml:space="preserve">Zrušiť osobitnú úpravu v § 68d - tzv. cash </w:t>
            </w:r>
            <w:proofErr w:type="spellStart"/>
            <w:r w:rsidRPr="0067300D">
              <w:rPr>
                <w:rFonts w:ascii="Times New Roman" w:hAnsi="Times New Roman" w:cs="Times New Roman"/>
                <w:sz w:val="24"/>
                <w:szCs w:val="24"/>
              </w:rPr>
              <w:t>accounting</w:t>
            </w:r>
            <w:proofErr w:type="spellEnd"/>
          </w:p>
          <w:p w:rsidR="009A0E9D" w:rsidRPr="0067300D" w:rsidRDefault="009A0E9D" w:rsidP="00725AAA">
            <w:pPr>
              <w:jc w:val="both"/>
              <w:rPr>
                <w:sz w:val="24"/>
                <w:szCs w:val="24"/>
              </w:rPr>
            </w:pPr>
            <w:r w:rsidRPr="0067300D">
              <w:rPr>
                <w:sz w:val="24"/>
                <w:szCs w:val="24"/>
              </w:rPr>
              <w:t xml:space="preserve">Navrhujú zrušiť možnosť osobitnej úpravy uplatňovania dane na základe prijatia platby za dodanie tovaru alebo služby (tzv. cash </w:t>
            </w:r>
            <w:proofErr w:type="spellStart"/>
            <w:r w:rsidRPr="0067300D">
              <w:rPr>
                <w:sz w:val="24"/>
                <w:szCs w:val="24"/>
              </w:rPr>
              <w:t>accounting</w:t>
            </w:r>
            <w:proofErr w:type="spellEnd"/>
            <w:r w:rsidRPr="0067300D">
              <w:rPr>
                <w:sz w:val="24"/>
                <w:szCs w:val="24"/>
              </w:rPr>
              <w:t xml:space="preserve">), a to z dôvodu zvýšenej administratívnej náročnosti pre veľké subjekty. Pri obchodovaní so subjektom, ktorý uplatňuje osobitnú úpravu, je potrebné sledovať moment zaplatenia faktúry, aby mohlo byť uplatnené právo na odpočet. Z tohto dôvodu je/bolo potrebné upraviť informačné systémy. </w:t>
            </w:r>
          </w:p>
          <w:p w:rsidR="009A0E9D" w:rsidRPr="0067300D" w:rsidRDefault="009A0E9D" w:rsidP="00725AAA">
            <w:pPr>
              <w:jc w:val="both"/>
              <w:rPr>
                <w:sz w:val="24"/>
                <w:szCs w:val="24"/>
              </w:rPr>
            </w:pPr>
          </w:p>
          <w:p w:rsidR="009A0E9D" w:rsidRPr="0067300D" w:rsidRDefault="009A0E9D" w:rsidP="00725AAA">
            <w:pPr>
              <w:jc w:val="both"/>
              <w:rPr>
                <w:i/>
                <w:sz w:val="24"/>
                <w:szCs w:val="24"/>
              </w:rPr>
            </w:pPr>
            <w:r w:rsidRPr="0067300D">
              <w:rPr>
                <w:i/>
                <w:sz w:val="24"/>
                <w:szCs w:val="24"/>
              </w:rPr>
              <w:lastRenderedPageBreak/>
              <w:t xml:space="preserve">MF SR: Ide o dobrovoľnú schému, ktorú nám umožňuje smernica. Aj v tomto prípade ide o opatrenie vlády, ktorého cieľom bolo riešiť nepriaznivú ekonomickú situáciu týkajúcu sa platobnej neschopnosti odberateľov. </w:t>
            </w:r>
          </w:p>
          <w:p w:rsidR="009A0E9D" w:rsidRPr="0067300D" w:rsidRDefault="009A0E9D" w:rsidP="00725AAA">
            <w:pPr>
              <w:jc w:val="both"/>
              <w:rPr>
                <w:i/>
                <w:sz w:val="24"/>
                <w:szCs w:val="24"/>
              </w:rPr>
            </w:pPr>
            <w:r w:rsidRPr="0067300D">
              <w:rPr>
                <w:i/>
                <w:sz w:val="24"/>
                <w:szCs w:val="24"/>
              </w:rPr>
              <w:t>V súčasnosti osobitnú úpravu využíva iba cca 540 subjektov (najmä advokátske kancelárie, fyzické osoby a pod.). Nie je vhodné po 3 rokoch od zavedenia tejto úpravy pre malých podnikateľov pristúpiť k jej zrušeniu. Zavedeniu predchádzala analýza situácie. Momentálne na žiadnej analýze nepracujeme. Disponujete nejakou analýzou vy?</w:t>
            </w:r>
          </w:p>
          <w:p w:rsidR="009A0E9D" w:rsidRPr="0067300D" w:rsidRDefault="009A0E9D" w:rsidP="00725AAA">
            <w:pPr>
              <w:jc w:val="both"/>
              <w:rPr>
                <w:sz w:val="24"/>
                <w:szCs w:val="24"/>
              </w:rPr>
            </w:pPr>
          </w:p>
          <w:p w:rsidR="009A0E9D" w:rsidRPr="0067300D" w:rsidRDefault="009A0E9D" w:rsidP="00725AAA">
            <w:pPr>
              <w:jc w:val="both"/>
              <w:rPr>
                <w:sz w:val="24"/>
                <w:szCs w:val="24"/>
              </w:rPr>
            </w:pPr>
            <w:r w:rsidRPr="0067300D">
              <w:rPr>
                <w:sz w:val="24"/>
                <w:szCs w:val="24"/>
              </w:rPr>
              <w:t>APZ: Nie.</w:t>
            </w:r>
          </w:p>
          <w:p w:rsidR="009A0E9D" w:rsidRPr="0067300D" w:rsidRDefault="009A0E9D" w:rsidP="00725AAA">
            <w:pPr>
              <w:jc w:val="both"/>
              <w:rPr>
                <w:sz w:val="24"/>
                <w:szCs w:val="24"/>
              </w:rPr>
            </w:pPr>
          </w:p>
          <w:p w:rsidR="009A0E9D" w:rsidRPr="0067300D" w:rsidRDefault="009A0E9D" w:rsidP="00725AAA">
            <w:pPr>
              <w:pStyle w:val="Nadpis1"/>
              <w:outlineLvl w:val="0"/>
              <w:rPr>
                <w:rFonts w:ascii="Times New Roman" w:hAnsi="Times New Roman" w:cs="Times New Roman"/>
                <w:sz w:val="24"/>
                <w:szCs w:val="24"/>
              </w:rPr>
            </w:pPr>
            <w:r w:rsidRPr="0067300D">
              <w:rPr>
                <w:rFonts w:ascii="Times New Roman" w:hAnsi="Times New Roman" w:cs="Times New Roman"/>
                <w:sz w:val="24"/>
                <w:szCs w:val="24"/>
              </w:rPr>
              <w:t>DPH pri CSR („</w:t>
            </w:r>
            <w:proofErr w:type="spellStart"/>
            <w:r w:rsidRPr="0067300D">
              <w:rPr>
                <w:rFonts w:ascii="Times New Roman" w:hAnsi="Times New Roman" w:cs="Times New Roman"/>
                <w:sz w:val="24"/>
                <w:szCs w:val="24"/>
              </w:rPr>
              <w:t>company</w:t>
            </w:r>
            <w:proofErr w:type="spellEnd"/>
            <w:r>
              <w:rPr>
                <w:rFonts w:ascii="Times New Roman" w:hAnsi="Times New Roman" w:cs="Times New Roman"/>
                <w:sz w:val="24"/>
                <w:szCs w:val="24"/>
              </w:rPr>
              <w:t xml:space="preserve"> </w:t>
            </w:r>
            <w:proofErr w:type="spellStart"/>
            <w:r w:rsidRPr="0067300D">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sidRPr="0067300D">
              <w:rPr>
                <w:rFonts w:ascii="Times New Roman" w:hAnsi="Times New Roman" w:cs="Times New Roman"/>
                <w:sz w:val="24"/>
                <w:szCs w:val="24"/>
              </w:rPr>
              <w:t>responsibility</w:t>
            </w:r>
            <w:proofErr w:type="spellEnd"/>
            <w:r w:rsidRPr="0067300D">
              <w:rPr>
                <w:rFonts w:ascii="Times New Roman" w:hAnsi="Times New Roman" w:cs="Times New Roman"/>
                <w:sz w:val="24"/>
                <w:szCs w:val="24"/>
              </w:rPr>
              <w:t xml:space="preserve">“) aktivitách </w:t>
            </w:r>
          </w:p>
          <w:p w:rsidR="009A0E9D" w:rsidRPr="0067300D" w:rsidRDefault="009A0E9D" w:rsidP="00725AAA">
            <w:pPr>
              <w:jc w:val="both"/>
              <w:rPr>
                <w:sz w:val="24"/>
                <w:szCs w:val="24"/>
              </w:rPr>
            </w:pPr>
            <w:r w:rsidRPr="0067300D">
              <w:rPr>
                <w:sz w:val="24"/>
                <w:szCs w:val="24"/>
              </w:rPr>
              <w:t>Navrhujú možnosť odpočtu z tovarov a služieb, ktoré budú použité na CSR aktivity.</w:t>
            </w:r>
          </w:p>
          <w:p w:rsidR="009A0E9D" w:rsidRPr="0067300D" w:rsidRDefault="009A0E9D" w:rsidP="00725AAA">
            <w:pPr>
              <w:tabs>
                <w:tab w:val="left" w:pos="8325"/>
              </w:tabs>
              <w:jc w:val="both"/>
              <w:rPr>
                <w:i/>
                <w:sz w:val="24"/>
                <w:szCs w:val="24"/>
              </w:rPr>
            </w:pPr>
            <w:r w:rsidRPr="0067300D">
              <w:rPr>
                <w:i/>
                <w:sz w:val="24"/>
                <w:szCs w:val="24"/>
              </w:rPr>
              <w:tab/>
            </w: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MF SR: Zákon o DPH musí byť v súlade so smernicou o DPH. Smernica neobsahuje osobitné pravidlá pre tieto aktivity. Ak nájdete spôsob, ako to upraviť, aby sme neporušili právo EÚ, môžete nám návrh úpravy kedykoľvek poslať.</w:t>
            </w:r>
          </w:p>
          <w:p w:rsidR="009A0E9D" w:rsidRPr="0067300D" w:rsidRDefault="009A0E9D" w:rsidP="00725AAA">
            <w:pPr>
              <w:jc w:val="both"/>
              <w:rPr>
                <w:sz w:val="24"/>
                <w:szCs w:val="24"/>
              </w:rPr>
            </w:pPr>
          </w:p>
          <w:p w:rsidR="009A0E9D" w:rsidRPr="0067300D" w:rsidRDefault="009A0E9D" w:rsidP="00725AAA">
            <w:pPr>
              <w:jc w:val="both"/>
              <w:rPr>
                <w:sz w:val="24"/>
                <w:szCs w:val="24"/>
              </w:rPr>
            </w:pPr>
            <w:r w:rsidRPr="0067300D">
              <w:rPr>
                <w:b/>
                <w:sz w:val="24"/>
                <w:szCs w:val="24"/>
              </w:rPr>
              <w:t>§ 22 ods. 5 zákona o DPH</w:t>
            </w:r>
          </w:p>
          <w:p w:rsidR="009A0E9D" w:rsidRPr="0067300D" w:rsidRDefault="009A0E9D" w:rsidP="00725AAA">
            <w:pPr>
              <w:pStyle w:val="Zkladntext"/>
              <w:rPr>
                <w:rFonts w:ascii="Times New Roman" w:hAnsi="Times New Roman"/>
                <w:sz w:val="24"/>
                <w:szCs w:val="24"/>
              </w:rPr>
            </w:pPr>
            <w:r w:rsidRPr="0067300D">
              <w:rPr>
                <w:rFonts w:ascii="Times New Roman" w:hAnsi="Times New Roman"/>
                <w:sz w:val="24"/>
                <w:szCs w:val="24"/>
              </w:rPr>
              <w:t>Navrhujú vytvoriť proces na prípady, keď sa daňovník rozhodne darovať už nepoužívaný drobný hmotný majetok, pri ktorom nevie uplatniť znižovanie základu dane pre výpočet DPH podľa zákona o dani z príjmov. Ako príklad sa dá použiť darovanie starších PC, pri ktorých je z ekonomického hľadiska výhodnejšie ich zlikvidovať ako dodatočne odvádzať DPH, ktorá sa odpočítala pred 3 – 4 rokmi.</w:t>
            </w:r>
          </w:p>
          <w:p w:rsidR="009A0E9D" w:rsidRPr="0067300D" w:rsidRDefault="009A0E9D" w:rsidP="00725AAA">
            <w:pPr>
              <w:jc w:val="both"/>
              <w:rPr>
                <w:i/>
                <w:sz w:val="24"/>
                <w:szCs w:val="24"/>
              </w:rPr>
            </w:pPr>
          </w:p>
          <w:p w:rsidR="009A0E9D" w:rsidRPr="0067300D" w:rsidRDefault="009A0E9D" w:rsidP="00725AAA">
            <w:pPr>
              <w:jc w:val="both"/>
              <w:rPr>
                <w:i/>
                <w:sz w:val="24"/>
                <w:szCs w:val="24"/>
              </w:rPr>
            </w:pPr>
            <w:r w:rsidRPr="0067300D">
              <w:rPr>
                <w:i/>
                <w:sz w:val="24"/>
                <w:szCs w:val="24"/>
              </w:rPr>
              <w:t>MF SR: Máme v pláne sa tým zaoberať, cítime, že súčasné znenie môže spôsobovať problémy v praxi. Budeme hľadať cestu ako to upraviť. Ak máte konkrétny návrh, môžete nám ho poslať.</w:t>
            </w:r>
          </w:p>
          <w:p w:rsidR="009A0E9D" w:rsidRPr="0067300D" w:rsidRDefault="009A0E9D" w:rsidP="00725AAA">
            <w:pPr>
              <w:jc w:val="both"/>
              <w:rPr>
                <w:i/>
                <w:sz w:val="24"/>
                <w:szCs w:val="24"/>
              </w:rPr>
            </w:pPr>
          </w:p>
          <w:p w:rsidR="009A0E9D" w:rsidRPr="0067300D" w:rsidRDefault="009A0E9D" w:rsidP="00725AAA">
            <w:pPr>
              <w:jc w:val="both"/>
              <w:rPr>
                <w:i/>
                <w:sz w:val="24"/>
                <w:szCs w:val="24"/>
              </w:rPr>
            </w:pPr>
            <w:r w:rsidRPr="0067300D">
              <w:rPr>
                <w:sz w:val="24"/>
                <w:szCs w:val="24"/>
              </w:rPr>
              <w:t>APZ: Určite vám v najbližších dňoch návrh pošleme</w:t>
            </w:r>
            <w:r w:rsidRPr="0067300D">
              <w:rPr>
                <w:i/>
                <w:sz w:val="24"/>
                <w:szCs w:val="24"/>
              </w:rPr>
              <w:t>.</w:t>
            </w:r>
          </w:p>
          <w:p w:rsidR="009A0E9D" w:rsidRPr="0067300D" w:rsidRDefault="009A0E9D" w:rsidP="00725AAA">
            <w:pPr>
              <w:jc w:val="both"/>
              <w:rPr>
                <w:sz w:val="24"/>
                <w:szCs w:val="24"/>
              </w:rPr>
            </w:pPr>
          </w:p>
          <w:p w:rsidR="009A0E9D" w:rsidRPr="0067300D" w:rsidRDefault="009A0E9D" w:rsidP="00725AAA">
            <w:pPr>
              <w:pStyle w:val="Nadpis1"/>
              <w:outlineLvl w:val="0"/>
              <w:rPr>
                <w:rFonts w:ascii="Times New Roman" w:hAnsi="Times New Roman" w:cs="Times New Roman"/>
                <w:sz w:val="24"/>
                <w:szCs w:val="24"/>
              </w:rPr>
            </w:pPr>
            <w:r w:rsidRPr="0067300D">
              <w:rPr>
                <w:rFonts w:ascii="Times New Roman" w:hAnsi="Times New Roman" w:cs="Times New Roman"/>
                <w:sz w:val="24"/>
                <w:szCs w:val="24"/>
              </w:rPr>
              <w:t xml:space="preserve">Limit pre vykazovanie zjednodušených faktúr v oddiele B.3 kontrolného výkazu DPH </w:t>
            </w:r>
          </w:p>
          <w:p w:rsidR="009A0E9D" w:rsidRPr="0067300D" w:rsidRDefault="009A0E9D" w:rsidP="00725AAA">
            <w:pPr>
              <w:pStyle w:val="Zkladntext"/>
              <w:rPr>
                <w:rFonts w:ascii="Times New Roman" w:hAnsi="Times New Roman"/>
                <w:sz w:val="24"/>
                <w:szCs w:val="24"/>
              </w:rPr>
            </w:pPr>
            <w:r w:rsidRPr="0067300D">
              <w:rPr>
                <w:rFonts w:ascii="Times New Roman" w:hAnsi="Times New Roman"/>
                <w:sz w:val="24"/>
                <w:szCs w:val="24"/>
              </w:rPr>
              <w:t>Navrhujú zvýšiť súčasnú hranicu celkovej sumy odpočítanej dane 3000 eur, do výšky ktorej možno vykazovať údaje sumárne v oddiele B.3.1., z dôvodu administratívneho zaťaženia veľkých firiem s odpočtom dane z bločkov vo výške mierne presahujúcej hranicu na pravidelnej báze.</w:t>
            </w:r>
          </w:p>
          <w:p w:rsidR="009A0E9D" w:rsidRPr="0067300D" w:rsidRDefault="009A0E9D" w:rsidP="00725AAA">
            <w:pPr>
              <w:pStyle w:val="Zkladntext"/>
              <w:rPr>
                <w:rFonts w:ascii="Times New Roman" w:hAnsi="Times New Roman"/>
                <w:sz w:val="24"/>
                <w:szCs w:val="24"/>
              </w:rPr>
            </w:pPr>
          </w:p>
          <w:p w:rsidR="009A0E9D" w:rsidRPr="0067300D" w:rsidRDefault="009A0E9D" w:rsidP="00725AAA">
            <w:pPr>
              <w:pStyle w:val="Nadpis2"/>
              <w:outlineLvl w:val="1"/>
              <w:rPr>
                <w:rFonts w:ascii="Times New Roman" w:hAnsi="Times New Roman" w:cs="Times New Roman"/>
                <w:sz w:val="24"/>
                <w:szCs w:val="24"/>
              </w:rPr>
            </w:pPr>
            <w:r w:rsidRPr="0067300D">
              <w:rPr>
                <w:rFonts w:ascii="Times New Roman" w:hAnsi="Times New Roman" w:cs="Times New Roman"/>
                <w:sz w:val="24"/>
                <w:szCs w:val="24"/>
              </w:rPr>
              <w:t>MF SR: Limit 3</w:t>
            </w:r>
            <w:r>
              <w:rPr>
                <w:rFonts w:ascii="Times New Roman" w:hAnsi="Times New Roman" w:cs="Times New Roman"/>
                <w:sz w:val="24"/>
                <w:szCs w:val="24"/>
              </w:rPr>
              <w:t xml:space="preserve"> </w:t>
            </w:r>
            <w:r w:rsidRPr="0067300D">
              <w:rPr>
                <w:rFonts w:ascii="Times New Roman" w:hAnsi="Times New Roman" w:cs="Times New Roman"/>
                <w:sz w:val="24"/>
                <w:szCs w:val="24"/>
              </w:rPr>
              <w:t xml:space="preserve">000 eur je v zákone o DPH na základe podnetu odboru boja proti daňovým podvodom Finančnej správy. Táto suma bola určená na základe analýzy. V prípade zmeny je potrebné najprv komunikovať s Finančnou správou, či by prípadné zvýšenie tejto hranice nemalo negatívny dopad. </w:t>
            </w:r>
          </w:p>
          <w:p w:rsidR="009A0E9D" w:rsidRPr="0067300D" w:rsidRDefault="009A0E9D" w:rsidP="00725AAA">
            <w:pPr>
              <w:rPr>
                <w:sz w:val="24"/>
                <w:szCs w:val="24"/>
                <w:lang w:eastAsia="en-US"/>
              </w:rPr>
            </w:pPr>
          </w:p>
          <w:p w:rsidR="009A0E9D" w:rsidRPr="0067300D" w:rsidRDefault="009A0E9D" w:rsidP="00725AAA">
            <w:pPr>
              <w:jc w:val="both"/>
              <w:rPr>
                <w:i/>
                <w:sz w:val="24"/>
                <w:szCs w:val="24"/>
              </w:rPr>
            </w:pPr>
            <w:r w:rsidRPr="0067300D">
              <w:rPr>
                <w:i/>
                <w:sz w:val="24"/>
                <w:szCs w:val="24"/>
                <w:lang w:eastAsia="en-US"/>
              </w:rPr>
              <w:t xml:space="preserve">Odpoveď FR </w:t>
            </w:r>
            <w:proofErr w:type="spellStart"/>
            <w:r w:rsidRPr="0067300D">
              <w:rPr>
                <w:i/>
                <w:sz w:val="24"/>
                <w:szCs w:val="24"/>
                <w:lang w:eastAsia="en-US"/>
              </w:rPr>
              <w:t>SR:</w:t>
            </w:r>
            <w:r w:rsidRPr="0067300D">
              <w:rPr>
                <w:i/>
                <w:sz w:val="24"/>
                <w:szCs w:val="24"/>
              </w:rPr>
              <w:t>Návrh</w:t>
            </w:r>
            <w:proofErr w:type="spellEnd"/>
            <w:r w:rsidRPr="0067300D">
              <w:rPr>
                <w:i/>
                <w:sz w:val="24"/>
                <w:szCs w:val="24"/>
              </w:rPr>
              <w:t xml:space="preserve"> na zníženie limitu pre vykazovanie zjednodušených faktúr v oddiele B.3 považujeme za nejasný. Z návrhu nie je zrejmé, o akú sumu sa navrhuje zvýšiť celková hranica sumy 3000 €.</w:t>
            </w:r>
          </w:p>
          <w:p w:rsidR="009A0E9D" w:rsidRPr="0067300D" w:rsidRDefault="009A0E9D" w:rsidP="00725AAA">
            <w:pPr>
              <w:jc w:val="both"/>
              <w:rPr>
                <w:i/>
                <w:sz w:val="24"/>
                <w:szCs w:val="24"/>
              </w:rPr>
            </w:pPr>
            <w:r w:rsidRPr="0067300D">
              <w:rPr>
                <w:i/>
                <w:sz w:val="24"/>
                <w:szCs w:val="24"/>
              </w:rPr>
              <w:t xml:space="preserve">Argument, že by sa zvýšením limitu znížila administratívna záťaž veľkých firiem považujeme za nedostatočný. Tieto firmy nevedia dopredu sumu odpočítania dane  zo zjednodušených faktúr odhadnúť, preto by potrebnú evidenciu zrejme viedli aj naďalej. Navyše pre veľké podniky by zrejme nebolo významné zvýšenie limitu ani napr. o 1000 €, čo by na druhej strane už mohlo byť významné pre väčšinu malých a stredných podnikov. Zavedenie limitu 3000 € bol nástroj boja proti podvodom, keďže na základe zjednodušených faktúr sa čerpalo veľmi </w:t>
            </w:r>
            <w:r w:rsidRPr="0067300D">
              <w:rPr>
                <w:i/>
                <w:sz w:val="24"/>
                <w:szCs w:val="24"/>
              </w:rPr>
              <w:lastRenderedPageBreak/>
              <w:t xml:space="preserve">vysoké odpočítanie </w:t>
            </w:r>
            <w:proofErr w:type="spellStart"/>
            <w:r w:rsidRPr="0067300D">
              <w:rPr>
                <w:i/>
                <w:sz w:val="24"/>
                <w:szCs w:val="24"/>
              </w:rPr>
              <w:t>dane.Na</w:t>
            </w:r>
            <w:proofErr w:type="spellEnd"/>
            <w:r w:rsidRPr="0067300D">
              <w:rPr>
                <w:i/>
                <w:sz w:val="24"/>
                <w:szCs w:val="24"/>
              </w:rPr>
              <w:t xml:space="preserve"> základe informácie odboru boja proti podvodom tento stav naďalej pretrváva a preto by OBPP navrhoval skôr zníženie tohto limitu, ako naopak.  </w:t>
            </w:r>
          </w:p>
          <w:p w:rsidR="009A0E9D" w:rsidRPr="0067300D" w:rsidRDefault="009A0E9D" w:rsidP="00725AAA">
            <w:pPr>
              <w:rPr>
                <w:sz w:val="24"/>
                <w:szCs w:val="24"/>
              </w:rPr>
            </w:pPr>
          </w:p>
          <w:p w:rsidR="009A0E9D" w:rsidRPr="0067300D" w:rsidRDefault="009A0E9D" w:rsidP="00725AAA">
            <w:pPr>
              <w:rPr>
                <w:b/>
                <w:sz w:val="24"/>
                <w:szCs w:val="24"/>
              </w:rPr>
            </w:pPr>
            <w:r w:rsidRPr="0067300D">
              <w:rPr>
                <w:b/>
                <w:sz w:val="24"/>
                <w:szCs w:val="24"/>
              </w:rPr>
              <w:t>Prenájom nehnuteľnosti medzi podnikateľmi od 1.1.2019 - § 38 ods. 5</w:t>
            </w:r>
          </w:p>
          <w:p w:rsidR="009A0E9D" w:rsidRPr="0067300D" w:rsidRDefault="009A0E9D" w:rsidP="00725AAA">
            <w:pPr>
              <w:jc w:val="both"/>
              <w:rPr>
                <w:sz w:val="24"/>
                <w:szCs w:val="24"/>
              </w:rPr>
            </w:pPr>
            <w:r w:rsidRPr="0067300D">
              <w:rPr>
                <w:sz w:val="24"/>
                <w:szCs w:val="24"/>
              </w:rPr>
              <w:t xml:space="preserve">Navrhujú umožniť voľbu prenajímateľa zdaniť prenájom nehnuteľnosti, ak je účelom nájomcu zabezpečiť ubytovanie svojich zamestnancov. Dôvodom je strata nároku na uplatnenie odpočtu DPH na vstupe pri veľkých firmách s vysokým počtom zamestnancov, pre ktorých je zmluvne zabezpečené ubytovanie. Zamestnávatelia majú záujem si udržať kvalifikovanú pracovnú silu a za týmto účelom jej musia zabezpečiť ubytovanie.  </w:t>
            </w:r>
          </w:p>
          <w:p w:rsidR="009A0E9D" w:rsidRPr="0067300D" w:rsidRDefault="009A0E9D" w:rsidP="00725AAA">
            <w:pPr>
              <w:jc w:val="both"/>
              <w:rPr>
                <w:b/>
                <w:sz w:val="24"/>
                <w:szCs w:val="24"/>
              </w:rPr>
            </w:pP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 xml:space="preserve">MF SR: Toto opatrenie bolo zavedené iba tento rok. Uplynula krátka doba na to, aby sme ho mohli vyhodnotiť. Neskôr môžeme diskutovať o nejakej úprave. </w:t>
            </w: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Základným pravidlom v zmysle smernice je, aby prenájom bol oslobodený od DPH, a to zo sociálnych dôvodov. Aj pôvodné znenie zákona o DPH znelo tak, že prenájom je oslobodený a prenajímateľ má iba možnosť sa rozhodnúť prenájom zdaniť.</w:t>
            </w: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 xml:space="preserve">Dôvodom úpravy bolo veľké množstvo postupov, ktorých cieľom bolo zneužitie právnej úpravy. Byty boli kupované rôznymi firmami, ktoré deklarovali ich využívanie na podnikanie, avšak v skutočnosti ich využívali na súkromné bývanie. </w:t>
            </w: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 xml:space="preserve">Každé sprísnenie právnej úpravy, ktorou sa snažíme zamedziť podvodom, z časti spôsobí aj zvýšenie záťaže pre poctivých podnikateľov. Cieľom úpravy nebolo získať dodatočné prostriedky do rozpočtu, ale zabezpečiť, aby štátny rozpočet dostal to, čo mu patrí.  </w:t>
            </w:r>
          </w:p>
          <w:p w:rsidR="009A0E9D" w:rsidRPr="0067300D" w:rsidRDefault="009A0E9D" w:rsidP="00725AAA">
            <w:pPr>
              <w:pStyle w:val="Zkladntext2"/>
              <w:rPr>
                <w:rFonts w:ascii="Times New Roman" w:hAnsi="Times New Roman"/>
                <w:i w:val="0"/>
                <w:sz w:val="24"/>
                <w:szCs w:val="24"/>
              </w:rPr>
            </w:pPr>
            <w:r w:rsidRPr="0067300D">
              <w:rPr>
                <w:rFonts w:ascii="Times New Roman" w:hAnsi="Times New Roman"/>
                <w:sz w:val="24"/>
                <w:szCs w:val="24"/>
              </w:rPr>
              <w:t>Tejto pripomienke sa môžeme venovať, ale na vyššej riadiacej úrovni.</w:t>
            </w:r>
          </w:p>
          <w:p w:rsidR="009A0E9D" w:rsidRPr="0067300D" w:rsidRDefault="009A0E9D" w:rsidP="00725AAA">
            <w:pPr>
              <w:pStyle w:val="Zkladntext2"/>
              <w:rPr>
                <w:rFonts w:ascii="Times New Roman" w:hAnsi="Times New Roman"/>
                <w:b/>
                <w:i w:val="0"/>
                <w:sz w:val="24"/>
                <w:szCs w:val="24"/>
              </w:rPr>
            </w:pPr>
          </w:p>
          <w:p w:rsidR="009A0E9D" w:rsidRPr="0067300D" w:rsidRDefault="009A0E9D" w:rsidP="00725AAA">
            <w:pPr>
              <w:pStyle w:val="Zkladntext2"/>
              <w:rPr>
                <w:rFonts w:ascii="Times New Roman" w:hAnsi="Times New Roman"/>
                <w:b/>
                <w:i w:val="0"/>
                <w:sz w:val="24"/>
                <w:szCs w:val="24"/>
              </w:rPr>
            </w:pPr>
            <w:r w:rsidRPr="0067300D">
              <w:rPr>
                <w:rFonts w:ascii="Times New Roman" w:hAnsi="Times New Roman"/>
                <w:b/>
                <w:i w:val="0"/>
                <w:sz w:val="24"/>
                <w:szCs w:val="24"/>
              </w:rPr>
              <w:t>Vyvolané investície</w:t>
            </w:r>
          </w:p>
          <w:p w:rsidR="009A0E9D" w:rsidRPr="0067300D" w:rsidRDefault="009A0E9D" w:rsidP="00725AAA">
            <w:pPr>
              <w:pStyle w:val="Zkladntext2"/>
              <w:rPr>
                <w:rFonts w:ascii="Times New Roman" w:hAnsi="Times New Roman"/>
                <w:b/>
                <w:i w:val="0"/>
                <w:sz w:val="24"/>
                <w:szCs w:val="24"/>
              </w:rPr>
            </w:pPr>
            <w:r w:rsidRPr="0067300D">
              <w:rPr>
                <w:rFonts w:ascii="Times New Roman" w:hAnsi="Times New Roman"/>
                <w:i w:val="0"/>
                <w:sz w:val="24"/>
                <w:szCs w:val="24"/>
              </w:rPr>
              <w:t xml:space="preserve">Navrhujú zrovnoprávniť posudzovanie vyvolaných investícií s daňou z príjmu právnických osôb. Pri investičnej činnosti podnikateľov obce ukladajú podnikateľom povinnosť vybudovať aj infraštruktúru, ktorú majú následne bezplatne previesť samospráve. Z pohľadu zákona o dani z príjmov tieto vyvolané investície sú súčasťou hlavnej investície a je možné ich odpisovať. Z pohľadu zákona o DPH ide o bezodplatné dodanie, ktoré je potrebné zdaniť. </w:t>
            </w:r>
          </w:p>
          <w:p w:rsidR="009A0E9D" w:rsidRPr="0067300D" w:rsidRDefault="009A0E9D" w:rsidP="00725AAA">
            <w:pPr>
              <w:pStyle w:val="Zkladntext2"/>
              <w:rPr>
                <w:rFonts w:ascii="Times New Roman" w:hAnsi="Times New Roman"/>
                <w:sz w:val="24"/>
                <w:szCs w:val="24"/>
              </w:rPr>
            </w:pP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 xml:space="preserve">MF SR: Tu opäť narážame na to, čo nám umožňuje smernica o DPH. Toto určite spadá pod verejnú spotrebu, a má to byť zdanené. </w:t>
            </w: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 xml:space="preserve">Rozsudok C-132/16 </w:t>
            </w:r>
            <w:proofErr w:type="spellStart"/>
            <w:r w:rsidRPr="0067300D">
              <w:rPr>
                <w:rFonts w:ascii="Times New Roman" w:hAnsi="Times New Roman"/>
                <w:sz w:val="24"/>
                <w:szCs w:val="24"/>
              </w:rPr>
              <w:t>Iberdrola</w:t>
            </w:r>
            <w:proofErr w:type="spellEnd"/>
            <w:r w:rsidRPr="0067300D">
              <w:rPr>
                <w:rFonts w:ascii="Times New Roman" w:hAnsi="Times New Roman"/>
                <w:sz w:val="24"/>
                <w:szCs w:val="24"/>
              </w:rPr>
              <w:t xml:space="preserve"> čiastočne rieši váš problém. Ak viete preukázať, akú veľkú časť tejto vyvolanej investície využívate, tak v tomto pomere si časť tejto investície viete odpočítať. Riešenie by muselo byť na úrovni EÚ.</w:t>
            </w:r>
          </w:p>
          <w:p w:rsidR="009A0E9D" w:rsidRPr="0067300D" w:rsidRDefault="009A0E9D" w:rsidP="00725AAA">
            <w:pPr>
              <w:pStyle w:val="Zkladntext2"/>
              <w:rPr>
                <w:rFonts w:ascii="Times New Roman" w:hAnsi="Times New Roman"/>
                <w:sz w:val="24"/>
                <w:szCs w:val="24"/>
              </w:rPr>
            </w:pPr>
            <w:r w:rsidRPr="0067300D">
              <w:rPr>
                <w:rFonts w:ascii="Times New Roman" w:hAnsi="Times New Roman"/>
                <w:sz w:val="24"/>
                <w:szCs w:val="24"/>
              </w:rPr>
              <w:t xml:space="preserve">Riešenie, aké navrhujete, nie je možné kvôli pravidlám v smernici o DPH.    </w:t>
            </w:r>
          </w:p>
        </w:tc>
      </w:tr>
      <w:tr w:rsidR="009A0E9D" w:rsidRPr="0067300D" w:rsidTr="00725AAA">
        <w:tc>
          <w:tcPr>
            <w:tcW w:w="9060" w:type="dxa"/>
            <w:shd w:val="clear" w:color="auto" w:fill="D9D9D9" w:themeFill="background1" w:themeFillShade="D9"/>
          </w:tcPr>
          <w:p w:rsidR="009A0E9D" w:rsidRPr="0067300D" w:rsidRDefault="009A0E9D" w:rsidP="00725AAA">
            <w:pPr>
              <w:rPr>
                <w:b/>
                <w:sz w:val="24"/>
                <w:szCs w:val="24"/>
              </w:rPr>
            </w:pPr>
            <w:r w:rsidRPr="0067300D">
              <w:rPr>
                <w:b/>
                <w:sz w:val="24"/>
                <w:szCs w:val="24"/>
              </w:rPr>
              <w:lastRenderedPageBreak/>
              <w:t>3.3 Náklady regulácie</w:t>
            </w:r>
          </w:p>
          <w:p w:rsidR="009A0E9D" w:rsidRPr="0067300D" w:rsidRDefault="009A0E9D" w:rsidP="00725AAA">
            <w:pPr>
              <w:rPr>
                <w:b/>
                <w:sz w:val="24"/>
                <w:szCs w:val="24"/>
              </w:rPr>
            </w:pPr>
            <w:r w:rsidRPr="0067300D">
              <w:rPr>
                <w:sz w:val="24"/>
                <w:szCs w:val="24"/>
              </w:rPr>
              <w:t xml:space="preserve">      - </w:t>
            </w:r>
            <w:r w:rsidRPr="0067300D">
              <w:rPr>
                <w:b/>
                <w:sz w:val="24"/>
                <w:szCs w:val="24"/>
              </w:rPr>
              <w:t>z toho MSP</w:t>
            </w:r>
          </w:p>
        </w:tc>
      </w:tr>
      <w:tr w:rsidR="009A0E9D" w:rsidRPr="0067300D" w:rsidTr="00725AAA">
        <w:tc>
          <w:tcPr>
            <w:tcW w:w="9060" w:type="dxa"/>
          </w:tcPr>
          <w:p w:rsidR="009A0E9D" w:rsidRPr="0067300D" w:rsidRDefault="009A0E9D" w:rsidP="00725AAA">
            <w:pPr>
              <w:rPr>
                <w:b/>
                <w:i/>
                <w:sz w:val="24"/>
                <w:szCs w:val="24"/>
              </w:rPr>
            </w:pPr>
            <w:r w:rsidRPr="0067300D">
              <w:rPr>
                <w:b/>
                <w:i/>
                <w:sz w:val="24"/>
                <w:szCs w:val="24"/>
              </w:rPr>
              <w:t>3.3.1 Priame finančné náklady</w:t>
            </w:r>
          </w:p>
          <w:p w:rsidR="009A0E9D" w:rsidRPr="0067300D" w:rsidRDefault="009A0E9D" w:rsidP="00725AAA">
            <w:pPr>
              <w:jc w:val="both"/>
              <w:rPr>
                <w:i/>
                <w:sz w:val="24"/>
                <w:szCs w:val="24"/>
              </w:rPr>
            </w:pPr>
            <w:r w:rsidRPr="0067300D">
              <w:rPr>
                <w:i/>
                <w:sz w:val="24"/>
                <w:szCs w:val="24"/>
              </w:rPr>
              <w:t xml:space="preserve">Dochádza k zvýšeniu/zníženiu priamych finančných nákladov (poplatky, odvody, dane clá...)? Ak áno, popíšte a vyčíslite ich. Uveďte tiež spôsob ich výpočtu. </w:t>
            </w:r>
          </w:p>
        </w:tc>
      </w:tr>
      <w:tr w:rsidR="009A0E9D" w:rsidRPr="0067300D" w:rsidTr="00725AAA">
        <w:trPr>
          <w:trHeight w:val="397"/>
        </w:trPr>
        <w:tc>
          <w:tcPr>
            <w:tcW w:w="9060" w:type="dxa"/>
            <w:vAlign w:val="center"/>
          </w:tcPr>
          <w:p w:rsidR="009A0E9D" w:rsidRPr="0067300D" w:rsidRDefault="009A0E9D" w:rsidP="00725AAA">
            <w:pPr>
              <w:rPr>
                <w:sz w:val="24"/>
                <w:szCs w:val="24"/>
              </w:rPr>
            </w:pPr>
            <w:r w:rsidRPr="0067300D">
              <w:rPr>
                <w:sz w:val="24"/>
                <w:szCs w:val="24"/>
              </w:rPr>
              <w:t xml:space="preserve">Nedochádza ani k zvýšeniu, ani k zníženiu priamych finančných nákladov.  </w:t>
            </w:r>
          </w:p>
        </w:tc>
      </w:tr>
      <w:tr w:rsidR="009A0E9D" w:rsidRPr="0067300D" w:rsidTr="00725AAA">
        <w:tc>
          <w:tcPr>
            <w:tcW w:w="9060" w:type="dxa"/>
          </w:tcPr>
          <w:p w:rsidR="009A0E9D" w:rsidRPr="0067300D" w:rsidRDefault="009A0E9D" w:rsidP="00725AAA">
            <w:pPr>
              <w:rPr>
                <w:b/>
                <w:i/>
                <w:sz w:val="24"/>
                <w:szCs w:val="24"/>
              </w:rPr>
            </w:pPr>
            <w:r w:rsidRPr="0067300D">
              <w:rPr>
                <w:b/>
                <w:i/>
                <w:sz w:val="24"/>
                <w:szCs w:val="24"/>
              </w:rPr>
              <w:t>3.3.2 Nepriame finančné náklady</w:t>
            </w:r>
          </w:p>
          <w:p w:rsidR="009A0E9D" w:rsidRPr="0067300D" w:rsidRDefault="009A0E9D" w:rsidP="00725AAA">
            <w:pPr>
              <w:jc w:val="both"/>
              <w:rPr>
                <w:i/>
                <w:sz w:val="24"/>
                <w:szCs w:val="24"/>
              </w:rPr>
            </w:pPr>
            <w:r w:rsidRPr="0067300D">
              <w:rPr>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rsidR="009A0E9D" w:rsidRPr="0067300D" w:rsidTr="00725AAA">
        <w:tc>
          <w:tcPr>
            <w:tcW w:w="9060" w:type="dxa"/>
          </w:tcPr>
          <w:p w:rsidR="009A0E9D" w:rsidRPr="0067300D" w:rsidRDefault="009A0E9D" w:rsidP="00725AAA">
            <w:pPr>
              <w:jc w:val="both"/>
              <w:rPr>
                <w:b/>
                <w:i/>
                <w:sz w:val="24"/>
                <w:szCs w:val="24"/>
              </w:rPr>
            </w:pPr>
            <w:r w:rsidRPr="0067300D">
              <w:rPr>
                <w:sz w:val="24"/>
                <w:szCs w:val="24"/>
              </w:rPr>
              <w:t xml:space="preserve">Návrh zákona si nevyžaduje dodatočné náklady </w:t>
            </w:r>
            <w:r>
              <w:rPr>
                <w:sz w:val="24"/>
                <w:szCs w:val="24"/>
              </w:rPr>
              <w:t xml:space="preserve">na nákup tovarov alebo služieb. </w:t>
            </w:r>
            <w:r w:rsidRPr="0067300D">
              <w:rPr>
                <w:sz w:val="24"/>
                <w:szCs w:val="24"/>
              </w:rPr>
              <w:t>Predkladateľ zastáva názor, že návrh nezvyšuje náklady súvisiace so zamestnanosťou.</w:t>
            </w:r>
          </w:p>
        </w:tc>
      </w:tr>
      <w:tr w:rsidR="009A0E9D" w:rsidRPr="0067300D" w:rsidTr="00725AAA">
        <w:tc>
          <w:tcPr>
            <w:tcW w:w="9060" w:type="dxa"/>
          </w:tcPr>
          <w:p w:rsidR="009A0E9D" w:rsidRPr="0067300D" w:rsidRDefault="009A0E9D" w:rsidP="00725AAA">
            <w:pPr>
              <w:rPr>
                <w:b/>
                <w:i/>
                <w:sz w:val="24"/>
                <w:szCs w:val="24"/>
              </w:rPr>
            </w:pPr>
            <w:r w:rsidRPr="0067300D">
              <w:rPr>
                <w:b/>
                <w:i/>
                <w:sz w:val="24"/>
                <w:szCs w:val="24"/>
              </w:rPr>
              <w:t>3.3.3 Administratívne náklady</w:t>
            </w:r>
          </w:p>
          <w:p w:rsidR="009A0E9D" w:rsidRPr="0067300D" w:rsidRDefault="009A0E9D" w:rsidP="00725AAA">
            <w:pPr>
              <w:jc w:val="both"/>
              <w:rPr>
                <w:i/>
                <w:sz w:val="24"/>
                <w:szCs w:val="24"/>
              </w:rPr>
            </w:pPr>
            <w:r w:rsidRPr="0067300D">
              <w:rPr>
                <w:i/>
                <w:sz w:val="24"/>
                <w:szCs w:val="24"/>
              </w:rPr>
              <w:lastRenderedPageBreak/>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p w:rsidR="009A0E9D" w:rsidRPr="0067300D" w:rsidRDefault="009A0E9D" w:rsidP="00725AAA">
            <w:pPr>
              <w:rPr>
                <w:i/>
                <w:sz w:val="24"/>
                <w:szCs w:val="24"/>
              </w:rPr>
            </w:pPr>
          </w:p>
        </w:tc>
      </w:tr>
      <w:tr w:rsidR="009A0E9D" w:rsidRPr="0067300D" w:rsidTr="00725AAA">
        <w:trPr>
          <w:trHeight w:val="624"/>
        </w:trPr>
        <w:tc>
          <w:tcPr>
            <w:tcW w:w="9060" w:type="dxa"/>
            <w:vAlign w:val="center"/>
          </w:tcPr>
          <w:p w:rsidR="00FD429B" w:rsidRDefault="00070514" w:rsidP="003B7665">
            <w:pPr>
              <w:jc w:val="both"/>
              <w:rPr>
                <w:sz w:val="24"/>
                <w:szCs w:val="24"/>
              </w:rPr>
            </w:pPr>
            <w:r w:rsidRPr="00070514">
              <w:rPr>
                <w:sz w:val="24"/>
                <w:szCs w:val="24"/>
              </w:rPr>
              <w:lastRenderedPageBreak/>
              <w:t>Návrh novely zákona o DPH ukladá administratívne povinnosti osobám, ktoré vykonávajú transakcie týkajúce sa surovej ropy a minerálnych olejov v colných, daňových a osobitných skladoch</w:t>
            </w:r>
            <w:r w:rsidR="00FD429B">
              <w:rPr>
                <w:sz w:val="24"/>
                <w:szCs w:val="24"/>
              </w:rPr>
              <w:t xml:space="preserve"> </w:t>
            </w:r>
            <w:r w:rsidRPr="00070514">
              <w:rPr>
                <w:sz w:val="24"/>
                <w:szCs w:val="24"/>
              </w:rPr>
              <w:t xml:space="preserve">ako aj prevádzkovateľom týchto skladov. Z dôvodu, že transakcie s ropou, </w:t>
            </w:r>
            <w:r>
              <w:rPr>
                <w:sz w:val="24"/>
                <w:szCs w:val="24"/>
              </w:rPr>
              <w:t xml:space="preserve">motorovou </w:t>
            </w:r>
            <w:r w:rsidRPr="00070514">
              <w:rPr>
                <w:sz w:val="24"/>
                <w:szCs w:val="24"/>
              </w:rPr>
              <w:t xml:space="preserve">naftou a benzínom sa </w:t>
            </w:r>
            <w:r>
              <w:rPr>
                <w:sz w:val="24"/>
                <w:szCs w:val="24"/>
              </w:rPr>
              <w:t xml:space="preserve">z </w:t>
            </w:r>
            <w:r w:rsidRPr="00070514">
              <w:rPr>
                <w:sz w:val="24"/>
                <w:szCs w:val="24"/>
              </w:rPr>
              <w:t xml:space="preserve">pohľadu únikov na DPH považujú za vysoko rizikové, bolo potrebné nastaviť podrobné pravidlá, ktoré </w:t>
            </w:r>
            <w:r w:rsidRPr="00070514">
              <w:rPr>
                <w:bCs/>
                <w:sz w:val="24"/>
                <w:szCs w:val="24"/>
              </w:rPr>
              <w:t>stanovujú povinnosti zdaniteľných osôb uskutočňujúcich dodávky a skladovanie predmetných tovarov.</w:t>
            </w:r>
            <w:r w:rsidR="003B7665">
              <w:rPr>
                <w:sz w:val="24"/>
                <w:szCs w:val="24"/>
              </w:rPr>
              <w:t xml:space="preserve"> </w:t>
            </w:r>
            <w:r w:rsidR="00FD429B">
              <w:rPr>
                <w:sz w:val="24"/>
                <w:szCs w:val="24"/>
              </w:rPr>
              <w:t xml:space="preserve">                              </w:t>
            </w:r>
          </w:p>
          <w:p w:rsidR="00FD429B" w:rsidRDefault="00FD429B" w:rsidP="003B7665">
            <w:pPr>
              <w:jc w:val="both"/>
              <w:rPr>
                <w:sz w:val="24"/>
                <w:szCs w:val="24"/>
              </w:rPr>
            </w:pPr>
            <w:r>
              <w:rPr>
                <w:sz w:val="24"/>
                <w:szCs w:val="24"/>
              </w:rPr>
              <w:t>Prevádzkovatelia</w:t>
            </w:r>
            <w:r w:rsidR="003B7665">
              <w:rPr>
                <w:sz w:val="24"/>
                <w:szCs w:val="24"/>
              </w:rPr>
              <w:t xml:space="preserve"> </w:t>
            </w:r>
            <w:r>
              <w:rPr>
                <w:sz w:val="24"/>
                <w:szCs w:val="24"/>
              </w:rPr>
              <w:t>skladov sú povinní</w:t>
            </w:r>
            <w:r w:rsidR="003B7665" w:rsidRPr="003B7665">
              <w:rPr>
                <w:sz w:val="24"/>
                <w:szCs w:val="24"/>
              </w:rPr>
              <w:t xml:space="preserve"> viesť v členení podľa kalendárnych mesiacov </w:t>
            </w:r>
            <w:r w:rsidR="003B7665">
              <w:rPr>
                <w:sz w:val="24"/>
                <w:szCs w:val="24"/>
              </w:rPr>
              <w:t xml:space="preserve">najmä údaje </w:t>
            </w:r>
            <w:r w:rsidR="003B7665" w:rsidRPr="003B7665">
              <w:rPr>
                <w:sz w:val="24"/>
                <w:szCs w:val="24"/>
              </w:rPr>
              <w:t>o množstve to</w:t>
            </w:r>
            <w:r>
              <w:rPr>
                <w:sz w:val="24"/>
                <w:szCs w:val="24"/>
              </w:rPr>
              <w:t xml:space="preserve">varu umiestneného do </w:t>
            </w:r>
            <w:r w:rsidR="003B7665" w:rsidRPr="003B7665">
              <w:rPr>
                <w:sz w:val="24"/>
                <w:szCs w:val="24"/>
              </w:rPr>
              <w:t>skladu, dátume jeho umiestnenia a osobe, pre ktorú bol tento tovar umiestnený,</w:t>
            </w:r>
            <w:r w:rsidR="003B7665">
              <w:rPr>
                <w:sz w:val="24"/>
                <w:szCs w:val="24"/>
              </w:rPr>
              <w:t xml:space="preserve"> </w:t>
            </w:r>
            <w:r w:rsidR="003B7665" w:rsidRPr="003B7665">
              <w:rPr>
                <w:sz w:val="24"/>
                <w:szCs w:val="24"/>
              </w:rPr>
              <w:t>o množstve tovaru, ktorý bol vydaný z</w:t>
            </w:r>
            <w:r>
              <w:rPr>
                <w:sz w:val="24"/>
                <w:szCs w:val="24"/>
              </w:rPr>
              <w:t>o</w:t>
            </w:r>
            <w:r w:rsidR="003B7665" w:rsidRPr="003B7665">
              <w:rPr>
                <w:sz w:val="24"/>
                <w:szCs w:val="24"/>
              </w:rPr>
              <w:t xml:space="preserve"> skladu, </w:t>
            </w:r>
            <w:r w:rsidR="00BA705D">
              <w:rPr>
                <w:sz w:val="24"/>
                <w:szCs w:val="24"/>
              </w:rPr>
              <w:t>dátume jeho vydania a</w:t>
            </w:r>
            <w:r w:rsidR="003B7665" w:rsidRPr="003B7665">
              <w:rPr>
                <w:sz w:val="24"/>
                <w:szCs w:val="24"/>
              </w:rPr>
              <w:t xml:space="preserve"> osobe, ktorá požiadala</w:t>
            </w:r>
            <w:r w:rsidR="003B7665">
              <w:rPr>
                <w:sz w:val="24"/>
                <w:szCs w:val="24"/>
              </w:rPr>
              <w:t xml:space="preserve"> o vydanie tovaru zo </w:t>
            </w:r>
            <w:r w:rsidR="003B7665" w:rsidRPr="003B7665">
              <w:rPr>
                <w:sz w:val="24"/>
                <w:szCs w:val="24"/>
              </w:rPr>
              <w:t>skladu</w:t>
            </w:r>
            <w:r w:rsidR="003B7665">
              <w:rPr>
                <w:sz w:val="24"/>
                <w:szCs w:val="24"/>
              </w:rPr>
              <w:t xml:space="preserve">. </w:t>
            </w:r>
          </w:p>
          <w:p w:rsidR="00FD429B" w:rsidRDefault="003B7665" w:rsidP="00FD429B">
            <w:pPr>
              <w:jc w:val="both"/>
              <w:rPr>
                <w:sz w:val="24"/>
                <w:szCs w:val="24"/>
              </w:rPr>
            </w:pPr>
            <w:r>
              <w:rPr>
                <w:sz w:val="24"/>
                <w:szCs w:val="24"/>
              </w:rPr>
              <w:t>Osoba</w:t>
            </w:r>
            <w:r w:rsidR="00FD429B">
              <w:rPr>
                <w:sz w:val="24"/>
                <w:szCs w:val="24"/>
              </w:rPr>
              <w:t xml:space="preserve">, ktorá dodá do skladu tovar s oslobodením od dane </w:t>
            </w:r>
            <w:r w:rsidR="00FD429B" w:rsidRPr="00FD429B">
              <w:rPr>
                <w:sz w:val="24"/>
                <w:szCs w:val="24"/>
              </w:rPr>
              <w:t>je povinná do desiatich dní odo dňa dodania tovaru oznámiť prevádzkovateľovi</w:t>
            </w:r>
            <w:r w:rsidR="00BA705D">
              <w:rPr>
                <w:sz w:val="24"/>
                <w:szCs w:val="24"/>
              </w:rPr>
              <w:t xml:space="preserve"> </w:t>
            </w:r>
            <w:r w:rsidR="00FD429B" w:rsidRPr="00FD429B">
              <w:rPr>
                <w:sz w:val="24"/>
                <w:szCs w:val="24"/>
              </w:rPr>
              <w:t>skladu údaje o osobe, ktorej tovar dodala, dátume dodania tovaru a množstve dodaného tovaru.</w:t>
            </w:r>
          </w:p>
          <w:p w:rsidR="00134032" w:rsidRDefault="00134032" w:rsidP="00FD429B">
            <w:pPr>
              <w:jc w:val="both"/>
              <w:rPr>
                <w:sz w:val="24"/>
                <w:szCs w:val="24"/>
              </w:rPr>
            </w:pPr>
            <w:r>
              <w:rPr>
                <w:sz w:val="24"/>
                <w:szCs w:val="24"/>
              </w:rPr>
              <w:t>Osoba, ktorá spôsobí, že sa tovar vyjme zo skladu, je povinná pred tým ako nastane táto skutočnosť, poskytnúť prevádzkovateľovi skladu identifikačné číslo pre daň pridelené v tuzemsku a doručiť mu zákonom predpísané faktúry.</w:t>
            </w:r>
          </w:p>
          <w:p w:rsidR="00134032" w:rsidRPr="0052482E" w:rsidRDefault="00134032" w:rsidP="00FD429B">
            <w:pPr>
              <w:jc w:val="both"/>
              <w:rPr>
                <w:sz w:val="24"/>
                <w:szCs w:val="24"/>
              </w:rPr>
            </w:pPr>
            <w:r>
              <w:rPr>
                <w:sz w:val="24"/>
                <w:szCs w:val="24"/>
              </w:rPr>
              <w:t>Pripravovaná právna úprava zavádza nové administratívne náklady pre podni</w:t>
            </w:r>
            <w:r w:rsidR="00BA705D">
              <w:rPr>
                <w:sz w:val="24"/>
                <w:szCs w:val="24"/>
              </w:rPr>
              <w:t>kateľov, ale zároveň je dôležité</w:t>
            </w:r>
            <w:r>
              <w:rPr>
                <w:sz w:val="24"/>
                <w:szCs w:val="24"/>
              </w:rPr>
              <w:t xml:space="preserve"> zdôrazniť</w:t>
            </w:r>
            <w:r w:rsidR="00BA705D">
              <w:rPr>
                <w:sz w:val="24"/>
                <w:szCs w:val="24"/>
              </w:rPr>
              <w:t xml:space="preserve">, že v porovnaní s predchádzajúcou právnou úpravou sa administratívne náklady vznikajúce pri tomto type obchodov značne znižujú. </w:t>
            </w:r>
          </w:p>
          <w:p w:rsidR="009A0E9D" w:rsidRPr="0067300D" w:rsidRDefault="00070514" w:rsidP="00070514">
            <w:pPr>
              <w:jc w:val="both"/>
              <w:rPr>
                <w:sz w:val="24"/>
                <w:szCs w:val="24"/>
              </w:rPr>
            </w:pPr>
            <w:r>
              <w:rPr>
                <w:sz w:val="24"/>
                <w:szCs w:val="24"/>
              </w:rPr>
              <w:t>Z dôvodu, že nie je možné predpokladať správanie daňových subjektov, administratívne náklady nie je možné kvantifikovať.</w:t>
            </w:r>
          </w:p>
        </w:tc>
      </w:tr>
      <w:tr w:rsidR="009A0E9D" w:rsidRPr="0067300D" w:rsidTr="00725AAA">
        <w:trPr>
          <w:trHeight w:val="1814"/>
        </w:trPr>
        <w:tc>
          <w:tcPr>
            <w:tcW w:w="9060" w:type="dxa"/>
          </w:tcPr>
          <w:p w:rsidR="009A0E9D" w:rsidRPr="0067300D" w:rsidRDefault="009A0E9D" w:rsidP="00725AAA">
            <w:pPr>
              <w:rPr>
                <w:i/>
                <w:sz w:val="24"/>
                <w:szCs w:val="24"/>
              </w:rPr>
            </w:pPr>
            <w:r w:rsidRPr="0067300D">
              <w:rPr>
                <w:b/>
                <w:i/>
                <w:sz w:val="24"/>
                <w:szCs w:val="24"/>
              </w:rPr>
              <w:t>3.3.4 Súhrnná tabuľka nákladov regulácie</w:t>
            </w:r>
          </w:p>
          <w:tbl>
            <w:tblPr>
              <w:tblStyle w:val="Mriekatabuky"/>
              <w:tblW w:w="0" w:type="auto"/>
              <w:tblLook w:val="04A0" w:firstRow="1" w:lastRow="0" w:firstColumn="1" w:lastColumn="0" w:noHBand="0" w:noVBand="1"/>
            </w:tblPr>
            <w:tblGrid>
              <w:gridCol w:w="2950"/>
              <w:gridCol w:w="2939"/>
              <w:gridCol w:w="2945"/>
            </w:tblGrid>
            <w:tr w:rsidR="009A0E9D" w:rsidRPr="0067300D" w:rsidTr="00725AAA">
              <w:tc>
                <w:tcPr>
                  <w:tcW w:w="2993"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rPr>
                      <w:i/>
                      <w:sz w:val="24"/>
                      <w:szCs w:val="24"/>
                    </w:rPr>
                  </w:pP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Náklady na celé podnikateľské prostredie</w:t>
                  </w:r>
                </w:p>
              </w:tc>
            </w:tr>
            <w:tr w:rsidR="009A0E9D" w:rsidRPr="0067300D" w:rsidTr="00725AAA">
              <w:tc>
                <w:tcPr>
                  <w:tcW w:w="2993"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rPr>
                      <w:i/>
                      <w:sz w:val="24"/>
                      <w:szCs w:val="24"/>
                    </w:rPr>
                  </w:pPr>
                  <w:r w:rsidRPr="0067300D">
                    <w:rPr>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0</w:t>
                  </w:r>
                </w:p>
              </w:tc>
            </w:tr>
            <w:tr w:rsidR="009A0E9D" w:rsidRPr="0067300D" w:rsidTr="00725AAA">
              <w:tc>
                <w:tcPr>
                  <w:tcW w:w="2993"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rPr>
                      <w:i/>
                      <w:sz w:val="24"/>
                      <w:szCs w:val="24"/>
                    </w:rPr>
                  </w:pPr>
                  <w:r w:rsidRPr="0067300D">
                    <w:rPr>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0</w:t>
                  </w:r>
                </w:p>
              </w:tc>
            </w:tr>
            <w:tr w:rsidR="009A0E9D" w:rsidRPr="0067300D" w:rsidTr="00725AAA">
              <w:tc>
                <w:tcPr>
                  <w:tcW w:w="2993"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rPr>
                      <w:i/>
                      <w:sz w:val="24"/>
                      <w:szCs w:val="24"/>
                    </w:rPr>
                  </w:pPr>
                  <w:r w:rsidRPr="0067300D">
                    <w:rPr>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i/>
                      <w:sz w:val="24"/>
                      <w:szCs w:val="24"/>
                    </w:rPr>
                  </w:pPr>
                  <w:r w:rsidRPr="0067300D">
                    <w:rPr>
                      <w:i/>
                      <w:sz w:val="24"/>
                      <w:szCs w:val="24"/>
                    </w:rPr>
                    <w:t>0</w:t>
                  </w:r>
                </w:p>
              </w:tc>
            </w:tr>
            <w:tr w:rsidR="009A0E9D" w:rsidRPr="0067300D" w:rsidTr="00725AAA">
              <w:tc>
                <w:tcPr>
                  <w:tcW w:w="2993"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rPr>
                      <w:b/>
                      <w:i/>
                      <w:sz w:val="24"/>
                      <w:szCs w:val="24"/>
                    </w:rPr>
                  </w:pPr>
                  <w:r w:rsidRPr="0067300D">
                    <w:rPr>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b/>
                      <w:i/>
                      <w:sz w:val="24"/>
                      <w:szCs w:val="24"/>
                    </w:rPr>
                  </w:pPr>
                  <w:r w:rsidRPr="0067300D">
                    <w:rPr>
                      <w:b/>
                      <w:i/>
                      <w:sz w:val="24"/>
                      <w:szCs w:val="24"/>
                    </w:rPr>
                    <w:t>0</w:t>
                  </w:r>
                </w:p>
              </w:tc>
              <w:tc>
                <w:tcPr>
                  <w:tcW w:w="2994" w:type="dxa"/>
                  <w:tcBorders>
                    <w:top w:val="single" w:sz="4" w:space="0" w:color="auto"/>
                    <w:left w:val="single" w:sz="4" w:space="0" w:color="auto"/>
                    <w:bottom w:val="single" w:sz="4" w:space="0" w:color="auto"/>
                    <w:right w:val="single" w:sz="4" w:space="0" w:color="auto"/>
                  </w:tcBorders>
                </w:tcPr>
                <w:p w:rsidR="009A0E9D" w:rsidRPr="0067300D" w:rsidRDefault="009A0E9D" w:rsidP="00725AAA">
                  <w:pPr>
                    <w:jc w:val="center"/>
                    <w:rPr>
                      <w:b/>
                      <w:i/>
                      <w:sz w:val="24"/>
                      <w:szCs w:val="24"/>
                    </w:rPr>
                  </w:pPr>
                  <w:r w:rsidRPr="0067300D">
                    <w:rPr>
                      <w:b/>
                      <w:i/>
                      <w:sz w:val="24"/>
                      <w:szCs w:val="24"/>
                    </w:rPr>
                    <w:t>0</w:t>
                  </w:r>
                </w:p>
              </w:tc>
            </w:tr>
          </w:tbl>
          <w:p w:rsidR="009A0E9D" w:rsidRPr="0067300D" w:rsidRDefault="009A0E9D" w:rsidP="00725AAA">
            <w:pPr>
              <w:ind w:firstLine="708"/>
              <w:rPr>
                <w:i/>
                <w:sz w:val="24"/>
                <w:szCs w:val="24"/>
              </w:rPr>
            </w:pPr>
          </w:p>
        </w:tc>
      </w:tr>
      <w:tr w:rsidR="009A0E9D" w:rsidRPr="0067300D" w:rsidTr="00725AAA">
        <w:tc>
          <w:tcPr>
            <w:tcW w:w="9060" w:type="dxa"/>
            <w:shd w:val="clear" w:color="auto" w:fill="D9D9D9" w:themeFill="background1" w:themeFillShade="D9"/>
          </w:tcPr>
          <w:p w:rsidR="009A0E9D" w:rsidRPr="0067300D" w:rsidRDefault="009A0E9D" w:rsidP="00725AAA">
            <w:pPr>
              <w:rPr>
                <w:b/>
                <w:sz w:val="24"/>
                <w:szCs w:val="24"/>
              </w:rPr>
            </w:pPr>
            <w:r w:rsidRPr="0067300D">
              <w:rPr>
                <w:b/>
                <w:sz w:val="24"/>
                <w:szCs w:val="24"/>
              </w:rPr>
              <w:t>3.4 Konkurencieschopnosť a správanie sa podnikov na trhu</w:t>
            </w:r>
          </w:p>
          <w:p w:rsidR="009A0E9D" w:rsidRPr="0067300D" w:rsidRDefault="009A0E9D" w:rsidP="00725AAA">
            <w:pPr>
              <w:rPr>
                <w:sz w:val="24"/>
                <w:szCs w:val="24"/>
              </w:rPr>
            </w:pPr>
            <w:r w:rsidRPr="0067300D">
              <w:rPr>
                <w:sz w:val="24"/>
                <w:szCs w:val="24"/>
              </w:rPr>
              <w:t xml:space="preserve">- </w:t>
            </w:r>
            <w:r w:rsidRPr="0067300D">
              <w:rPr>
                <w:b/>
                <w:sz w:val="24"/>
                <w:szCs w:val="24"/>
              </w:rPr>
              <w:t>z toho MSP</w:t>
            </w:r>
          </w:p>
        </w:tc>
      </w:tr>
      <w:tr w:rsidR="009A0E9D" w:rsidRPr="0067300D" w:rsidTr="00725AAA">
        <w:tc>
          <w:tcPr>
            <w:tcW w:w="9060" w:type="dxa"/>
          </w:tcPr>
          <w:p w:rsidR="009A0E9D" w:rsidRPr="0067300D" w:rsidRDefault="009A0E9D" w:rsidP="00725AAA">
            <w:pPr>
              <w:jc w:val="both"/>
              <w:rPr>
                <w:i/>
                <w:sz w:val="24"/>
                <w:szCs w:val="24"/>
              </w:rPr>
            </w:pPr>
            <w:r w:rsidRPr="0067300D">
              <w:rPr>
                <w:i/>
                <w:sz w:val="24"/>
                <w:szCs w:val="24"/>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67300D">
              <w:rPr>
                <w:i/>
                <w:sz w:val="24"/>
                <w:szCs w:val="24"/>
              </w:rPr>
              <w:t>mikro</w:t>
            </w:r>
            <w:proofErr w:type="spellEnd"/>
            <w:r w:rsidRPr="0067300D">
              <w:rPr>
                <w:i/>
                <w:sz w:val="24"/>
                <w:szCs w:val="24"/>
              </w:rPr>
              <w:t>, malé a stredné podniky tzv. MSP)? Ak áno, popíšte.</w:t>
            </w:r>
          </w:p>
          <w:p w:rsidR="009A0E9D" w:rsidRPr="0067300D" w:rsidRDefault="009A0E9D" w:rsidP="00725AAA">
            <w:pPr>
              <w:jc w:val="both"/>
              <w:rPr>
                <w:i/>
                <w:sz w:val="24"/>
                <w:szCs w:val="24"/>
              </w:rPr>
            </w:pPr>
            <w:r w:rsidRPr="0067300D">
              <w:rPr>
                <w:i/>
                <w:sz w:val="24"/>
                <w:szCs w:val="24"/>
              </w:rPr>
              <w:t>Aký vplyv bude mať navrhovaná zmena na obchodné bariéry? Bude mať vplyv na vyvolanie cezhraničných investícií (príliv /odliv zahraničných investícií resp. uplatnenie slovenských podnikov na zahraničných trhoch)? Ak áno, popíšte. Ako ovplyvní cenu alebo dostupnosť základných zdrojov (suroviny, mechanizmy, pracovná sila, energie atď.)? Ovplyvňuje prístup k financiám? Ak áno, ako?</w:t>
            </w:r>
          </w:p>
        </w:tc>
      </w:tr>
      <w:tr w:rsidR="009A0E9D" w:rsidRPr="0067300D" w:rsidTr="00725AAA">
        <w:trPr>
          <w:trHeight w:val="567"/>
        </w:trPr>
        <w:tc>
          <w:tcPr>
            <w:tcW w:w="9060" w:type="dxa"/>
            <w:vAlign w:val="center"/>
          </w:tcPr>
          <w:p w:rsidR="009A0E9D" w:rsidRPr="0067300D" w:rsidRDefault="009A0E9D" w:rsidP="00725AAA">
            <w:pPr>
              <w:jc w:val="both"/>
              <w:rPr>
                <w:sz w:val="24"/>
                <w:szCs w:val="24"/>
              </w:rPr>
            </w:pPr>
            <w:r w:rsidRPr="0067300D">
              <w:rPr>
                <w:sz w:val="24"/>
                <w:szCs w:val="24"/>
              </w:rPr>
              <w:t xml:space="preserve">Návrh zákona nebude mať negatívny vplyv na konkurencieschopnosť a správanie sa podnikov na trhu z pohľadu vytvárania bariér. Nedochádza k vytvoreniu bariér pre vstup na trh pre nových dodávateľov alebo poskytovateľov služieb. Navrhovaná zmena nebude mať za následok prísnejšiu reguláciu správania sa niektorých podnikov, nebude sa s niektorými podnikmi alebo produktmi zaobchádzať v porovnateľnej situácii rôzne, nebude mať vplyv na </w:t>
            </w:r>
            <w:r w:rsidRPr="0067300D">
              <w:rPr>
                <w:sz w:val="24"/>
                <w:szCs w:val="24"/>
              </w:rPr>
              <w:lastRenderedPageBreak/>
              <w:t xml:space="preserve">vyvolanie cezhraničných investícií, neovplyvní cenu alebo dostupnosť základných zdrojov a neovplyvní prístup k financiám.  </w:t>
            </w:r>
          </w:p>
        </w:tc>
      </w:tr>
      <w:tr w:rsidR="009A0E9D" w:rsidRPr="0067300D" w:rsidTr="00725AAA">
        <w:tc>
          <w:tcPr>
            <w:tcW w:w="9060" w:type="dxa"/>
            <w:shd w:val="clear" w:color="auto" w:fill="D9D9D9" w:themeFill="background1" w:themeFillShade="D9"/>
          </w:tcPr>
          <w:p w:rsidR="009A0E9D" w:rsidRPr="0067300D" w:rsidRDefault="009A0E9D" w:rsidP="00725AAA">
            <w:pPr>
              <w:rPr>
                <w:b/>
                <w:sz w:val="24"/>
                <w:szCs w:val="24"/>
              </w:rPr>
            </w:pPr>
            <w:r w:rsidRPr="0067300D">
              <w:rPr>
                <w:b/>
                <w:sz w:val="24"/>
                <w:szCs w:val="24"/>
              </w:rPr>
              <w:lastRenderedPageBreak/>
              <w:t xml:space="preserve">3.5 Inovácie </w:t>
            </w:r>
          </w:p>
          <w:p w:rsidR="009A0E9D" w:rsidRPr="0067300D" w:rsidRDefault="009A0E9D" w:rsidP="00725AAA">
            <w:pPr>
              <w:rPr>
                <w:b/>
                <w:sz w:val="24"/>
                <w:szCs w:val="24"/>
              </w:rPr>
            </w:pPr>
            <w:r w:rsidRPr="0067300D">
              <w:rPr>
                <w:sz w:val="24"/>
                <w:szCs w:val="24"/>
              </w:rPr>
              <w:t xml:space="preserve">       - </w:t>
            </w:r>
            <w:r w:rsidRPr="0067300D">
              <w:rPr>
                <w:b/>
                <w:sz w:val="24"/>
                <w:szCs w:val="24"/>
              </w:rPr>
              <w:t>z toho MSP</w:t>
            </w:r>
          </w:p>
        </w:tc>
      </w:tr>
      <w:tr w:rsidR="009A0E9D" w:rsidRPr="0067300D" w:rsidTr="00725AAA">
        <w:tc>
          <w:tcPr>
            <w:tcW w:w="9060" w:type="dxa"/>
          </w:tcPr>
          <w:p w:rsidR="009A0E9D" w:rsidRPr="0067300D" w:rsidRDefault="009A0E9D" w:rsidP="00725AAA">
            <w:pPr>
              <w:jc w:val="both"/>
              <w:rPr>
                <w:i/>
                <w:sz w:val="24"/>
                <w:szCs w:val="24"/>
              </w:rPr>
            </w:pPr>
            <w:r w:rsidRPr="0067300D">
              <w:rPr>
                <w:i/>
                <w:sz w:val="24"/>
                <w:szCs w:val="24"/>
              </w:rPr>
              <w:t>Uveďte, ako podporuje navrhovaná zmena inovácie.</w:t>
            </w:r>
          </w:p>
          <w:p w:rsidR="009A0E9D" w:rsidRPr="0067300D" w:rsidRDefault="009A0E9D" w:rsidP="00725AAA">
            <w:pPr>
              <w:jc w:val="both"/>
              <w:rPr>
                <w:i/>
                <w:sz w:val="24"/>
                <w:szCs w:val="24"/>
              </w:rPr>
            </w:pPr>
            <w:r w:rsidRPr="0067300D">
              <w:rPr>
                <w:i/>
                <w:sz w:val="24"/>
                <w:szCs w:val="24"/>
              </w:rPr>
              <w:t>Zjednodušuje uvedenie alebo rozšírenie nových výrobných metód, technológií a výrobkov na trh?</w:t>
            </w:r>
          </w:p>
          <w:p w:rsidR="009A0E9D" w:rsidRPr="0067300D" w:rsidRDefault="009A0E9D" w:rsidP="00725AAA">
            <w:pPr>
              <w:jc w:val="both"/>
              <w:rPr>
                <w:sz w:val="24"/>
                <w:szCs w:val="24"/>
              </w:rPr>
            </w:pPr>
            <w:r w:rsidRPr="0067300D">
              <w:rPr>
                <w:i/>
                <w:sz w:val="24"/>
                <w:szCs w:val="24"/>
              </w:rPr>
              <w:t>Uveďte, ako vplýva navrhovaná zmena na jednotlivé práva duševného vlastníctva (napr. patenty, ochranné známky, autorské práva, vlastníctvo know-how).Podporuje vyššiu efektivitu výroby/využívania zdrojov? Ak áno, ako? Vytvorí zmena nové pracovné miesta pre zamestnancov výskumu a vývoja v SR?</w:t>
            </w:r>
          </w:p>
        </w:tc>
      </w:tr>
      <w:tr w:rsidR="009A0E9D" w:rsidRPr="0067300D" w:rsidTr="00725AAA">
        <w:trPr>
          <w:trHeight w:val="567"/>
        </w:trPr>
        <w:tc>
          <w:tcPr>
            <w:tcW w:w="9060" w:type="dxa"/>
            <w:vAlign w:val="center"/>
          </w:tcPr>
          <w:p w:rsidR="009A0E9D" w:rsidRPr="0067300D" w:rsidRDefault="009A0E9D" w:rsidP="00725AAA">
            <w:pPr>
              <w:rPr>
                <w:sz w:val="24"/>
                <w:szCs w:val="24"/>
              </w:rPr>
            </w:pPr>
            <w:r w:rsidRPr="0067300D">
              <w:rPr>
                <w:sz w:val="24"/>
                <w:szCs w:val="24"/>
              </w:rPr>
              <w:t>Návrh zákona nemá vplyv na inovácie podnikateľov.</w:t>
            </w:r>
          </w:p>
        </w:tc>
      </w:tr>
    </w:tbl>
    <w:p w:rsidR="002607F7" w:rsidRDefault="002607F7"/>
    <w:sectPr w:rsidR="00260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49C"/>
    <w:rsid w:val="00070514"/>
    <w:rsid w:val="00134032"/>
    <w:rsid w:val="002607F7"/>
    <w:rsid w:val="0030749C"/>
    <w:rsid w:val="003B7665"/>
    <w:rsid w:val="006A18C5"/>
    <w:rsid w:val="00725AAA"/>
    <w:rsid w:val="0087714B"/>
    <w:rsid w:val="009A0E9D"/>
    <w:rsid w:val="009A154D"/>
    <w:rsid w:val="00B322CA"/>
    <w:rsid w:val="00BA705D"/>
    <w:rsid w:val="00C02956"/>
    <w:rsid w:val="00FA54DD"/>
    <w:rsid w:val="00FD42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0442D-CD45-44FB-9193-D24B4978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0E9D"/>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9A0E9D"/>
    <w:pPr>
      <w:keepNext/>
      <w:jc w:val="both"/>
      <w:outlineLvl w:val="0"/>
    </w:pPr>
    <w:rPr>
      <w:rFonts w:ascii="Arial Narrow" w:eastAsiaTheme="minorHAnsi" w:hAnsi="Arial Narrow" w:cstheme="minorBidi"/>
      <w:b/>
      <w:sz w:val="22"/>
      <w:szCs w:val="22"/>
      <w:lang w:eastAsia="en-US"/>
    </w:rPr>
  </w:style>
  <w:style w:type="paragraph" w:styleId="Nadpis2">
    <w:name w:val="heading 2"/>
    <w:basedOn w:val="Normlny"/>
    <w:next w:val="Normlny"/>
    <w:link w:val="Nadpis2Char"/>
    <w:uiPriority w:val="9"/>
    <w:unhideWhenUsed/>
    <w:qFormat/>
    <w:rsid w:val="009A0E9D"/>
    <w:pPr>
      <w:keepNext/>
      <w:jc w:val="both"/>
      <w:outlineLvl w:val="1"/>
    </w:pPr>
    <w:rPr>
      <w:rFonts w:ascii="Arial Narrow" w:eastAsiaTheme="minorHAnsi" w:hAnsi="Arial Narrow" w:cstheme="minorBidi"/>
      <w:i/>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A0E9D"/>
    <w:rPr>
      <w:rFonts w:ascii="Arial Narrow" w:hAnsi="Arial Narrow"/>
      <w:b/>
    </w:rPr>
  </w:style>
  <w:style w:type="character" w:customStyle="1" w:styleId="Nadpis2Char">
    <w:name w:val="Nadpis 2 Char"/>
    <w:basedOn w:val="Predvolenpsmoodseku"/>
    <w:link w:val="Nadpis2"/>
    <w:uiPriority w:val="9"/>
    <w:rsid w:val="009A0E9D"/>
    <w:rPr>
      <w:rFonts w:ascii="Arial Narrow" w:hAnsi="Arial Narrow"/>
      <w:i/>
    </w:rPr>
  </w:style>
  <w:style w:type="table" w:styleId="Mriekatabuky">
    <w:name w:val="Table Grid"/>
    <w:basedOn w:val="Normlnatabuka"/>
    <w:uiPriority w:val="59"/>
    <w:rsid w:val="009A0E9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9A0E9D"/>
    <w:pPr>
      <w:spacing w:after="200" w:line="276" w:lineRule="auto"/>
      <w:ind w:left="720"/>
      <w:contextualSpacing/>
    </w:pPr>
    <w:rPr>
      <w:rFonts w:asciiTheme="minorHAnsi" w:hAnsiTheme="minorHAnsi"/>
      <w:sz w:val="22"/>
      <w:szCs w:val="22"/>
      <w:lang w:eastAsia="en-US"/>
    </w:rPr>
  </w:style>
  <w:style w:type="character" w:styleId="Hypertextovprepojenie">
    <w:name w:val="Hyperlink"/>
    <w:basedOn w:val="Predvolenpsmoodseku"/>
    <w:uiPriority w:val="99"/>
    <w:rsid w:val="009A0E9D"/>
    <w:rPr>
      <w:rFonts w:cs="Times New Roman"/>
      <w:color w:val="0563C1" w:themeColor="hyperlink"/>
      <w:u w:val="single"/>
    </w:rPr>
  </w:style>
  <w:style w:type="paragraph" w:styleId="Zkladntext">
    <w:name w:val="Body Text"/>
    <w:basedOn w:val="Normlny"/>
    <w:link w:val="ZkladntextChar"/>
    <w:uiPriority w:val="99"/>
    <w:unhideWhenUsed/>
    <w:rsid w:val="009A0E9D"/>
    <w:pPr>
      <w:jc w:val="both"/>
    </w:pPr>
    <w:rPr>
      <w:rFonts w:ascii="Arial Narrow" w:hAnsi="Arial Narrow"/>
      <w:sz w:val="22"/>
      <w:szCs w:val="22"/>
      <w:lang w:eastAsia="en-US"/>
    </w:rPr>
  </w:style>
  <w:style w:type="character" w:customStyle="1" w:styleId="ZkladntextChar">
    <w:name w:val="Základný text Char"/>
    <w:basedOn w:val="Predvolenpsmoodseku"/>
    <w:link w:val="Zkladntext"/>
    <w:uiPriority w:val="99"/>
    <w:rsid w:val="009A0E9D"/>
    <w:rPr>
      <w:rFonts w:ascii="Arial Narrow" w:eastAsia="Times New Roman" w:hAnsi="Arial Narrow" w:cs="Times New Roman"/>
    </w:rPr>
  </w:style>
  <w:style w:type="paragraph" w:styleId="Zkladntext2">
    <w:name w:val="Body Text 2"/>
    <w:basedOn w:val="Normlny"/>
    <w:link w:val="Zkladntext2Char"/>
    <w:uiPriority w:val="99"/>
    <w:unhideWhenUsed/>
    <w:rsid w:val="009A0E9D"/>
    <w:pPr>
      <w:jc w:val="both"/>
    </w:pPr>
    <w:rPr>
      <w:rFonts w:ascii="Arial Narrow" w:hAnsi="Arial Narrow"/>
      <w:i/>
      <w:sz w:val="22"/>
      <w:szCs w:val="22"/>
      <w:lang w:eastAsia="en-US"/>
    </w:rPr>
  </w:style>
  <w:style w:type="character" w:customStyle="1" w:styleId="Zkladntext2Char">
    <w:name w:val="Základný text 2 Char"/>
    <w:basedOn w:val="Predvolenpsmoodseku"/>
    <w:link w:val="Zkladntext2"/>
    <w:uiPriority w:val="99"/>
    <w:rsid w:val="009A0E9D"/>
    <w:rPr>
      <w:rFonts w:ascii="Arial Narrow" w:eastAsia="Times New Roman" w:hAnsi="Arial Narrow" w:cs="Times New Roman"/>
      <w:i/>
    </w:rPr>
  </w:style>
  <w:style w:type="paragraph" w:styleId="Bezriadkovania">
    <w:name w:val="No Spacing"/>
    <w:uiPriority w:val="1"/>
    <w:qFormat/>
    <w:rsid w:val="009A0E9D"/>
    <w:pPr>
      <w:spacing w:after="0" w:line="240" w:lineRule="auto"/>
    </w:pPr>
  </w:style>
  <w:style w:type="paragraph" w:customStyle="1" w:styleId="Default">
    <w:name w:val="Default"/>
    <w:basedOn w:val="Normlny"/>
    <w:uiPriority w:val="99"/>
    <w:rsid w:val="009A0E9D"/>
    <w:pPr>
      <w:autoSpaceDE w:val="0"/>
      <w:autoSpaceDN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nancnasprava.sk/_img/pfsedit/Dokumenty_PFS/Zverejnovanie_dok/Aktualne/DPH/2018/2018.10.24_CPA_extern.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3460</Words>
  <Characters>19727</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Miklos Milos</dc:creator>
  <cp:keywords/>
  <dc:description/>
  <cp:lastModifiedBy>Jablonkova Zdenka</cp:lastModifiedBy>
  <cp:revision>3</cp:revision>
  <dcterms:created xsi:type="dcterms:W3CDTF">2019-07-08T06:23:00Z</dcterms:created>
  <dcterms:modified xsi:type="dcterms:W3CDTF">2019-07-08T06:32:00Z</dcterms:modified>
</cp:coreProperties>
</file>