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F29" w:rsidRPr="0067300D" w:rsidRDefault="00734F29" w:rsidP="00734F29">
      <w:pPr>
        <w:jc w:val="center"/>
        <w:rPr>
          <w:b/>
          <w:bCs/>
          <w:sz w:val="24"/>
          <w:szCs w:val="24"/>
        </w:rPr>
      </w:pPr>
      <w:bookmarkStart w:id="0" w:name="_GoBack"/>
      <w:bookmarkEnd w:id="0"/>
      <w:r w:rsidRPr="0067300D">
        <w:rPr>
          <w:b/>
          <w:bCs/>
          <w:sz w:val="24"/>
          <w:szCs w:val="24"/>
        </w:rPr>
        <w:t>Analýza vplyvov na rozpočet verejnej správy,</w:t>
      </w:r>
    </w:p>
    <w:p w:rsidR="00734F29" w:rsidRPr="0067300D" w:rsidRDefault="00734F29" w:rsidP="00734F29">
      <w:pPr>
        <w:jc w:val="center"/>
        <w:rPr>
          <w:b/>
          <w:bCs/>
          <w:sz w:val="24"/>
          <w:szCs w:val="24"/>
        </w:rPr>
      </w:pPr>
      <w:r w:rsidRPr="0067300D">
        <w:rPr>
          <w:b/>
          <w:bCs/>
          <w:sz w:val="24"/>
          <w:szCs w:val="24"/>
        </w:rPr>
        <w:t>na zamestnanosť vo verejnej správe a financovanie návrhu</w:t>
      </w:r>
    </w:p>
    <w:p w:rsidR="00734F29" w:rsidRPr="0067300D" w:rsidRDefault="00734F29" w:rsidP="00734F29">
      <w:pPr>
        <w:rPr>
          <w:sz w:val="24"/>
          <w:szCs w:val="24"/>
        </w:rPr>
      </w:pPr>
    </w:p>
    <w:p w:rsidR="00734F29" w:rsidRPr="0067300D" w:rsidRDefault="00734F29" w:rsidP="00734F29">
      <w:pPr>
        <w:rPr>
          <w:b/>
          <w:bCs/>
          <w:sz w:val="24"/>
          <w:szCs w:val="24"/>
        </w:rPr>
      </w:pPr>
      <w:r w:rsidRPr="0067300D">
        <w:rPr>
          <w:b/>
          <w:bCs/>
          <w:sz w:val="24"/>
          <w:szCs w:val="24"/>
        </w:rPr>
        <w:t>2.1 Zhrnutie vplyvov na rozpočet verejnej správy v návrhu</w:t>
      </w:r>
    </w:p>
    <w:p w:rsidR="00734F29" w:rsidRPr="0067300D" w:rsidRDefault="00734F29" w:rsidP="00734F29">
      <w:pPr>
        <w:tabs>
          <w:tab w:val="right" w:pos="9072"/>
        </w:tabs>
        <w:rPr>
          <w:sz w:val="24"/>
          <w:szCs w:val="24"/>
        </w:rPr>
      </w:pPr>
      <w:r w:rsidRPr="0067300D">
        <w:rPr>
          <w:sz w:val="24"/>
          <w:szCs w:val="24"/>
        </w:rPr>
        <w:tab/>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1134"/>
        <w:gridCol w:w="1559"/>
        <w:gridCol w:w="1418"/>
        <w:gridCol w:w="1370"/>
      </w:tblGrid>
      <w:tr w:rsidR="00734F29" w:rsidRPr="0067300D" w:rsidTr="003511C2">
        <w:trPr>
          <w:cantSplit/>
          <w:trHeight w:val="194"/>
          <w:jc w:val="center"/>
        </w:trPr>
        <w:tc>
          <w:tcPr>
            <w:tcW w:w="4248" w:type="dxa"/>
            <w:vMerge w:val="restart"/>
            <w:shd w:val="clear" w:color="auto" w:fill="BFBFBF" w:themeFill="background1" w:themeFillShade="BF"/>
            <w:vAlign w:val="center"/>
          </w:tcPr>
          <w:p w:rsidR="00734F29" w:rsidRPr="0067300D" w:rsidRDefault="00734F29" w:rsidP="003511C2">
            <w:pPr>
              <w:jc w:val="center"/>
              <w:rPr>
                <w:b/>
                <w:bCs/>
                <w:sz w:val="24"/>
                <w:szCs w:val="24"/>
              </w:rPr>
            </w:pPr>
            <w:bookmarkStart w:id="1" w:name="OLE_LINK1"/>
            <w:r w:rsidRPr="0067300D">
              <w:rPr>
                <w:b/>
                <w:bCs/>
                <w:sz w:val="24"/>
                <w:szCs w:val="24"/>
              </w:rPr>
              <w:t>Vplyvy na rozpočet verejnej správy</w:t>
            </w:r>
          </w:p>
        </w:tc>
        <w:tc>
          <w:tcPr>
            <w:tcW w:w="5481" w:type="dxa"/>
            <w:gridSpan w:val="4"/>
            <w:shd w:val="clear" w:color="auto" w:fill="BFBFBF" w:themeFill="background1" w:themeFillShade="BF"/>
            <w:vAlign w:val="center"/>
          </w:tcPr>
          <w:p w:rsidR="00734F29" w:rsidRPr="0067300D" w:rsidRDefault="00734F29" w:rsidP="003511C2">
            <w:pPr>
              <w:jc w:val="center"/>
              <w:rPr>
                <w:b/>
                <w:bCs/>
                <w:sz w:val="24"/>
                <w:szCs w:val="24"/>
              </w:rPr>
            </w:pPr>
            <w:r w:rsidRPr="0067300D">
              <w:rPr>
                <w:b/>
                <w:bCs/>
                <w:sz w:val="24"/>
                <w:szCs w:val="24"/>
              </w:rPr>
              <w:t>Vplyv na rozpočet verejnej správy (v eurách)</w:t>
            </w:r>
          </w:p>
        </w:tc>
      </w:tr>
      <w:tr w:rsidR="00734F29" w:rsidRPr="0067300D" w:rsidTr="003511C2">
        <w:trPr>
          <w:cantSplit/>
          <w:trHeight w:val="70"/>
          <w:jc w:val="center"/>
        </w:trPr>
        <w:tc>
          <w:tcPr>
            <w:tcW w:w="4248" w:type="dxa"/>
            <w:vMerge/>
            <w:shd w:val="clear" w:color="auto" w:fill="BFBFBF" w:themeFill="background1" w:themeFillShade="BF"/>
            <w:vAlign w:val="center"/>
          </w:tcPr>
          <w:p w:rsidR="00734F29" w:rsidRPr="0067300D" w:rsidRDefault="00734F29" w:rsidP="003511C2">
            <w:pPr>
              <w:jc w:val="center"/>
              <w:rPr>
                <w:b/>
                <w:bCs/>
                <w:sz w:val="24"/>
                <w:szCs w:val="24"/>
              </w:rPr>
            </w:pPr>
          </w:p>
        </w:tc>
        <w:tc>
          <w:tcPr>
            <w:tcW w:w="1134" w:type="dxa"/>
            <w:shd w:val="clear" w:color="auto" w:fill="BFBFBF" w:themeFill="background1" w:themeFillShade="BF"/>
            <w:vAlign w:val="center"/>
          </w:tcPr>
          <w:p w:rsidR="00734F29" w:rsidRPr="0067300D" w:rsidRDefault="00734F29" w:rsidP="003511C2">
            <w:pPr>
              <w:jc w:val="center"/>
              <w:rPr>
                <w:b/>
                <w:bCs/>
                <w:sz w:val="24"/>
                <w:szCs w:val="24"/>
              </w:rPr>
            </w:pPr>
            <w:r w:rsidRPr="0067300D">
              <w:rPr>
                <w:b/>
                <w:bCs/>
                <w:sz w:val="24"/>
                <w:szCs w:val="24"/>
              </w:rPr>
              <w:t>2019</w:t>
            </w:r>
          </w:p>
        </w:tc>
        <w:tc>
          <w:tcPr>
            <w:tcW w:w="1559" w:type="dxa"/>
            <w:shd w:val="clear" w:color="auto" w:fill="BFBFBF" w:themeFill="background1" w:themeFillShade="BF"/>
            <w:vAlign w:val="center"/>
          </w:tcPr>
          <w:p w:rsidR="00734F29" w:rsidRPr="0067300D" w:rsidRDefault="00734F29" w:rsidP="003511C2">
            <w:pPr>
              <w:jc w:val="center"/>
              <w:rPr>
                <w:b/>
                <w:bCs/>
                <w:sz w:val="24"/>
                <w:szCs w:val="24"/>
              </w:rPr>
            </w:pPr>
            <w:r w:rsidRPr="0067300D">
              <w:rPr>
                <w:b/>
                <w:bCs/>
                <w:sz w:val="24"/>
                <w:szCs w:val="24"/>
              </w:rPr>
              <w:t>2020</w:t>
            </w:r>
          </w:p>
        </w:tc>
        <w:tc>
          <w:tcPr>
            <w:tcW w:w="1418" w:type="dxa"/>
            <w:shd w:val="clear" w:color="auto" w:fill="BFBFBF" w:themeFill="background1" w:themeFillShade="BF"/>
            <w:vAlign w:val="center"/>
          </w:tcPr>
          <w:p w:rsidR="00734F29" w:rsidRPr="0067300D" w:rsidRDefault="00734F29" w:rsidP="003511C2">
            <w:pPr>
              <w:jc w:val="center"/>
              <w:rPr>
                <w:b/>
                <w:bCs/>
                <w:sz w:val="24"/>
                <w:szCs w:val="24"/>
              </w:rPr>
            </w:pPr>
            <w:r w:rsidRPr="0067300D">
              <w:rPr>
                <w:b/>
                <w:bCs/>
                <w:sz w:val="24"/>
                <w:szCs w:val="24"/>
              </w:rPr>
              <w:t>2021</w:t>
            </w:r>
          </w:p>
        </w:tc>
        <w:tc>
          <w:tcPr>
            <w:tcW w:w="1370" w:type="dxa"/>
            <w:shd w:val="clear" w:color="auto" w:fill="BFBFBF" w:themeFill="background1" w:themeFillShade="BF"/>
            <w:vAlign w:val="center"/>
          </w:tcPr>
          <w:p w:rsidR="00734F29" w:rsidRPr="0067300D" w:rsidRDefault="00734F29" w:rsidP="003511C2">
            <w:pPr>
              <w:jc w:val="center"/>
              <w:rPr>
                <w:b/>
                <w:bCs/>
                <w:sz w:val="24"/>
                <w:szCs w:val="24"/>
              </w:rPr>
            </w:pPr>
            <w:r w:rsidRPr="0067300D">
              <w:rPr>
                <w:b/>
                <w:bCs/>
                <w:sz w:val="24"/>
                <w:szCs w:val="24"/>
              </w:rPr>
              <w:t>2022</w:t>
            </w:r>
          </w:p>
        </w:tc>
      </w:tr>
      <w:tr w:rsidR="00734F29" w:rsidRPr="0067300D" w:rsidTr="003511C2">
        <w:trPr>
          <w:trHeight w:val="70"/>
          <w:jc w:val="center"/>
        </w:trPr>
        <w:tc>
          <w:tcPr>
            <w:tcW w:w="4248" w:type="dxa"/>
            <w:shd w:val="clear" w:color="auto" w:fill="C0C0C0"/>
            <w:noWrap/>
            <w:vAlign w:val="center"/>
          </w:tcPr>
          <w:p w:rsidR="00734F29" w:rsidRPr="0067300D" w:rsidRDefault="00734F29" w:rsidP="003511C2">
            <w:pPr>
              <w:rPr>
                <w:sz w:val="24"/>
                <w:szCs w:val="24"/>
              </w:rPr>
            </w:pPr>
            <w:r w:rsidRPr="0067300D">
              <w:rPr>
                <w:b/>
                <w:bCs/>
                <w:sz w:val="24"/>
                <w:szCs w:val="24"/>
              </w:rPr>
              <w:t>Príjmy verejnej správy celkom</w:t>
            </w:r>
          </w:p>
        </w:tc>
        <w:tc>
          <w:tcPr>
            <w:tcW w:w="1134" w:type="dxa"/>
            <w:shd w:val="clear" w:color="auto" w:fill="C0C0C0"/>
            <w:vAlign w:val="center"/>
          </w:tcPr>
          <w:p w:rsidR="00734F29" w:rsidRPr="0067300D" w:rsidRDefault="00734F29" w:rsidP="003511C2">
            <w:pPr>
              <w:jc w:val="right"/>
              <w:rPr>
                <w:b/>
                <w:bCs/>
                <w:sz w:val="24"/>
                <w:szCs w:val="24"/>
              </w:rPr>
            </w:pPr>
            <w:r w:rsidRPr="0067300D">
              <w:rPr>
                <w:b/>
                <w:bCs/>
                <w:sz w:val="24"/>
                <w:szCs w:val="24"/>
              </w:rPr>
              <w:t>0</w:t>
            </w:r>
          </w:p>
        </w:tc>
        <w:tc>
          <w:tcPr>
            <w:tcW w:w="1559" w:type="dxa"/>
            <w:shd w:val="clear" w:color="auto" w:fill="C0C0C0"/>
            <w:vAlign w:val="center"/>
          </w:tcPr>
          <w:p w:rsidR="00734F29" w:rsidRPr="0067300D" w:rsidRDefault="00734F29" w:rsidP="003511C2">
            <w:pPr>
              <w:jc w:val="right"/>
              <w:rPr>
                <w:b/>
                <w:bCs/>
                <w:color w:val="000000" w:themeColor="text1"/>
                <w:sz w:val="24"/>
                <w:szCs w:val="24"/>
              </w:rPr>
            </w:pPr>
            <w:r w:rsidRPr="0067300D">
              <w:rPr>
                <w:b/>
                <w:bCs/>
                <w:sz w:val="24"/>
                <w:szCs w:val="24"/>
              </w:rPr>
              <w:t>0</w:t>
            </w:r>
          </w:p>
        </w:tc>
        <w:tc>
          <w:tcPr>
            <w:tcW w:w="1418" w:type="dxa"/>
            <w:shd w:val="clear" w:color="auto" w:fill="C0C0C0"/>
            <w:vAlign w:val="center"/>
          </w:tcPr>
          <w:p w:rsidR="00734F29" w:rsidRPr="0067300D" w:rsidRDefault="00734F29" w:rsidP="003511C2">
            <w:pPr>
              <w:jc w:val="right"/>
              <w:rPr>
                <w:b/>
                <w:bCs/>
                <w:color w:val="000000" w:themeColor="text1"/>
                <w:sz w:val="24"/>
                <w:szCs w:val="24"/>
              </w:rPr>
            </w:pPr>
            <w:r w:rsidRPr="0067300D">
              <w:rPr>
                <w:b/>
                <w:bCs/>
                <w:sz w:val="24"/>
                <w:szCs w:val="24"/>
              </w:rPr>
              <w:t>0</w:t>
            </w:r>
          </w:p>
        </w:tc>
        <w:tc>
          <w:tcPr>
            <w:tcW w:w="1370" w:type="dxa"/>
            <w:shd w:val="clear" w:color="auto" w:fill="C0C0C0"/>
            <w:vAlign w:val="center"/>
          </w:tcPr>
          <w:p w:rsidR="00734F29" w:rsidRPr="0067300D" w:rsidRDefault="00734F29" w:rsidP="003511C2">
            <w:pPr>
              <w:jc w:val="right"/>
              <w:rPr>
                <w:b/>
                <w:bCs/>
                <w:color w:val="000000" w:themeColor="text1"/>
                <w:sz w:val="24"/>
                <w:szCs w:val="24"/>
              </w:rPr>
            </w:pPr>
            <w:r w:rsidRPr="0067300D">
              <w:rPr>
                <w:b/>
                <w:bCs/>
                <w:sz w:val="24"/>
                <w:szCs w:val="24"/>
              </w:rPr>
              <w:t>0</w:t>
            </w:r>
          </w:p>
        </w:tc>
      </w:tr>
      <w:tr w:rsidR="00734F29" w:rsidRPr="0067300D" w:rsidTr="003511C2">
        <w:trPr>
          <w:trHeight w:val="132"/>
          <w:jc w:val="center"/>
        </w:trPr>
        <w:tc>
          <w:tcPr>
            <w:tcW w:w="4248" w:type="dxa"/>
            <w:noWrap/>
            <w:vAlign w:val="center"/>
          </w:tcPr>
          <w:p w:rsidR="00734F29" w:rsidRPr="0067300D" w:rsidRDefault="00734F29" w:rsidP="003511C2">
            <w:pPr>
              <w:rPr>
                <w:sz w:val="24"/>
                <w:szCs w:val="24"/>
              </w:rPr>
            </w:pPr>
            <w:r w:rsidRPr="0067300D">
              <w:rPr>
                <w:sz w:val="24"/>
                <w:szCs w:val="24"/>
              </w:rPr>
              <w:t>v tom: za každý subjekt verejnej správy zvlášť</w:t>
            </w:r>
          </w:p>
        </w:tc>
        <w:tc>
          <w:tcPr>
            <w:tcW w:w="1134" w:type="dxa"/>
            <w:noWrap/>
            <w:vAlign w:val="center"/>
          </w:tcPr>
          <w:p w:rsidR="00734F29" w:rsidRPr="0067300D" w:rsidRDefault="00734F29" w:rsidP="003511C2">
            <w:pPr>
              <w:jc w:val="right"/>
              <w:rPr>
                <w:sz w:val="24"/>
                <w:szCs w:val="24"/>
              </w:rPr>
            </w:pPr>
            <w:r w:rsidRPr="0067300D">
              <w:rPr>
                <w:sz w:val="24"/>
                <w:szCs w:val="24"/>
              </w:rPr>
              <w:t>0</w:t>
            </w:r>
          </w:p>
        </w:tc>
        <w:tc>
          <w:tcPr>
            <w:tcW w:w="1559" w:type="dxa"/>
            <w:noWrap/>
            <w:vAlign w:val="center"/>
          </w:tcPr>
          <w:p w:rsidR="00734F29" w:rsidRPr="0067300D" w:rsidRDefault="00734F29" w:rsidP="003511C2">
            <w:pPr>
              <w:jc w:val="right"/>
              <w:rPr>
                <w:sz w:val="24"/>
                <w:szCs w:val="24"/>
              </w:rPr>
            </w:pPr>
            <w:r w:rsidRPr="0067300D">
              <w:rPr>
                <w:sz w:val="24"/>
                <w:szCs w:val="24"/>
              </w:rPr>
              <w:t>0</w:t>
            </w:r>
          </w:p>
        </w:tc>
        <w:tc>
          <w:tcPr>
            <w:tcW w:w="1418" w:type="dxa"/>
            <w:noWrap/>
            <w:vAlign w:val="center"/>
          </w:tcPr>
          <w:p w:rsidR="00734F29" w:rsidRPr="0067300D" w:rsidRDefault="00734F29" w:rsidP="003511C2">
            <w:pPr>
              <w:jc w:val="right"/>
              <w:rPr>
                <w:sz w:val="24"/>
                <w:szCs w:val="24"/>
              </w:rPr>
            </w:pPr>
            <w:r w:rsidRPr="0067300D">
              <w:rPr>
                <w:sz w:val="24"/>
                <w:szCs w:val="24"/>
              </w:rPr>
              <w:t>0</w:t>
            </w:r>
          </w:p>
        </w:tc>
        <w:tc>
          <w:tcPr>
            <w:tcW w:w="1370" w:type="dxa"/>
            <w:noWrap/>
            <w:vAlign w:val="center"/>
          </w:tcPr>
          <w:p w:rsidR="00734F29" w:rsidRPr="0067300D" w:rsidRDefault="00734F29" w:rsidP="003511C2">
            <w:pPr>
              <w:jc w:val="right"/>
              <w:rPr>
                <w:sz w:val="24"/>
                <w:szCs w:val="24"/>
              </w:rPr>
            </w:pPr>
            <w:r w:rsidRPr="0067300D">
              <w:rPr>
                <w:sz w:val="24"/>
                <w:szCs w:val="24"/>
              </w:rPr>
              <w:t>0</w:t>
            </w:r>
          </w:p>
        </w:tc>
      </w:tr>
      <w:tr w:rsidR="00734F29" w:rsidRPr="0067300D" w:rsidTr="003511C2">
        <w:trPr>
          <w:trHeight w:val="70"/>
          <w:jc w:val="center"/>
        </w:trPr>
        <w:tc>
          <w:tcPr>
            <w:tcW w:w="4248" w:type="dxa"/>
            <w:noWrap/>
            <w:vAlign w:val="center"/>
          </w:tcPr>
          <w:p w:rsidR="00734F29" w:rsidRPr="0067300D" w:rsidRDefault="00734F29" w:rsidP="003511C2">
            <w:pPr>
              <w:rPr>
                <w:b/>
                <w:bCs/>
                <w:i/>
                <w:iCs/>
                <w:sz w:val="24"/>
                <w:szCs w:val="24"/>
              </w:rPr>
            </w:pPr>
            <w:r w:rsidRPr="0067300D">
              <w:rPr>
                <w:b/>
                <w:bCs/>
                <w:i/>
                <w:iCs/>
                <w:sz w:val="24"/>
                <w:szCs w:val="24"/>
              </w:rPr>
              <w:t xml:space="preserve">z toho:  </w:t>
            </w:r>
          </w:p>
        </w:tc>
        <w:tc>
          <w:tcPr>
            <w:tcW w:w="1134" w:type="dxa"/>
            <w:noWrap/>
            <w:vAlign w:val="center"/>
          </w:tcPr>
          <w:p w:rsidR="00734F29" w:rsidRPr="0067300D" w:rsidRDefault="00734F29" w:rsidP="003511C2">
            <w:pPr>
              <w:jc w:val="right"/>
              <w:rPr>
                <w:b/>
                <w:bCs/>
                <w:iCs/>
                <w:sz w:val="24"/>
                <w:szCs w:val="24"/>
              </w:rPr>
            </w:pPr>
          </w:p>
        </w:tc>
        <w:tc>
          <w:tcPr>
            <w:tcW w:w="1559" w:type="dxa"/>
            <w:noWrap/>
            <w:vAlign w:val="center"/>
          </w:tcPr>
          <w:p w:rsidR="00734F29" w:rsidRPr="0067300D" w:rsidRDefault="00734F29" w:rsidP="003511C2">
            <w:pPr>
              <w:jc w:val="right"/>
              <w:rPr>
                <w:b/>
                <w:bCs/>
                <w:iCs/>
                <w:sz w:val="24"/>
                <w:szCs w:val="24"/>
              </w:rPr>
            </w:pPr>
          </w:p>
        </w:tc>
        <w:tc>
          <w:tcPr>
            <w:tcW w:w="1418" w:type="dxa"/>
            <w:noWrap/>
            <w:vAlign w:val="center"/>
          </w:tcPr>
          <w:p w:rsidR="00734F29" w:rsidRPr="0067300D" w:rsidRDefault="00734F29" w:rsidP="003511C2">
            <w:pPr>
              <w:jc w:val="right"/>
              <w:rPr>
                <w:b/>
                <w:bCs/>
                <w:iCs/>
                <w:sz w:val="24"/>
                <w:szCs w:val="24"/>
              </w:rPr>
            </w:pPr>
          </w:p>
        </w:tc>
        <w:tc>
          <w:tcPr>
            <w:tcW w:w="1370" w:type="dxa"/>
            <w:noWrap/>
            <w:vAlign w:val="center"/>
          </w:tcPr>
          <w:p w:rsidR="00734F29" w:rsidRPr="0067300D" w:rsidRDefault="00734F29" w:rsidP="003511C2">
            <w:pPr>
              <w:jc w:val="right"/>
              <w:rPr>
                <w:b/>
                <w:bCs/>
                <w:iCs/>
                <w:sz w:val="24"/>
                <w:szCs w:val="24"/>
              </w:rPr>
            </w:pPr>
          </w:p>
        </w:tc>
      </w:tr>
      <w:tr w:rsidR="00734F29" w:rsidRPr="0067300D" w:rsidTr="003511C2">
        <w:trPr>
          <w:trHeight w:val="125"/>
          <w:jc w:val="center"/>
        </w:trPr>
        <w:tc>
          <w:tcPr>
            <w:tcW w:w="4248" w:type="dxa"/>
            <w:noWrap/>
            <w:vAlign w:val="center"/>
          </w:tcPr>
          <w:p w:rsidR="00734F29" w:rsidRPr="0067300D" w:rsidRDefault="00734F29" w:rsidP="003511C2">
            <w:pPr>
              <w:rPr>
                <w:b/>
                <w:bCs/>
                <w:i/>
                <w:iCs/>
                <w:sz w:val="24"/>
                <w:szCs w:val="24"/>
              </w:rPr>
            </w:pPr>
            <w:r w:rsidRPr="0067300D">
              <w:rPr>
                <w:b/>
                <w:bCs/>
                <w:i/>
                <w:iCs/>
                <w:sz w:val="24"/>
                <w:szCs w:val="24"/>
              </w:rPr>
              <w:t>- vplyv na ŠR</w:t>
            </w:r>
          </w:p>
        </w:tc>
        <w:tc>
          <w:tcPr>
            <w:tcW w:w="1134"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559"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418"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370" w:type="dxa"/>
            <w:noWrap/>
            <w:vAlign w:val="center"/>
          </w:tcPr>
          <w:p w:rsidR="00734F29" w:rsidRPr="0067300D" w:rsidRDefault="00734F29" w:rsidP="003511C2">
            <w:pPr>
              <w:jc w:val="right"/>
              <w:rPr>
                <w:b/>
                <w:bCs/>
                <w:iCs/>
                <w:sz w:val="24"/>
                <w:szCs w:val="24"/>
              </w:rPr>
            </w:pPr>
            <w:r w:rsidRPr="0067300D">
              <w:rPr>
                <w:b/>
                <w:bCs/>
                <w:iCs/>
                <w:sz w:val="24"/>
                <w:szCs w:val="24"/>
              </w:rPr>
              <w:t>0</w:t>
            </w:r>
          </w:p>
        </w:tc>
      </w:tr>
      <w:tr w:rsidR="00734F29" w:rsidRPr="0067300D" w:rsidTr="003511C2">
        <w:trPr>
          <w:trHeight w:val="125"/>
          <w:jc w:val="center"/>
        </w:trPr>
        <w:tc>
          <w:tcPr>
            <w:tcW w:w="4248" w:type="dxa"/>
            <w:noWrap/>
            <w:vAlign w:val="center"/>
          </w:tcPr>
          <w:p w:rsidR="00734F29" w:rsidRPr="0067300D" w:rsidRDefault="00734F29" w:rsidP="003511C2">
            <w:pPr>
              <w:ind w:left="259"/>
              <w:rPr>
                <w:b/>
                <w:bCs/>
                <w:i/>
                <w:iCs/>
                <w:sz w:val="24"/>
                <w:szCs w:val="24"/>
              </w:rPr>
            </w:pPr>
            <w:r w:rsidRPr="0067300D">
              <w:rPr>
                <w:bCs/>
                <w:i/>
                <w:iCs/>
                <w:sz w:val="24"/>
                <w:szCs w:val="24"/>
              </w:rPr>
              <w:t>Rozpočtové prostriedky</w:t>
            </w:r>
          </w:p>
        </w:tc>
        <w:tc>
          <w:tcPr>
            <w:tcW w:w="1134" w:type="dxa"/>
            <w:noWrap/>
            <w:vAlign w:val="center"/>
          </w:tcPr>
          <w:p w:rsidR="00734F29" w:rsidRPr="0067300D" w:rsidRDefault="00734F29" w:rsidP="003511C2">
            <w:pPr>
              <w:jc w:val="right"/>
              <w:rPr>
                <w:bCs/>
                <w:iCs/>
                <w:sz w:val="24"/>
                <w:szCs w:val="24"/>
              </w:rPr>
            </w:pPr>
            <w:r w:rsidRPr="0067300D">
              <w:rPr>
                <w:bCs/>
                <w:iCs/>
                <w:sz w:val="24"/>
                <w:szCs w:val="24"/>
              </w:rPr>
              <w:t>0</w:t>
            </w:r>
          </w:p>
        </w:tc>
        <w:tc>
          <w:tcPr>
            <w:tcW w:w="1559" w:type="dxa"/>
            <w:noWrap/>
            <w:vAlign w:val="center"/>
          </w:tcPr>
          <w:p w:rsidR="00734F29" w:rsidRPr="0067300D" w:rsidRDefault="00734F29" w:rsidP="003511C2">
            <w:pPr>
              <w:jc w:val="right"/>
              <w:rPr>
                <w:bCs/>
                <w:iCs/>
                <w:sz w:val="24"/>
                <w:szCs w:val="24"/>
              </w:rPr>
            </w:pPr>
            <w:r w:rsidRPr="0067300D">
              <w:rPr>
                <w:bCs/>
                <w:iCs/>
                <w:sz w:val="24"/>
                <w:szCs w:val="24"/>
              </w:rPr>
              <w:t>0</w:t>
            </w:r>
          </w:p>
        </w:tc>
        <w:tc>
          <w:tcPr>
            <w:tcW w:w="1418" w:type="dxa"/>
            <w:noWrap/>
            <w:vAlign w:val="center"/>
          </w:tcPr>
          <w:p w:rsidR="00734F29" w:rsidRPr="0067300D" w:rsidRDefault="00734F29" w:rsidP="003511C2">
            <w:pPr>
              <w:jc w:val="right"/>
              <w:rPr>
                <w:bCs/>
                <w:iCs/>
                <w:sz w:val="24"/>
                <w:szCs w:val="24"/>
              </w:rPr>
            </w:pPr>
            <w:r w:rsidRPr="0067300D">
              <w:rPr>
                <w:bCs/>
                <w:iCs/>
                <w:sz w:val="24"/>
                <w:szCs w:val="24"/>
              </w:rPr>
              <w:t>0</w:t>
            </w:r>
          </w:p>
        </w:tc>
        <w:tc>
          <w:tcPr>
            <w:tcW w:w="1370" w:type="dxa"/>
            <w:noWrap/>
            <w:vAlign w:val="center"/>
          </w:tcPr>
          <w:p w:rsidR="00734F29" w:rsidRPr="0067300D" w:rsidRDefault="00734F29" w:rsidP="003511C2">
            <w:pPr>
              <w:jc w:val="right"/>
              <w:rPr>
                <w:bCs/>
                <w:iCs/>
                <w:sz w:val="24"/>
                <w:szCs w:val="24"/>
              </w:rPr>
            </w:pPr>
            <w:r w:rsidRPr="0067300D">
              <w:rPr>
                <w:bCs/>
                <w:iCs/>
                <w:sz w:val="24"/>
                <w:szCs w:val="24"/>
              </w:rPr>
              <w:t>0</w:t>
            </w:r>
          </w:p>
        </w:tc>
      </w:tr>
      <w:tr w:rsidR="00734F29" w:rsidRPr="0067300D" w:rsidTr="003511C2">
        <w:trPr>
          <w:trHeight w:val="125"/>
          <w:jc w:val="center"/>
        </w:trPr>
        <w:tc>
          <w:tcPr>
            <w:tcW w:w="4248" w:type="dxa"/>
            <w:noWrap/>
            <w:vAlign w:val="center"/>
          </w:tcPr>
          <w:p w:rsidR="00734F29" w:rsidRPr="0067300D" w:rsidRDefault="00734F29" w:rsidP="003511C2">
            <w:pPr>
              <w:ind w:left="259"/>
              <w:rPr>
                <w:bCs/>
                <w:i/>
                <w:iCs/>
                <w:sz w:val="24"/>
                <w:szCs w:val="24"/>
              </w:rPr>
            </w:pPr>
            <w:r w:rsidRPr="0067300D">
              <w:rPr>
                <w:bCs/>
                <w:i/>
                <w:iCs/>
                <w:sz w:val="24"/>
                <w:szCs w:val="24"/>
              </w:rPr>
              <w:t>EÚ zdroje</w:t>
            </w:r>
          </w:p>
        </w:tc>
        <w:tc>
          <w:tcPr>
            <w:tcW w:w="1134" w:type="dxa"/>
            <w:noWrap/>
            <w:vAlign w:val="center"/>
          </w:tcPr>
          <w:p w:rsidR="00734F29" w:rsidRPr="0067300D" w:rsidRDefault="00734F29" w:rsidP="003511C2">
            <w:pPr>
              <w:jc w:val="right"/>
              <w:rPr>
                <w:sz w:val="24"/>
                <w:szCs w:val="24"/>
              </w:rPr>
            </w:pPr>
            <w:r w:rsidRPr="0067300D">
              <w:rPr>
                <w:sz w:val="24"/>
                <w:szCs w:val="24"/>
              </w:rPr>
              <w:t>0</w:t>
            </w:r>
          </w:p>
        </w:tc>
        <w:tc>
          <w:tcPr>
            <w:tcW w:w="1559" w:type="dxa"/>
            <w:noWrap/>
            <w:vAlign w:val="center"/>
          </w:tcPr>
          <w:p w:rsidR="00734F29" w:rsidRPr="0067300D" w:rsidRDefault="00734F29" w:rsidP="003511C2">
            <w:pPr>
              <w:jc w:val="right"/>
              <w:rPr>
                <w:sz w:val="24"/>
                <w:szCs w:val="24"/>
              </w:rPr>
            </w:pPr>
            <w:r w:rsidRPr="0067300D">
              <w:rPr>
                <w:sz w:val="24"/>
                <w:szCs w:val="24"/>
              </w:rPr>
              <w:t>0</w:t>
            </w:r>
          </w:p>
        </w:tc>
        <w:tc>
          <w:tcPr>
            <w:tcW w:w="1418" w:type="dxa"/>
            <w:noWrap/>
            <w:vAlign w:val="center"/>
          </w:tcPr>
          <w:p w:rsidR="00734F29" w:rsidRPr="0067300D" w:rsidRDefault="00734F29" w:rsidP="003511C2">
            <w:pPr>
              <w:jc w:val="right"/>
              <w:rPr>
                <w:sz w:val="24"/>
                <w:szCs w:val="24"/>
              </w:rPr>
            </w:pPr>
            <w:r w:rsidRPr="0067300D">
              <w:rPr>
                <w:sz w:val="24"/>
                <w:szCs w:val="24"/>
              </w:rPr>
              <w:t>0</w:t>
            </w:r>
          </w:p>
        </w:tc>
        <w:tc>
          <w:tcPr>
            <w:tcW w:w="1370" w:type="dxa"/>
            <w:noWrap/>
            <w:vAlign w:val="center"/>
          </w:tcPr>
          <w:p w:rsidR="00734F29" w:rsidRPr="0067300D" w:rsidRDefault="00734F29" w:rsidP="003511C2">
            <w:pPr>
              <w:jc w:val="right"/>
              <w:rPr>
                <w:sz w:val="24"/>
                <w:szCs w:val="24"/>
              </w:rPr>
            </w:pPr>
            <w:r w:rsidRPr="0067300D">
              <w:rPr>
                <w:sz w:val="24"/>
                <w:szCs w:val="24"/>
              </w:rPr>
              <w:t>0</w:t>
            </w:r>
          </w:p>
        </w:tc>
      </w:tr>
      <w:tr w:rsidR="00734F29" w:rsidRPr="0067300D" w:rsidTr="003511C2">
        <w:trPr>
          <w:trHeight w:val="125"/>
          <w:jc w:val="center"/>
        </w:trPr>
        <w:tc>
          <w:tcPr>
            <w:tcW w:w="4248" w:type="dxa"/>
            <w:noWrap/>
            <w:vAlign w:val="center"/>
          </w:tcPr>
          <w:p w:rsidR="00734F29" w:rsidRPr="0067300D" w:rsidRDefault="00734F29" w:rsidP="003511C2">
            <w:pPr>
              <w:rPr>
                <w:b/>
                <w:bCs/>
                <w:i/>
                <w:iCs/>
                <w:sz w:val="24"/>
                <w:szCs w:val="24"/>
              </w:rPr>
            </w:pPr>
            <w:r w:rsidRPr="0067300D">
              <w:rPr>
                <w:b/>
                <w:bCs/>
                <w:i/>
                <w:iCs/>
                <w:sz w:val="24"/>
                <w:szCs w:val="24"/>
              </w:rPr>
              <w:t>- vplyv na obce</w:t>
            </w:r>
          </w:p>
        </w:tc>
        <w:tc>
          <w:tcPr>
            <w:tcW w:w="1134"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559"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418"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370" w:type="dxa"/>
            <w:noWrap/>
            <w:vAlign w:val="center"/>
          </w:tcPr>
          <w:p w:rsidR="00734F29" w:rsidRPr="0067300D" w:rsidRDefault="00734F29" w:rsidP="003511C2">
            <w:pPr>
              <w:jc w:val="right"/>
              <w:rPr>
                <w:b/>
                <w:bCs/>
                <w:iCs/>
                <w:sz w:val="24"/>
                <w:szCs w:val="24"/>
              </w:rPr>
            </w:pPr>
            <w:r w:rsidRPr="0067300D">
              <w:rPr>
                <w:b/>
                <w:bCs/>
                <w:iCs/>
                <w:sz w:val="24"/>
                <w:szCs w:val="24"/>
              </w:rPr>
              <w:t>0</w:t>
            </w:r>
          </w:p>
        </w:tc>
      </w:tr>
      <w:tr w:rsidR="00734F29" w:rsidRPr="0067300D" w:rsidTr="003511C2">
        <w:trPr>
          <w:trHeight w:val="125"/>
          <w:jc w:val="center"/>
        </w:trPr>
        <w:tc>
          <w:tcPr>
            <w:tcW w:w="4248" w:type="dxa"/>
            <w:noWrap/>
            <w:vAlign w:val="center"/>
          </w:tcPr>
          <w:p w:rsidR="00734F29" w:rsidRPr="0067300D" w:rsidRDefault="00734F29" w:rsidP="003511C2">
            <w:pPr>
              <w:rPr>
                <w:b/>
                <w:bCs/>
                <w:i/>
                <w:iCs/>
                <w:sz w:val="24"/>
                <w:szCs w:val="24"/>
              </w:rPr>
            </w:pPr>
            <w:r w:rsidRPr="0067300D">
              <w:rPr>
                <w:b/>
                <w:bCs/>
                <w:i/>
                <w:iCs/>
                <w:sz w:val="24"/>
                <w:szCs w:val="24"/>
              </w:rPr>
              <w:t>- vplyv na vyššie územné celky</w:t>
            </w:r>
          </w:p>
        </w:tc>
        <w:tc>
          <w:tcPr>
            <w:tcW w:w="1134"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559"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418"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370" w:type="dxa"/>
            <w:noWrap/>
            <w:vAlign w:val="center"/>
          </w:tcPr>
          <w:p w:rsidR="00734F29" w:rsidRPr="0067300D" w:rsidRDefault="00734F29" w:rsidP="003511C2">
            <w:pPr>
              <w:jc w:val="right"/>
              <w:rPr>
                <w:b/>
                <w:bCs/>
                <w:iCs/>
                <w:sz w:val="24"/>
                <w:szCs w:val="24"/>
              </w:rPr>
            </w:pPr>
            <w:r w:rsidRPr="0067300D">
              <w:rPr>
                <w:b/>
                <w:bCs/>
                <w:iCs/>
                <w:sz w:val="24"/>
                <w:szCs w:val="24"/>
              </w:rPr>
              <w:t>0</w:t>
            </w:r>
          </w:p>
        </w:tc>
      </w:tr>
      <w:tr w:rsidR="00734F29" w:rsidRPr="0067300D" w:rsidTr="003511C2">
        <w:trPr>
          <w:trHeight w:val="125"/>
          <w:jc w:val="center"/>
        </w:trPr>
        <w:tc>
          <w:tcPr>
            <w:tcW w:w="4248" w:type="dxa"/>
            <w:noWrap/>
            <w:vAlign w:val="center"/>
          </w:tcPr>
          <w:p w:rsidR="00734F29" w:rsidRPr="0067300D" w:rsidRDefault="00734F29" w:rsidP="003511C2">
            <w:pPr>
              <w:rPr>
                <w:b/>
                <w:bCs/>
                <w:i/>
                <w:iCs/>
                <w:sz w:val="24"/>
                <w:szCs w:val="24"/>
              </w:rPr>
            </w:pPr>
            <w:r w:rsidRPr="0067300D">
              <w:rPr>
                <w:b/>
                <w:bCs/>
                <w:i/>
                <w:iCs/>
                <w:sz w:val="24"/>
                <w:szCs w:val="24"/>
              </w:rPr>
              <w:t>- vplyv na ostatné subjekty verejnej správy</w:t>
            </w:r>
          </w:p>
        </w:tc>
        <w:tc>
          <w:tcPr>
            <w:tcW w:w="1134"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559"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418"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370" w:type="dxa"/>
            <w:noWrap/>
            <w:vAlign w:val="center"/>
          </w:tcPr>
          <w:p w:rsidR="00734F29" w:rsidRPr="0067300D" w:rsidRDefault="00734F29" w:rsidP="003511C2">
            <w:pPr>
              <w:jc w:val="right"/>
              <w:rPr>
                <w:b/>
                <w:bCs/>
                <w:iCs/>
                <w:sz w:val="24"/>
                <w:szCs w:val="24"/>
              </w:rPr>
            </w:pPr>
            <w:r w:rsidRPr="0067300D">
              <w:rPr>
                <w:b/>
                <w:bCs/>
                <w:iCs/>
                <w:sz w:val="24"/>
                <w:szCs w:val="24"/>
              </w:rPr>
              <w:t>0</w:t>
            </w:r>
          </w:p>
        </w:tc>
      </w:tr>
      <w:tr w:rsidR="00734F29" w:rsidRPr="0067300D" w:rsidTr="003511C2">
        <w:trPr>
          <w:trHeight w:val="125"/>
          <w:jc w:val="center"/>
        </w:trPr>
        <w:tc>
          <w:tcPr>
            <w:tcW w:w="4248" w:type="dxa"/>
            <w:shd w:val="clear" w:color="auto" w:fill="C0C0C0"/>
            <w:noWrap/>
            <w:vAlign w:val="center"/>
          </w:tcPr>
          <w:p w:rsidR="00734F29" w:rsidRPr="0067300D" w:rsidRDefault="00734F29" w:rsidP="003511C2">
            <w:pPr>
              <w:rPr>
                <w:b/>
                <w:bCs/>
                <w:sz w:val="24"/>
                <w:szCs w:val="24"/>
              </w:rPr>
            </w:pPr>
            <w:r w:rsidRPr="0067300D">
              <w:rPr>
                <w:b/>
                <w:bCs/>
                <w:sz w:val="24"/>
                <w:szCs w:val="24"/>
              </w:rPr>
              <w:t>Výdavky verejnej správy celkom</w:t>
            </w:r>
          </w:p>
        </w:tc>
        <w:tc>
          <w:tcPr>
            <w:tcW w:w="1134" w:type="dxa"/>
            <w:shd w:val="clear" w:color="auto" w:fill="C0C0C0"/>
            <w:noWrap/>
            <w:vAlign w:val="center"/>
          </w:tcPr>
          <w:p w:rsidR="00734F29" w:rsidRPr="002F5486" w:rsidRDefault="002F5486" w:rsidP="003511C2">
            <w:pPr>
              <w:jc w:val="right"/>
              <w:rPr>
                <w:b/>
                <w:bCs/>
                <w:color w:val="000000" w:themeColor="text1"/>
                <w:sz w:val="24"/>
                <w:szCs w:val="24"/>
              </w:rPr>
            </w:pPr>
            <w:r w:rsidRPr="002F5486">
              <w:rPr>
                <w:b/>
                <w:sz w:val="24"/>
                <w:szCs w:val="24"/>
              </w:rPr>
              <w:t>1</w:t>
            </w:r>
            <w:r>
              <w:rPr>
                <w:b/>
                <w:sz w:val="24"/>
                <w:szCs w:val="24"/>
              </w:rPr>
              <w:t> </w:t>
            </w:r>
            <w:r w:rsidRPr="002F5486">
              <w:rPr>
                <w:b/>
                <w:sz w:val="24"/>
                <w:szCs w:val="24"/>
              </w:rPr>
              <w:t>559</w:t>
            </w:r>
            <w:r>
              <w:rPr>
                <w:b/>
                <w:sz w:val="24"/>
                <w:szCs w:val="24"/>
              </w:rPr>
              <w:t xml:space="preserve"> </w:t>
            </w:r>
            <w:r w:rsidRPr="002F5486">
              <w:rPr>
                <w:b/>
                <w:sz w:val="24"/>
                <w:szCs w:val="24"/>
              </w:rPr>
              <w:t>676</w:t>
            </w:r>
          </w:p>
        </w:tc>
        <w:tc>
          <w:tcPr>
            <w:tcW w:w="1559" w:type="dxa"/>
            <w:shd w:val="clear" w:color="auto" w:fill="C0C0C0"/>
            <w:noWrap/>
            <w:vAlign w:val="center"/>
          </w:tcPr>
          <w:p w:rsidR="00734F29" w:rsidRPr="0067300D" w:rsidRDefault="00734F29" w:rsidP="003511C2">
            <w:pPr>
              <w:jc w:val="right"/>
              <w:rPr>
                <w:b/>
                <w:bCs/>
                <w:sz w:val="24"/>
                <w:szCs w:val="24"/>
              </w:rPr>
            </w:pPr>
            <w:r w:rsidRPr="0067300D">
              <w:rPr>
                <w:b/>
                <w:bCs/>
                <w:sz w:val="24"/>
                <w:szCs w:val="24"/>
              </w:rPr>
              <w:t>0</w:t>
            </w:r>
          </w:p>
        </w:tc>
        <w:tc>
          <w:tcPr>
            <w:tcW w:w="1418" w:type="dxa"/>
            <w:shd w:val="clear" w:color="auto" w:fill="C0C0C0"/>
            <w:noWrap/>
            <w:vAlign w:val="center"/>
          </w:tcPr>
          <w:p w:rsidR="00734F29" w:rsidRPr="0067300D" w:rsidRDefault="00734F29" w:rsidP="003511C2">
            <w:pPr>
              <w:jc w:val="right"/>
              <w:rPr>
                <w:b/>
                <w:bCs/>
                <w:sz w:val="24"/>
                <w:szCs w:val="24"/>
              </w:rPr>
            </w:pPr>
            <w:r w:rsidRPr="0067300D">
              <w:rPr>
                <w:b/>
                <w:bCs/>
                <w:sz w:val="24"/>
                <w:szCs w:val="24"/>
              </w:rPr>
              <w:t>0</w:t>
            </w:r>
          </w:p>
        </w:tc>
        <w:tc>
          <w:tcPr>
            <w:tcW w:w="1370" w:type="dxa"/>
            <w:shd w:val="clear" w:color="auto" w:fill="C0C0C0"/>
            <w:noWrap/>
            <w:vAlign w:val="center"/>
          </w:tcPr>
          <w:p w:rsidR="00734F29" w:rsidRPr="0067300D" w:rsidRDefault="00734F29" w:rsidP="003511C2">
            <w:pPr>
              <w:jc w:val="right"/>
              <w:rPr>
                <w:b/>
                <w:bCs/>
                <w:sz w:val="24"/>
                <w:szCs w:val="24"/>
              </w:rPr>
            </w:pPr>
            <w:r w:rsidRPr="0067300D">
              <w:rPr>
                <w:b/>
                <w:bCs/>
                <w:sz w:val="24"/>
                <w:szCs w:val="24"/>
              </w:rPr>
              <w:t xml:space="preserve">0   </w:t>
            </w:r>
          </w:p>
        </w:tc>
      </w:tr>
      <w:tr w:rsidR="00734F29" w:rsidRPr="0067300D" w:rsidTr="003511C2">
        <w:trPr>
          <w:trHeight w:val="70"/>
          <w:jc w:val="center"/>
        </w:trPr>
        <w:tc>
          <w:tcPr>
            <w:tcW w:w="4248" w:type="dxa"/>
            <w:noWrap/>
            <w:vAlign w:val="center"/>
          </w:tcPr>
          <w:p w:rsidR="00734F29" w:rsidRPr="0067300D" w:rsidRDefault="00734F29" w:rsidP="003511C2">
            <w:pPr>
              <w:rPr>
                <w:sz w:val="24"/>
                <w:szCs w:val="24"/>
              </w:rPr>
            </w:pPr>
            <w:r w:rsidRPr="0067300D">
              <w:rPr>
                <w:sz w:val="24"/>
                <w:szCs w:val="24"/>
              </w:rPr>
              <w:t>v tom: MFSR/0EK0D</w:t>
            </w:r>
          </w:p>
        </w:tc>
        <w:tc>
          <w:tcPr>
            <w:tcW w:w="1134" w:type="dxa"/>
            <w:noWrap/>
          </w:tcPr>
          <w:p w:rsidR="00734F29" w:rsidRPr="0067300D" w:rsidRDefault="00734F29" w:rsidP="002F5486">
            <w:pPr>
              <w:jc w:val="right"/>
              <w:rPr>
                <w:sz w:val="24"/>
                <w:szCs w:val="24"/>
              </w:rPr>
            </w:pPr>
            <w:r w:rsidRPr="0067300D">
              <w:rPr>
                <w:sz w:val="24"/>
                <w:szCs w:val="24"/>
              </w:rPr>
              <w:t>1</w:t>
            </w:r>
            <w:r w:rsidR="002F5486">
              <w:rPr>
                <w:sz w:val="24"/>
                <w:szCs w:val="24"/>
              </w:rPr>
              <w:t> 559 676</w:t>
            </w:r>
          </w:p>
        </w:tc>
        <w:tc>
          <w:tcPr>
            <w:tcW w:w="1559" w:type="dxa"/>
            <w:noWrap/>
            <w:vAlign w:val="center"/>
          </w:tcPr>
          <w:p w:rsidR="00734F29" w:rsidRPr="0067300D" w:rsidRDefault="00734F29" w:rsidP="003511C2">
            <w:pPr>
              <w:jc w:val="right"/>
              <w:rPr>
                <w:sz w:val="24"/>
                <w:szCs w:val="24"/>
              </w:rPr>
            </w:pPr>
            <w:r w:rsidRPr="0067300D">
              <w:rPr>
                <w:sz w:val="24"/>
                <w:szCs w:val="24"/>
              </w:rPr>
              <w:t>0</w:t>
            </w:r>
          </w:p>
        </w:tc>
        <w:tc>
          <w:tcPr>
            <w:tcW w:w="1418" w:type="dxa"/>
            <w:noWrap/>
            <w:vAlign w:val="center"/>
          </w:tcPr>
          <w:p w:rsidR="00734F29" w:rsidRPr="0067300D" w:rsidRDefault="00734F29" w:rsidP="003511C2">
            <w:pPr>
              <w:jc w:val="right"/>
              <w:rPr>
                <w:sz w:val="24"/>
                <w:szCs w:val="24"/>
              </w:rPr>
            </w:pPr>
            <w:r w:rsidRPr="0067300D">
              <w:rPr>
                <w:sz w:val="24"/>
                <w:szCs w:val="24"/>
              </w:rPr>
              <w:t>0</w:t>
            </w:r>
          </w:p>
        </w:tc>
        <w:tc>
          <w:tcPr>
            <w:tcW w:w="1370" w:type="dxa"/>
            <w:noWrap/>
            <w:vAlign w:val="center"/>
          </w:tcPr>
          <w:p w:rsidR="00734F29" w:rsidRPr="0067300D" w:rsidRDefault="00734F29" w:rsidP="003511C2">
            <w:pPr>
              <w:jc w:val="right"/>
              <w:rPr>
                <w:sz w:val="24"/>
                <w:szCs w:val="24"/>
              </w:rPr>
            </w:pPr>
            <w:r w:rsidRPr="0067300D">
              <w:rPr>
                <w:sz w:val="24"/>
                <w:szCs w:val="24"/>
              </w:rPr>
              <w:t>0</w:t>
            </w:r>
          </w:p>
        </w:tc>
      </w:tr>
      <w:tr w:rsidR="00734F29" w:rsidRPr="0067300D" w:rsidTr="003511C2">
        <w:trPr>
          <w:trHeight w:val="70"/>
          <w:jc w:val="center"/>
        </w:trPr>
        <w:tc>
          <w:tcPr>
            <w:tcW w:w="4248" w:type="dxa"/>
            <w:noWrap/>
            <w:vAlign w:val="center"/>
          </w:tcPr>
          <w:p w:rsidR="00734F29" w:rsidRPr="0067300D" w:rsidRDefault="00734F29" w:rsidP="003511C2">
            <w:pPr>
              <w:rPr>
                <w:b/>
                <w:bCs/>
                <w:i/>
                <w:iCs/>
                <w:sz w:val="24"/>
                <w:szCs w:val="24"/>
              </w:rPr>
            </w:pPr>
            <w:r w:rsidRPr="0067300D">
              <w:rPr>
                <w:b/>
                <w:bCs/>
                <w:i/>
                <w:iCs/>
                <w:sz w:val="24"/>
                <w:szCs w:val="24"/>
              </w:rPr>
              <w:t xml:space="preserve">z toho: </w:t>
            </w:r>
          </w:p>
        </w:tc>
        <w:tc>
          <w:tcPr>
            <w:tcW w:w="1134" w:type="dxa"/>
            <w:noWrap/>
          </w:tcPr>
          <w:p w:rsidR="00734F29" w:rsidRPr="0067300D" w:rsidRDefault="00734F29" w:rsidP="003511C2">
            <w:pPr>
              <w:jc w:val="right"/>
              <w:rPr>
                <w:sz w:val="24"/>
                <w:szCs w:val="24"/>
              </w:rPr>
            </w:pPr>
            <w:r w:rsidRPr="0067300D">
              <w:rPr>
                <w:sz w:val="24"/>
                <w:szCs w:val="24"/>
              </w:rPr>
              <w:t>0</w:t>
            </w:r>
          </w:p>
        </w:tc>
        <w:tc>
          <w:tcPr>
            <w:tcW w:w="1559" w:type="dxa"/>
            <w:noWrap/>
            <w:vAlign w:val="center"/>
          </w:tcPr>
          <w:p w:rsidR="00734F29" w:rsidRPr="0067300D" w:rsidRDefault="00734F29" w:rsidP="003511C2">
            <w:pPr>
              <w:jc w:val="right"/>
              <w:rPr>
                <w:b/>
                <w:bCs/>
                <w:iCs/>
                <w:sz w:val="24"/>
                <w:szCs w:val="24"/>
              </w:rPr>
            </w:pPr>
          </w:p>
        </w:tc>
        <w:tc>
          <w:tcPr>
            <w:tcW w:w="1418" w:type="dxa"/>
            <w:noWrap/>
            <w:vAlign w:val="center"/>
          </w:tcPr>
          <w:p w:rsidR="00734F29" w:rsidRPr="0067300D" w:rsidRDefault="00734F29" w:rsidP="003511C2">
            <w:pPr>
              <w:jc w:val="right"/>
              <w:rPr>
                <w:b/>
                <w:bCs/>
                <w:iCs/>
                <w:sz w:val="24"/>
                <w:szCs w:val="24"/>
              </w:rPr>
            </w:pPr>
          </w:p>
        </w:tc>
        <w:tc>
          <w:tcPr>
            <w:tcW w:w="1370" w:type="dxa"/>
            <w:noWrap/>
            <w:vAlign w:val="center"/>
          </w:tcPr>
          <w:p w:rsidR="00734F29" w:rsidRPr="0067300D" w:rsidRDefault="00734F29" w:rsidP="003511C2">
            <w:pPr>
              <w:jc w:val="right"/>
              <w:rPr>
                <w:b/>
                <w:bCs/>
                <w:iCs/>
                <w:sz w:val="24"/>
                <w:szCs w:val="24"/>
              </w:rPr>
            </w:pPr>
          </w:p>
        </w:tc>
      </w:tr>
      <w:tr w:rsidR="00734F29" w:rsidRPr="0067300D" w:rsidTr="003511C2">
        <w:trPr>
          <w:trHeight w:val="70"/>
          <w:jc w:val="center"/>
        </w:trPr>
        <w:tc>
          <w:tcPr>
            <w:tcW w:w="4248" w:type="dxa"/>
            <w:noWrap/>
            <w:vAlign w:val="center"/>
          </w:tcPr>
          <w:p w:rsidR="00734F29" w:rsidRPr="0067300D" w:rsidRDefault="00734F29" w:rsidP="003511C2">
            <w:pPr>
              <w:rPr>
                <w:b/>
                <w:bCs/>
                <w:i/>
                <w:iCs/>
                <w:sz w:val="24"/>
                <w:szCs w:val="24"/>
              </w:rPr>
            </w:pPr>
            <w:r w:rsidRPr="0067300D">
              <w:rPr>
                <w:b/>
                <w:bCs/>
                <w:i/>
                <w:iCs/>
                <w:sz w:val="24"/>
                <w:szCs w:val="24"/>
              </w:rPr>
              <w:t>- vplyv na ŠR</w:t>
            </w:r>
          </w:p>
        </w:tc>
        <w:tc>
          <w:tcPr>
            <w:tcW w:w="1134" w:type="dxa"/>
            <w:noWrap/>
          </w:tcPr>
          <w:p w:rsidR="00734F29" w:rsidRPr="0067300D" w:rsidRDefault="002F5486" w:rsidP="003511C2">
            <w:pPr>
              <w:jc w:val="right"/>
              <w:rPr>
                <w:sz w:val="24"/>
                <w:szCs w:val="24"/>
              </w:rPr>
            </w:pPr>
            <w:r w:rsidRPr="0067300D">
              <w:rPr>
                <w:sz w:val="24"/>
                <w:szCs w:val="24"/>
              </w:rPr>
              <w:t>1</w:t>
            </w:r>
            <w:r>
              <w:rPr>
                <w:sz w:val="24"/>
                <w:szCs w:val="24"/>
              </w:rPr>
              <w:t> 559 676</w:t>
            </w:r>
          </w:p>
        </w:tc>
        <w:tc>
          <w:tcPr>
            <w:tcW w:w="1559"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418"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370" w:type="dxa"/>
            <w:noWrap/>
            <w:vAlign w:val="center"/>
          </w:tcPr>
          <w:p w:rsidR="00734F29" w:rsidRPr="0067300D" w:rsidRDefault="00734F29" w:rsidP="003511C2">
            <w:pPr>
              <w:jc w:val="right"/>
              <w:rPr>
                <w:b/>
                <w:bCs/>
                <w:iCs/>
                <w:sz w:val="24"/>
                <w:szCs w:val="24"/>
              </w:rPr>
            </w:pPr>
            <w:r w:rsidRPr="0067300D">
              <w:rPr>
                <w:b/>
                <w:bCs/>
                <w:iCs/>
                <w:sz w:val="24"/>
                <w:szCs w:val="24"/>
              </w:rPr>
              <w:t>0</w:t>
            </w:r>
          </w:p>
        </w:tc>
      </w:tr>
      <w:tr w:rsidR="00734F29" w:rsidRPr="0067300D" w:rsidTr="003511C2">
        <w:trPr>
          <w:trHeight w:val="70"/>
          <w:jc w:val="center"/>
        </w:trPr>
        <w:tc>
          <w:tcPr>
            <w:tcW w:w="4248" w:type="dxa"/>
            <w:noWrap/>
            <w:vAlign w:val="center"/>
          </w:tcPr>
          <w:p w:rsidR="00734F29" w:rsidRPr="0067300D" w:rsidRDefault="00734F29" w:rsidP="003511C2">
            <w:pPr>
              <w:ind w:left="259"/>
              <w:rPr>
                <w:b/>
                <w:bCs/>
                <w:i/>
                <w:iCs/>
                <w:sz w:val="24"/>
                <w:szCs w:val="24"/>
              </w:rPr>
            </w:pPr>
            <w:r w:rsidRPr="0067300D">
              <w:rPr>
                <w:bCs/>
                <w:i/>
                <w:iCs/>
                <w:sz w:val="24"/>
                <w:szCs w:val="24"/>
              </w:rPr>
              <w:t>Rozpočtové prostriedky</w:t>
            </w:r>
          </w:p>
        </w:tc>
        <w:tc>
          <w:tcPr>
            <w:tcW w:w="1134" w:type="dxa"/>
            <w:noWrap/>
          </w:tcPr>
          <w:p w:rsidR="00734F29" w:rsidRPr="0067300D" w:rsidRDefault="002F5486" w:rsidP="003511C2">
            <w:pPr>
              <w:jc w:val="right"/>
              <w:rPr>
                <w:sz w:val="24"/>
                <w:szCs w:val="24"/>
              </w:rPr>
            </w:pPr>
            <w:r w:rsidRPr="0067300D">
              <w:rPr>
                <w:sz w:val="24"/>
                <w:szCs w:val="24"/>
              </w:rPr>
              <w:t>1</w:t>
            </w:r>
            <w:r>
              <w:rPr>
                <w:sz w:val="24"/>
                <w:szCs w:val="24"/>
              </w:rPr>
              <w:t> 559 676</w:t>
            </w:r>
          </w:p>
        </w:tc>
        <w:tc>
          <w:tcPr>
            <w:tcW w:w="1559" w:type="dxa"/>
            <w:noWrap/>
            <w:vAlign w:val="center"/>
          </w:tcPr>
          <w:p w:rsidR="00734F29" w:rsidRPr="0067300D" w:rsidRDefault="00734F29" w:rsidP="003511C2">
            <w:pPr>
              <w:jc w:val="right"/>
              <w:rPr>
                <w:bCs/>
                <w:iCs/>
                <w:sz w:val="24"/>
                <w:szCs w:val="24"/>
              </w:rPr>
            </w:pPr>
            <w:r w:rsidRPr="0067300D">
              <w:rPr>
                <w:bCs/>
                <w:iCs/>
                <w:sz w:val="24"/>
                <w:szCs w:val="24"/>
              </w:rPr>
              <w:t>0</w:t>
            </w:r>
          </w:p>
        </w:tc>
        <w:tc>
          <w:tcPr>
            <w:tcW w:w="1418" w:type="dxa"/>
            <w:noWrap/>
            <w:vAlign w:val="center"/>
          </w:tcPr>
          <w:p w:rsidR="00734F29" w:rsidRPr="0067300D" w:rsidRDefault="00734F29" w:rsidP="003511C2">
            <w:pPr>
              <w:jc w:val="right"/>
              <w:rPr>
                <w:bCs/>
                <w:iCs/>
                <w:sz w:val="24"/>
                <w:szCs w:val="24"/>
              </w:rPr>
            </w:pPr>
            <w:r w:rsidRPr="0067300D">
              <w:rPr>
                <w:bCs/>
                <w:iCs/>
                <w:sz w:val="24"/>
                <w:szCs w:val="24"/>
              </w:rPr>
              <w:t>0</w:t>
            </w:r>
          </w:p>
        </w:tc>
        <w:tc>
          <w:tcPr>
            <w:tcW w:w="1370" w:type="dxa"/>
            <w:noWrap/>
            <w:vAlign w:val="center"/>
          </w:tcPr>
          <w:p w:rsidR="00734F29" w:rsidRPr="0067300D" w:rsidRDefault="00734F29" w:rsidP="003511C2">
            <w:pPr>
              <w:jc w:val="right"/>
              <w:rPr>
                <w:bCs/>
                <w:iCs/>
                <w:sz w:val="24"/>
                <w:szCs w:val="24"/>
              </w:rPr>
            </w:pPr>
            <w:r w:rsidRPr="0067300D">
              <w:rPr>
                <w:bCs/>
                <w:iCs/>
                <w:sz w:val="24"/>
                <w:szCs w:val="24"/>
              </w:rPr>
              <w:t>0</w:t>
            </w:r>
          </w:p>
        </w:tc>
      </w:tr>
      <w:tr w:rsidR="00734F29" w:rsidRPr="0067300D" w:rsidTr="003511C2">
        <w:trPr>
          <w:trHeight w:val="70"/>
          <w:jc w:val="center"/>
        </w:trPr>
        <w:tc>
          <w:tcPr>
            <w:tcW w:w="4248" w:type="dxa"/>
            <w:noWrap/>
            <w:vAlign w:val="center"/>
          </w:tcPr>
          <w:p w:rsidR="00734F29" w:rsidRPr="0067300D" w:rsidRDefault="00734F29" w:rsidP="003511C2">
            <w:pPr>
              <w:rPr>
                <w:bCs/>
                <w:i/>
                <w:iCs/>
                <w:sz w:val="24"/>
                <w:szCs w:val="24"/>
              </w:rPr>
            </w:pPr>
            <w:r w:rsidRPr="0067300D">
              <w:rPr>
                <w:bCs/>
                <w:i/>
                <w:iCs/>
                <w:sz w:val="24"/>
                <w:szCs w:val="24"/>
              </w:rPr>
              <w:t xml:space="preserve">    EÚ zdroje</w:t>
            </w:r>
          </w:p>
        </w:tc>
        <w:tc>
          <w:tcPr>
            <w:tcW w:w="1134" w:type="dxa"/>
            <w:noWrap/>
            <w:vAlign w:val="center"/>
          </w:tcPr>
          <w:p w:rsidR="00734F29" w:rsidRPr="0067300D" w:rsidRDefault="00734F29" w:rsidP="003511C2">
            <w:pPr>
              <w:jc w:val="right"/>
              <w:rPr>
                <w:sz w:val="24"/>
                <w:szCs w:val="24"/>
              </w:rPr>
            </w:pPr>
            <w:r w:rsidRPr="0067300D">
              <w:rPr>
                <w:sz w:val="24"/>
                <w:szCs w:val="24"/>
              </w:rPr>
              <w:t>0</w:t>
            </w:r>
          </w:p>
        </w:tc>
        <w:tc>
          <w:tcPr>
            <w:tcW w:w="1559" w:type="dxa"/>
            <w:noWrap/>
            <w:vAlign w:val="center"/>
          </w:tcPr>
          <w:p w:rsidR="00734F29" w:rsidRPr="0067300D" w:rsidRDefault="00734F29" w:rsidP="003511C2">
            <w:pPr>
              <w:jc w:val="right"/>
              <w:rPr>
                <w:sz w:val="24"/>
                <w:szCs w:val="24"/>
              </w:rPr>
            </w:pPr>
            <w:r w:rsidRPr="0067300D">
              <w:rPr>
                <w:sz w:val="24"/>
                <w:szCs w:val="24"/>
              </w:rPr>
              <w:t>0</w:t>
            </w:r>
          </w:p>
        </w:tc>
        <w:tc>
          <w:tcPr>
            <w:tcW w:w="1418" w:type="dxa"/>
            <w:noWrap/>
            <w:vAlign w:val="center"/>
          </w:tcPr>
          <w:p w:rsidR="00734F29" w:rsidRPr="0067300D" w:rsidRDefault="00734F29" w:rsidP="003511C2">
            <w:pPr>
              <w:jc w:val="right"/>
              <w:rPr>
                <w:sz w:val="24"/>
                <w:szCs w:val="24"/>
              </w:rPr>
            </w:pPr>
            <w:r w:rsidRPr="0067300D">
              <w:rPr>
                <w:sz w:val="24"/>
                <w:szCs w:val="24"/>
              </w:rPr>
              <w:t>0</w:t>
            </w:r>
          </w:p>
        </w:tc>
        <w:tc>
          <w:tcPr>
            <w:tcW w:w="1370" w:type="dxa"/>
            <w:noWrap/>
            <w:vAlign w:val="center"/>
          </w:tcPr>
          <w:p w:rsidR="00734F29" w:rsidRPr="0067300D" w:rsidRDefault="00734F29" w:rsidP="003511C2">
            <w:pPr>
              <w:jc w:val="right"/>
              <w:rPr>
                <w:sz w:val="24"/>
                <w:szCs w:val="24"/>
              </w:rPr>
            </w:pPr>
            <w:r w:rsidRPr="0067300D">
              <w:rPr>
                <w:sz w:val="24"/>
                <w:szCs w:val="24"/>
              </w:rPr>
              <w:t>0</w:t>
            </w:r>
          </w:p>
        </w:tc>
      </w:tr>
      <w:tr w:rsidR="00734F29" w:rsidRPr="0067300D" w:rsidTr="003511C2">
        <w:trPr>
          <w:trHeight w:val="70"/>
          <w:jc w:val="center"/>
        </w:trPr>
        <w:tc>
          <w:tcPr>
            <w:tcW w:w="4248" w:type="dxa"/>
            <w:noWrap/>
            <w:vAlign w:val="center"/>
          </w:tcPr>
          <w:p w:rsidR="00734F29" w:rsidRPr="0067300D" w:rsidRDefault="00734F29" w:rsidP="003511C2">
            <w:pPr>
              <w:rPr>
                <w:bCs/>
                <w:i/>
                <w:iCs/>
                <w:sz w:val="24"/>
                <w:szCs w:val="24"/>
              </w:rPr>
            </w:pPr>
            <w:r w:rsidRPr="0067300D">
              <w:rPr>
                <w:bCs/>
                <w:i/>
                <w:iCs/>
                <w:sz w:val="24"/>
                <w:szCs w:val="24"/>
              </w:rPr>
              <w:t xml:space="preserve">    spolufinancovanie</w:t>
            </w:r>
          </w:p>
        </w:tc>
        <w:tc>
          <w:tcPr>
            <w:tcW w:w="1134" w:type="dxa"/>
            <w:noWrap/>
            <w:vAlign w:val="center"/>
          </w:tcPr>
          <w:p w:rsidR="00734F29" w:rsidRPr="0067300D" w:rsidRDefault="00734F29" w:rsidP="003511C2">
            <w:pPr>
              <w:jc w:val="right"/>
              <w:rPr>
                <w:sz w:val="24"/>
                <w:szCs w:val="24"/>
              </w:rPr>
            </w:pPr>
            <w:r w:rsidRPr="0067300D">
              <w:rPr>
                <w:sz w:val="24"/>
                <w:szCs w:val="24"/>
              </w:rPr>
              <w:t>0</w:t>
            </w:r>
          </w:p>
        </w:tc>
        <w:tc>
          <w:tcPr>
            <w:tcW w:w="1559" w:type="dxa"/>
            <w:noWrap/>
            <w:vAlign w:val="center"/>
          </w:tcPr>
          <w:p w:rsidR="00734F29" w:rsidRPr="0067300D" w:rsidRDefault="00734F29" w:rsidP="003511C2">
            <w:pPr>
              <w:jc w:val="right"/>
              <w:rPr>
                <w:sz w:val="24"/>
                <w:szCs w:val="24"/>
              </w:rPr>
            </w:pPr>
            <w:r w:rsidRPr="0067300D">
              <w:rPr>
                <w:sz w:val="24"/>
                <w:szCs w:val="24"/>
              </w:rPr>
              <w:t>0</w:t>
            </w:r>
          </w:p>
        </w:tc>
        <w:tc>
          <w:tcPr>
            <w:tcW w:w="1418" w:type="dxa"/>
            <w:noWrap/>
            <w:vAlign w:val="center"/>
          </w:tcPr>
          <w:p w:rsidR="00734F29" w:rsidRPr="0067300D" w:rsidRDefault="00734F29" w:rsidP="003511C2">
            <w:pPr>
              <w:jc w:val="right"/>
              <w:rPr>
                <w:sz w:val="24"/>
                <w:szCs w:val="24"/>
              </w:rPr>
            </w:pPr>
            <w:r w:rsidRPr="0067300D">
              <w:rPr>
                <w:sz w:val="24"/>
                <w:szCs w:val="24"/>
              </w:rPr>
              <w:t>0</w:t>
            </w:r>
          </w:p>
        </w:tc>
        <w:tc>
          <w:tcPr>
            <w:tcW w:w="1370" w:type="dxa"/>
            <w:noWrap/>
            <w:vAlign w:val="center"/>
          </w:tcPr>
          <w:p w:rsidR="00734F29" w:rsidRPr="0067300D" w:rsidRDefault="00734F29" w:rsidP="003511C2">
            <w:pPr>
              <w:jc w:val="right"/>
              <w:rPr>
                <w:sz w:val="24"/>
                <w:szCs w:val="24"/>
              </w:rPr>
            </w:pPr>
            <w:r w:rsidRPr="0067300D">
              <w:rPr>
                <w:sz w:val="24"/>
                <w:szCs w:val="24"/>
              </w:rPr>
              <w:t>0</w:t>
            </w:r>
          </w:p>
        </w:tc>
      </w:tr>
      <w:tr w:rsidR="00734F29" w:rsidRPr="0067300D" w:rsidTr="003511C2">
        <w:trPr>
          <w:trHeight w:val="125"/>
          <w:jc w:val="center"/>
        </w:trPr>
        <w:tc>
          <w:tcPr>
            <w:tcW w:w="4248" w:type="dxa"/>
            <w:noWrap/>
            <w:vAlign w:val="center"/>
          </w:tcPr>
          <w:p w:rsidR="00734F29" w:rsidRPr="0067300D" w:rsidRDefault="00734F29" w:rsidP="003511C2">
            <w:pPr>
              <w:rPr>
                <w:b/>
                <w:bCs/>
                <w:i/>
                <w:iCs/>
                <w:sz w:val="24"/>
                <w:szCs w:val="24"/>
              </w:rPr>
            </w:pPr>
            <w:r w:rsidRPr="0067300D">
              <w:rPr>
                <w:b/>
                <w:bCs/>
                <w:i/>
                <w:iCs/>
                <w:sz w:val="24"/>
                <w:szCs w:val="24"/>
              </w:rPr>
              <w:t>- vplyv na obce</w:t>
            </w:r>
          </w:p>
        </w:tc>
        <w:tc>
          <w:tcPr>
            <w:tcW w:w="1134"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559"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418"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370" w:type="dxa"/>
            <w:noWrap/>
            <w:vAlign w:val="center"/>
          </w:tcPr>
          <w:p w:rsidR="00734F29" w:rsidRPr="0067300D" w:rsidRDefault="00734F29" w:rsidP="003511C2">
            <w:pPr>
              <w:jc w:val="right"/>
              <w:rPr>
                <w:b/>
                <w:bCs/>
                <w:iCs/>
                <w:sz w:val="24"/>
                <w:szCs w:val="24"/>
              </w:rPr>
            </w:pPr>
            <w:r w:rsidRPr="0067300D">
              <w:rPr>
                <w:b/>
                <w:bCs/>
                <w:iCs/>
                <w:sz w:val="24"/>
                <w:szCs w:val="24"/>
              </w:rPr>
              <w:t>0</w:t>
            </w:r>
          </w:p>
        </w:tc>
      </w:tr>
      <w:tr w:rsidR="00734F29" w:rsidRPr="0067300D" w:rsidTr="003511C2">
        <w:trPr>
          <w:trHeight w:val="125"/>
          <w:jc w:val="center"/>
        </w:trPr>
        <w:tc>
          <w:tcPr>
            <w:tcW w:w="4248" w:type="dxa"/>
            <w:noWrap/>
            <w:vAlign w:val="center"/>
          </w:tcPr>
          <w:p w:rsidR="00734F29" w:rsidRPr="0067300D" w:rsidRDefault="00734F29" w:rsidP="003511C2">
            <w:pPr>
              <w:rPr>
                <w:b/>
                <w:bCs/>
                <w:i/>
                <w:iCs/>
                <w:sz w:val="24"/>
                <w:szCs w:val="24"/>
              </w:rPr>
            </w:pPr>
            <w:r w:rsidRPr="0067300D">
              <w:rPr>
                <w:b/>
                <w:bCs/>
                <w:i/>
                <w:iCs/>
                <w:sz w:val="24"/>
                <w:szCs w:val="24"/>
              </w:rPr>
              <w:t>- vplyv na vyššie územné celky</w:t>
            </w:r>
          </w:p>
        </w:tc>
        <w:tc>
          <w:tcPr>
            <w:tcW w:w="1134"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559"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418"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370" w:type="dxa"/>
            <w:noWrap/>
            <w:vAlign w:val="center"/>
          </w:tcPr>
          <w:p w:rsidR="00734F29" w:rsidRPr="0067300D" w:rsidRDefault="00734F29" w:rsidP="003511C2">
            <w:pPr>
              <w:jc w:val="right"/>
              <w:rPr>
                <w:b/>
                <w:bCs/>
                <w:iCs/>
                <w:sz w:val="24"/>
                <w:szCs w:val="24"/>
              </w:rPr>
            </w:pPr>
            <w:r w:rsidRPr="0067300D">
              <w:rPr>
                <w:b/>
                <w:bCs/>
                <w:iCs/>
                <w:sz w:val="24"/>
                <w:szCs w:val="24"/>
              </w:rPr>
              <w:t>0</w:t>
            </w:r>
          </w:p>
        </w:tc>
      </w:tr>
      <w:tr w:rsidR="00734F29" w:rsidRPr="0067300D" w:rsidTr="003511C2">
        <w:trPr>
          <w:trHeight w:val="70"/>
          <w:jc w:val="center"/>
        </w:trPr>
        <w:tc>
          <w:tcPr>
            <w:tcW w:w="4248" w:type="dxa"/>
            <w:noWrap/>
            <w:vAlign w:val="center"/>
          </w:tcPr>
          <w:p w:rsidR="00734F29" w:rsidRPr="0067300D" w:rsidRDefault="00734F29" w:rsidP="003511C2">
            <w:pPr>
              <w:rPr>
                <w:b/>
                <w:bCs/>
                <w:sz w:val="24"/>
                <w:szCs w:val="24"/>
              </w:rPr>
            </w:pPr>
            <w:r w:rsidRPr="0067300D">
              <w:rPr>
                <w:b/>
                <w:bCs/>
                <w:i/>
                <w:iCs/>
                <w:sz w:val="24"/>
                <w:szCs w:val="24"/>
              </w:rPr>
              <w:t>- vplyv na ostatné subjekty verejnej správy</w:t>
            </w:r>
          </w:p>
        </w:tc>
        <w:tc>
          <w:tcPr>
            <w:tcW w:w="1134"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559"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418"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370" w:type="dxa"/>
            <w:noWrap/>
            <w:vAlign w:val="center"/>
          </w:tcPr>
          <w:p w:rsidR="00734F29" w:rsidRPr="0067300D" w:rsidRDefault="00734F29" w:rsidP="003511C2">
            <w:pPr>
              <w:jc w:val="right"/>
              <w:rPr>
                <w:b/>
                <w:bCs/>
                <w:iCs/>
                <w:sz w:val="24"/>
                <w:szCs w:val="24"/>
              </w:rPr>
            </w:pPr>
            <w:r w:rsidRPr="0067300D">
              <w:rPr>
                <w:b/>
                <w:bCs/>
                <w:iCs/>
                <w:sz w:val="24"/>
                <w:szCs w:val="24"/>
              </w:rPr>
              <w:t>0</w:t>
            </w:r>
          </w:p>
        </w:tc>
      </w:tr>
      <w:tr w:rsidR="00734F29" w:rsidRPr="0067300D" w:rsidTr="003511C2">
        <w:trPr>
          <w:trHeight w:val="70"/>
          <w:jc w:val="center"/>
        </w:trPr>
        <w:tc>
          <w:tcPr>
            <w:tcW w:w="4248" w:type="dxa"/>
            <w:shd w:val="clear" w:color="auto" w:fill="BFBFBF" w:themeFill="background1" w:themeFillShade="BF"/>
            <w:noWrap/>
            <w:vAlign w:val="center"/>
          </w:tcPr>
          <w:p w:rsidR="00734F29" w:rsidRPr="0067300D" w:rsidRDefault="00734F29" w:rsidP="003511C2">
            <w:pPr>
              <w:rPr>
                <w:b/>
                <w:bCs/>
                <w:sz w:val="24"/>
                <w:szCs w:val="24"/>
              </w:rPr>
            </w:pPr>
            <w:r w:rsidRPr="0067300D">
              <w:rPr>
                <w:b/>
                <w:bCs/>
                <w:sz w:val="24"/>
                <w:szCs w:val="24"/>
              </w:rPr>
              <w:t xml:space="preserve">Vplyv na počet zamestnancov </w:t>
            </w:r>
          </w:p>
        </w:tc>
        <w:tc>
          <w:tcPr>
            <w:tcW w:w="1134" w:type="dxa"/>
            <w:shd w:val="clear" w:color="auto" w:fill="BFBFBF" w:themeFill="background1" w:themeFillShade="BF"/>
            <w:noWrap/>
            <w:vAlign w:val="center"/>
          </w:tcPr>
          <w:p w:rsidR="00734F29" w:rsidRPr="0067300D" w:rsidRDefault="00734F29" w:rsidP="003511C2">
            <w:pPr>
              <w:jc w:val="right"/>
              <w:rPr>
                <w:b/>
                <w:bCs/>
                <w:sz w:val="24"/>
                <w:szCs w:val="24"/>
              </w:rPr>
            </w:pPr>
            <w:r w:rsidRPr="0067300D">
              <w:rPr>
                <w:b/>
                <w:bCs/>
                <w:sz w:val="24"/>
                <w:szCs w:val="24"/>
              </w:rPr>
              <w:t>0</w:t>
            </w:r>
          </w:p>
        </w:tc>
        <w:tc>
          <w:tcPr>
            <w:tcW w:w="1559" w:type="dxa"/>
            <w:shd w:val="clear" w:color="auto" w:fill="BFBFBF" w:themeFill="background1" w:themeFillShade="BF"/>
            <w:noWrap/>
            <w:vAlign w:val="center"/>
          </w:tcPr>
          <w:p w:rsidR="00734F29" w:rsidRPr="0067300D" w:rsidRDefault="00734F29" w:rsidP="003511C2">
            <w:pPr>
              <w:jc w:val="right"/>
              <w:rPr>
                <w:b/>
                <w:bCs/>
                <w:sz w:val="24"/>
                <w:szCs w:val="24"/>
              </w:rPr>
            </w:pPr>
            <w:r w:rsidRPr="0067300D">
              <w:rPr>
                <w:b/>
                <w:bCs/>
                <w:sz w:val="24"/>
                <w:szCs w:val="24"/>
              </w:rPr>
              <w:t>0</w:t>
            </w:r>
          </w:p>
        </w:tc>
        <w:tc>
          <w:tcPr>
            <w:tcW w:w="1418" w:type="dxa"/>
            <w:shd w:val="clear" w:color="auto" w:fill="BFBFBF" w:themeFill="background1" w:themeFillShade="BF"/>
            <w:noWrap/>
            <w:vAlign w:val="center"/>
          </w:tcPr>
          <w:p w:rsidR="00734F29" w:rsidRPr="0067300D" w:rsidRDefault="00734F29" w:rsidP="003511C2">
            <w:pPr>
              <w:jc w:val="right"/>
              <w:rPr>
                <w:b/>
                <w:bCs/>
                <w:sz w:val="24"/>
                <w:szCs w:val="24"/>
              </w:rPr>
            </w:pPr>
            <w:r w:rsidRPr="0067300D">
              <w:rPr>
                <w:b/>
                <w:bCs/>
                <w:sz w:val="24"/>
                <w:szCs w:val="24"/>
              </w:rPr>
              <w:t>0</w:t>
            </w:r>
          </w:p>
        </w:tc>
        <w:tc>
          <w:tcPr>
            <w:tcW w:w="1370" w:type="dxa"/>
            <w:shd w:val="clear" w:color="auto" w:fill="BFBFBF" w:themeFill="background1" w:themeFillShade="BF"/>
            <w:noWrap/>
            <w:vAlign w:val="center"/>
          </w:tcPr>
          <w:p w:rsidR="00734F29" w:rsidRPr="0067300D" w:rsidRDefault="00734F29" w:rsidP="003511C2">
            <w:pPr>
              <w:jc w:val="right"/>
              <w:rPr>
                <w:b/>
                <w:bCs/>
                <w:sz w:val="24"/>
                <w:szCs w:val="24"/>
              </w:rPr>
            </w:pPr>
            <w:r w:rsidRPr="0067300D">
              <w:rPr>
                <w:b/>
                <w:bCs/>
                <w:sz w:val="24"/>
                <w:szCs w:val="24"/>
              </w:rPr>
              <w:t>0</w:t>
            </w:r>
          </w:p>
        </w:tc>
      </w:tr>
      <w:tr w:rsidR="00734F29" w:rsidRPr="0067300D" w:rsidTr="003511C2">
        <w:trPr>
          <w:trHeight w:val="70"/>
          <w:jc w:val="center"/>
        </w:trPr>
        <w:tc>
          <w:tcPr>
            <w:tcW w:w="4248" w:type="dxa"/>
            <w:noWrap/>
            <w:vAlign w:val="center"/>
          </w:tcPr>
          <w:p w:rsidR="00734F29" w:rsidRPr="0067300D" w:rsidRDefault="00734F29" w:rsidP="003511C2">
            <w:pPr>
              <w:rPr>
                <w:b/>
                <w:bCs/>
                <w:i/>
                <w:iCs/>
                <w:sz w:val="24"/>
                <w:szCs w:val="24"/>
              </w:rPr>
            </w:pPr>
            <w:r w:rsidRPr="0067300D">
              <w:rPr>
                <w:b/>
                <w:bCs/>
                <w:i/>
                <w:iCs/>
                <w:sz w:val="24"/>
                <w:szCs w:val="24"/>
              </w:rPr>
              <w:t>- vplyv na ŠR</w:t>
            </w:r>
          </w:p>
        </w:tc>
        <w:tc>
          <w:tcPr>
            <w:tcW w:w="1134"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559"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418"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370" w:type="dxa"/>
            <w:noWrap/>
            <w:vAlign w:val="center"/>
          </w:tcPr>
          <w:p w:rsidR="00734F29" w:rsidRPr="0067300D" w:rsidRDefault="00734F29" w:rsidP="003511C2">
            <w:pPr>
              <w:jc w:val="right"/>
              <w:rPr>
                <w:b/>
                <w:bCs/>
                <w:iCs/>
                <w:sz w:val="24"/>
                <w:szCs w:val="24"/>
              </w:rPr>
            </w:pPr>
            <w:r w:rsidRPr="0067300D">
              <w:rPr>
                <w:b/>
                <w:bCs/>
                <w:iCs/>
                <w:sz w:val="24"/>
                <w:szCs w:val="24"/>
              </w:rPr>
              <w:t>0</w:t>
            </w:r>
          </w:p>
        </w:tc>
      </w:tr>
      <w:tr w:rsidR="00734F29" w:rsidRPr="0067300D" w:rsidTr="003511C2">
        <w:trPr>
          <w:trHeight w:val="70"/>
          <w:jc w:val="center"/>
        </w:trPr>
        <w:tc>
          <w:tcPr>
            <w:tcW w:w="4248" w:type="dxa"/>
            <w:noWrap/>
            <w:vAlign w:val="center"/>
          </w:tcPr>
          <w:p w:rsidR="00734F29" w:rsidRPr="0067300D" w:rsidRDefault="00734F29" w:rsidP="003511C2">
            <w:pPr>
              <w:rPr>
                <w:b/>
                <w:bCs/>
                <w:i/>
                <w:iCs/>
                <w:sz w:val="24"/>
                <w:szCs w:val="24"/>
              </w:rPr>
            </w:pPr>
            <w:r w:rsidRPr="0067300D">
              <w:rPr>
                <w:b/>
                <w:bCs/>
                <w:i/>
                <w:iCs/>
                <w:sz w:val="24"/>
                <w:szCs w:val="24"/>
              </w:rPr>
              <w:t>- vplyv na obce</w:t>
            </w:r>
          </w:p>
        </w:tc>
        <w:tc>
          <w:tcPr>
            <w:tcW w:w="1134"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559"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418"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370" w:type="dxa"/>
            <w:noWrap/>
            <w:vAlign w:val="center"/>
          </w:tcPr>
          <w:p w:rsidR="00734F29" w:rsidRPr="0067300D" w:rsidRDefault="00734F29" w:rsidP="003511C2">
            <w:pPr>
              <w:jc w:val="right"/>
              <w:rPr>
                <w:b/>
                <w:bCs/>
                <w:iCs/>
                <w:sz w:val="24"/>
                <w:szCs w:val="24"/>
              </w:rPr>
            </w:pPr>
            <w:r w:rsidRPr="0067300D">
              <w:rPr>
                <w:b/>
                <w:bCs/>
                <w:iCs/>
                <w:sz w:val="24"/>
                <w:szCs w:val="24"/>
              </w:rPr>
              <w:t>0</w:t>
            </w:r>
          </w:p>
        </w:tc>
      </w:tr>
      <w:tr w:rsidR="00734F29" w:rsidRPr="0067300D" w:rsidTr="003511C2">
        <w:trPr>
          <w:trHeight w:val="70"/>
          <w:jc w:val="center"/>
        </w:trPr>
        <w:tc>
          <w:tcPr>
            <w:tcW w:w="4248" w:type="dxa"/>
            <w:noWrap/>
            <w:vAlign w:val="center"/>
          </w:tcPr>
          <w:p w:rsidR="00734F29" w:rsidRPr="0067300D" w:rsidRDefault="00734F29" w:rsidP="003511C2">
            <w:pPr>
              <w:rPr>
                <w:b/>
                <w:bCs/>
                <w:i/>
                <w:iCs/>
                <w:sz w:val="24"/>
                <w:szCs w:val="24"/>
              </w:rPr>
            </w:pPr>
            <w:r w:rsidRPr="0067300D">
              <w:rPr>
                <w:b/>
                <w:bCs/>
                <w:i/>
                <w:iCs/>
                <w:sz w:val="24"/>
                <w:szCs w:val="24"/>
              </w:rPr>
              <w:t>- vplyv na vyššie územné celky</w:t>
            </w:r>
          </w:p>
        </w:tc>
        <w:tc>
          <w:tcPr>
            <w:tcW w:w="1134"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559"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418"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370" w:type="dxa"/>
            <w:noWrap/>
            <w:vAlign w:val="center"/>
          </w:tcPr>
          <w:p w:rsidR="00734F29" w:rsidRPr="0067300D" w:rsidRDefault="00734F29" w:rsidP="003511C2">
            <w:pPr>
              <w:jc w:val="right"/>
              <w:rPr>
                <w:b/>
                <w:bCs/>
                <w:iCs/>
                <w:sz w:val="24"/>
                <w:szCs w:val="24"/>
              </w:rPr>
            </w:pPr>
            <w:r w:rsidRPr="0067300D">
              <w:rPr>
                <w:b/>
                <w:bCs/>
                <w:iCs/>
                <w:sz w:val="24"/>
                <w:szCs w:val="24"/>
              </w:rPr>
              <w:t>0</w:t>
            </w:r>
          </w:p>
        </w:tc>
      </w:tr>
      <w:tr w:rsidR="00734F29" w:rsidRPr="0067300D" w:rsidTr="003511C2">
        <w:trPr>
          <w:trHeight w:val="70"/>
          <w:jc w:val="center"/>
        </w:trPr>
        <w:tc>
          <w:tcPr>
            <w:tcW w:w="4248" w:type="dxa"/>
            <w:noWrap/>
            <w:vAlign w:val="center"/>
          </w:tcPr>
          <w:p w:rsidR="00734F29" w:rsidRPr="0067300D" w:rsidRDefault="00734F29" w:rsidP="003511C2">
            <w:pPr>
              <w:rPr>
                <w:b/>
                <w:bCs/>
                <w:i/>
                <w:iCs/>
                <w:sz w:val="24"/>
                <w:szCs w:val="24"/>
              </w:rPr>
            </w:pPr>
            <w:r w:rsidRPr="0067300D">
              <w:rPr>
                <w:b/>
                <w:bCs/>
                <w:i/>
                <w:iCs/>
                <w:sz w:val="24"/>
                <w:szCs w:val="24"/>
              </w:rPr>
              <w:t>- vplyv na ostatné subjekty verejnej správy</w:t>
            </w:r>
          </w:p>
        </w:tc>
        <w:tc>
          <w:tcPr>
            <w:tcW w:w="1134"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559"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418"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370" w:type="dxa"/>
            <w:noWrap/>
            <w:vAlign w:val="center"/>
          </w:tcPr>
          <w:p w:rsidR="00734F29" w:rsidRPr="0067300D" w:rsidRDefault="00734F29" w:rsidP="003511C2">
            <w:pPr>
              <w:jc w:val="right"/>
              <w:rPr>
                <w:b/>
                <w:bCs/>
                <w:iCs/>
                <w:sz w:val="24"/>
                <w:szCs w:val="24"/>
              </w:rPr>
            </w:pPr>
            <w:r w:rsidRPr="0067300D">
              <w:rPr>
                <w:b/>
                <w:bCs/>
                <w:iCs/>
                <w:sz w:val="24"/>
                <w:szCs w:val="24"/>
              </w:rPr>
              <w:t>0</w:t>
            </w:r>
          </w:p>
        </w:tc>
      </w:tr>
      <w:tr w:rsidR="00734F29" w:rsidRPr="0067300D" w:rsidTr="003511C2">
        <w:trPr>
          <w:trHeight w:val="70"/>
          <w:jc w:val="center"/>
        </w:trPr>
        <w:tc>
          <w:tcPr>
            <w:tcW w:w="4248" w:type="dxa"/>
            <w:shd w:val="clear" w:color="auto" w:fill="BFBFBF" w:themeFill="background1" w:themeFillShade="BF"/>
            <w:noWrap/>
            <w:vAlign w:val="center"/>
          </w:tcPr>
          <w:p w:rsidR="00734F29" w:rsidRPr="0067300D" w:rsidRDefault="00734F29" w:rsidP="003511C2">
            <w:pPr>
              <w:rPr>
                <w:b/>
                <w:sz w:val="24"/>
                <w:szCs w:val="24"/>
              </w:rPr>
            </w:pPr>
            <w:r w:rsidRPr="0067300D">
              <w:rPr>
                <w:b/>
                <w:sz w:val="24"/>
                <w:szCs w:val="24"/>
              </w:rPr>
              <w:t>Vplyv na mzdové výdavky</w:t>
            </w:r>
          </w:p>
        </w:tc>
        <w:tc>
          <w:tcPr>
            <w:tcW w:w="1134" w:type="dxa"/>
            <w:shd w:val="clear" w:color="auto" w:fill="BFBFBF" w:themeFill="background1" w:themeFillShade="BF"/>
            <w:noWrap/>
            <w:vAlign w:val="center"/>
          </w:tcPr>
          <w:p w:rsidR="00734F29" w:rsidRPr="0067300D" w:rsidRDefault="00734F29" w:rsidP="003511C2">
            <w:pPr>
              <w:jc w:val="right"/>
              <w:rPr>
                <w:b/>
                <w:sz w:val="24"/>
                <w:szCs w:val="24"/>
              </w:rPr>
            </w:pPr>
            <w:r w:rsidRPr="0067300D">
              <w:rPr>
                <w:b/>
                <w:sz w:val="24"/>
                <w:szCs w:val="24"/>
              </w:rPr>
              <w:t>0</w:t>
            </w:r>
          </w:p>
        </w:tc>
        <w:tc>
          <w:tcPr>
            <w:tcW w:w="1559" w:type="dxa"/>
            <w:shd w:val="clear" w:color="auto" w:fill="BFBFBF" w:themeFill="background1" w:themeFillShade="BF"/>
            <w:noWrap/>
            <w:vAlign w:val="center"/>
          </w:tcPr>
          <w:p w:rsidR="00734F29" w:rsidRPr="0067300D" w:rsidRDefault="00734F29" w:rsidP="003511C2">
            <w:pPr>
              <w:jc w:val="right"/>
              <w:rPr>
                <w:b/>
                <w:sz w:val="24"/>
                <w:szCs w:val="24"/>
              </w:rPr>
            </w:pPr>
            <w:r w:rsidRPr="0067300D">
              <w:rPr>
                <w:b/>
                <w:sz w:val="24"/>
                <w:szCs w:val="24"/>
              </w:rPr>
              <w:t>0</w:t>
            </w:r>
          </w:p>
        </w:tc>
        <w:tc>
          <w:tcPr>
            <w:tcW w:w="1418" w:type="dxa"/>
            <w:shd w:val="clear" w:color="auto" w:fill="BFBFBF" w:themeFill="background1" w:themeFillShade="BF"/>
            <w:noWrap/>
            <w:vAlign w:val="center"/>
          </w:tcPr>
          <w:p w:rsidR="00734F29" w:rsidRPr="0067300D" w:rsidRDefault="00734F29" w:rsidP="003511C2">
            <w:pPr>
              <w:jc w:val="right"/>
              <w:rPr>
                <w:b/>
                <w:sz w:val="24"/>
                <w:szCs w:val="24"/>
              </w:rPr>
            </w:pPr>
            <w:r w:rsidRPr="0067300D">
              <w:rPr>
                <w:b/>
                <w:sz w:val="24"/>
                <w:szCs w:val="24"/>
              </w:rPr>
              <w:t>0</w:t>
            </w:r>
          </w:p>
        </w:tc>
        <w:tc>
          <w:tcPr>
            <w:tcW w:w="1370" w:type="dxa"/>
            <w:shd w:val="clear" w:color="auto" w:fill="BFBFBF" w:themeFill="background1" w:themeFillShade="BF"/>
            <w:noWrap/>
            <w:vAlign w:val="center"/>
          </w:tcPr>
          <w:p w:rsidR="00734F29" w:rsidRPr="0067300D" w:rsidRDefault="00734F29" w:rsidP="003511C2">
            <w:pPr>
              <w:jc w:val="right"/>
              <w:rPr>
                <w:b/>
                <w:sz w:val="24"/>
                <w:szCs w:val="24"/>
              </w:rPr>
            </w:pPr>
            <w:r w:rsidRPr="0067300D">
              <w:rPr>
                <w:b/>
                <w:sz w:val="24"/>
                <w:szCs w:val="24"/>
              </w:rPr>
              <w:t>0</w:t>
            </w:r>
          </w:p>
        </w:tc>
      </w:tr>
      <w:tr w:rsidR="00734F29" w:rsidRPr="0067300D" w:rsidTr="003511C2">
        <w:trPr>
          <w:trHeight w:val="70"/>
          <w:jc w:val="center"/>
        </w:trPr>
        <w:tc>
          <w:tcPr>
            <w:tcW w:w="4248" w:type="dxa"/>
            <w:noWrap/>
            <w:vAlign w:val="center"/>
          </w:tcPr>
          <w:p w:rsidR="00734F29" w:rsidRPr="0067300D" w:rsidRDefault="00734F29" w:rsidP="003511C2">
            <w:pPr>
              <w:rPr>
                <w:b/>
                <w:bCs/>
                <w:i/>
                <w:iCs/>
                <w:sz w:val="24"/>
                <w:szCs w:val="24"/>
              </w:rPr>
            </w:pPr>
            <w:r w:rsidRPr="0067300D">
              <w:rPr>
                <w:b/>
                <w:bCs/>
                <w:i/>
                <w:iCs/>
                <w:sz w:val="24"/>
                <w:szCs w:val="24"/>
              </w:rPr>
              <w:t>- vplyv na ŠR</w:t>
            </w:r>
          </w:p>
        </w:tc>
        <w:tc>
          <w:tcPr>
            <w:tcW w:w="1134"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559"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418"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370" w:type="dxa"/>
            <w:noWrap/>
            <w:vAlign w:val="center"/>
          </w:tcPr>
          <w:p w:rsidR="00734F29" w:rsidRPr="0067300D" w:rsidRDefault="00734F29" w:rsidP="003511C2">
            <w:pPr>
              <w:jc w:val="right"/>
              <w:rPr>
                <w:b/>
                <w:bCs/>
                <w:iCs/>
                <w:sz w:val="24"/>
                <w:szCs w:val="24"/>
              </w:rPr>
            </w:pPr>
            <w:r w:rsidRPr="0067300D">
              <w:rPr>
                <w:b/>
                <w:bCs/>
                <w:iCs/>
                <w:sz w:val="24"/>
                <w:szCs w:val="24"/>
              </w:rPr>
              <w:t>0</w:t>
            </w:r>
          </w:p>
        </w:tc>
      </w:tr>
      <w:tr w:rsidR="00734F29" w:rsidRPr="0067300D" w:rsidTr="003511C2">
        <w:trPr>
          <w:trHeight w:val="70"/>
          <w:jc w:val="center"/>
        </w:trPr>
        <w:tc>
          <w:tcPr>
            <w:tcW w:w="4248" w:type="dxa"/>
            <w:noWrap/>
            <w:vAlign w:val="center"/>
          </w:tcPr>
          <w:p w:rsidR="00734F29" w:rsidRPr="0067300D" w:rsidRDefault="00734F29" w:rsidP="003511C2">
            <w:pPr>
              <w:rPr>
                <w:b/>
                <w:bCs/>
                <w:i/>
                <w:iCs/>
                <w:sz w:val="24"/>
                <w:szCs w:val="24"/>
              </w:rPr>
            </w:pPr>
            <w:r w:rsidRPr="0067300D">
              <w:rPr>
                <w:b/>
                <w:bCs/>
                <w:i/>
                <w:iCs/>
                <w:sz w:val="24"/>
                <w:szCs w:val="24"/>
              </w:rPr>
              <w:t>- vplyv na obce</w:t>
            </w:r>
          </w:p>
        </w:tc>
        <w:tc>
          <w:tcPr>
            <w:tcW w:w="1134"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559"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418"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370" w:type="dxa"/>
            <w:noWrap/>
            <w:vAlign w:val="center"/>
          </w:tcPr>
          <w:p w:rsidR="00734F29" w:rsidRPr="0067300D" w:rsidRDefault="00734F29" w:rsidP="003511C2">
            <w:pPr>
              <w:jc w:val="right"/>
              <w:rPr>
                <w:b/>
                <w:bCs/>
                <w:iCs/>
                <w:sz w:val="24"/>
                <w:szCs w:val="24"/>
              </w:rPr>
            </w:pPr>
            <w:r w:rsidRPr="0067300D">
              <w:rPr>
                <w:b/>
                <w:bCs/>
                <w:iCs/>
                <w:sz w:val="24"/>
                <w:szCs w:val="24"/>
              </w:rPr>
              <w:t>0</w:t>
            </w:r>
          </w:p>
        </w:tc>
      </w:tr>
      <w:tr w:rsidR="00734F29" w:rsidRPr="0067300D" w:rsidTr="003511C2">
        <w:trPr>
          <w:trHeight w:val="70"/>
          <w:jc w:val="center"/>
        </w:trPr>
        <w:tc>
          <w:tcPr>
            <w:tcW w:w="4248" w:type="dxa"/>
            <w:noWrap/>
            <w:vAlign w:val="center"/>
          </w:tcPr>
          <w:p w:rsidR="00734F29" w:rsidRPr="0067300D" w:rsidRDefault="00734F29" w:rsidP="003511C2">
            <w:pPr>
              <w:rPr>
                <w:b/>
                <w:bCs/>
                <w:i/>
                <w:iCs/>
                <w:sz w:val="24"/>
                <w:szCs w:val="24"/>
              </w:rPr>
            </w:pPr>
            <w:r w:rsidRPr="0067300D">
              <w:rPr>
                <w:b/>
                <w:bCs/>
                <w:i/>
                <w:iCs/>
                <w:sz w:val="24"/>
                <w:szCs w:val="24"/>
              </w:rPr>
              <w:t>- vplyv na vyššie územné celky</w:t>
            </w:r>
          </w:p>
        </w:tc>
        <w:tc>
          <w:tcPr>
            <w:tcW w:w="1134"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559"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418"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370" w:type="dxa"/>
            <w:noWrap/>
            <w:vAlign w:val="center"/>
          </w:tcPr>
          <w:p w:rsidR="00734F29" w:rsidRPr="0067300D" w:rsidRDefault="00734F29" w:rsidP="003511C2">
            <w:pPr>
              <w:jc w:val="right"/>
              <w:rPr>
                <w:b/>
                <w:bCs/>
                <w:iCs/>
                <w:sz w:val="24"/>
                <w:szCs w:val="24"/>
              </w:rPr>
            </w:pPr>
            <w:r w:rsidRPr="0067300D">
              <w:rPr>
                <w:b/>
                <w:bCs/>
                <w:iCs/>
                <w:sz w:val="24"/>
                <w:szCs w:val="24"/>
              </w:rPr>
              <w:t>0</w:t>
            </w:r>
          </w:p>
        </w:tc>
      </w:tr>
      <w:tr w:rsidR="00734F29" w:rsidRPr="0067300D" w:rsidTr="003511C2">
        <w:trPr>
          <w:trHeight w:val="70"/>
          <w:jc w:val="center"/>
        </w:trPr>
        <w:tc>
          <w:tcPr>
            <w:tcW w:w="4248" w:type="dxa"/>
            <w:noWrap/>
            <w:vAlign w:val="center"/>
          </w:tcPr>
          <w:p w:rsidR="00734F29" w:rsidRPr="0067300D" w:rsidRDefault="00734F29" w:rsidP="003511C2">
            <w:pPr>
              <w:rPr>
                <w:b/>
                <w:bCs/>
                <w:sz w:val="24"/>
                <w:szCs w:val="24"/>
              </w:rPr>
            </w:pPr>
            <w:r w:rsidRPr="0067300D">
              <w:rPr>
                <w:b/>
                <w:bCs/>
                <w:i/>
                <w:iCs/>
                <w:sz w:val="24"/>
                <w:szCs w:val="24"/>
              </w:rPr>
              <w:t>- vplyv na ostatné subjekty verejnej správy</w:t>
            </w:r>
          </w:p>
        </w:tc>
        <w:tc>
          <w:tcPr>
            <w:tcW w:w="1134"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559"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418" w:type="dxa"/>
            <w:noWrap/>
            <w:vAlign w:val="center"/>
          </w:tcPr>
          <w:p w:rsidR="00734F29" w:rsidRPr="0067300D" w:rsidRDefault="00734F29" w:rsidP="003511C2">
            <w:pPr>
              <w:jc w:val="right"/>
              <w:rPr>
                <w:b/>
                <w:bCs/>
                <w:iCs/>
                <w:sz w:val="24"/>
                <w:szCs w:val="24"/>
              </w:rPr>
            </w:pPr>
            <w:r w:rsidRPr="0067300D">
              <w:rPr>
                <w:b/>
                <w:bCs/>
                <w:iCs/>
                <w:sz w:val="24"/>
                <w:szCs w:val="24"/>
              </w:rPr>
              <w:t>0</w:t>
            </w:r>
          </w:p>
        </w:tc>
        <w:tc>
          <w:tcPr>
            <w:tcW w:w="1370" w:type="dxa"/>
            <w:noWrap/>
            <w:vAlign w:val="center"/>
          </w:tcPr>
          <w:p w:rsidR="00734F29" w:rsidRPr="0067300D" w:rsidRDefault="00734F29" w:rsidP="003511C2">
            <w:pPr>
              <w:jc w:val="right"/>
              <w:rPr>
                <w:b/>
                <w:bCs/>
                <w:iCs/>
                <w:sz w:val="24"/>
                <w:szCs w:val="24"/>
              </w:rPr>
            </w:pPr>
            <w:r w:rsidRPr="0067300D">
              <w:rPr>
                <w:b/>
                <w:bCs/>
                <w:iCs/>
                <w:sz w:val="24"/>
                <w:szCs w:val="24"/>
              </w:rPr>
              <w:t>0</w:t>
            </w:r>
          </w:p>
        </w:tc>
      </w:tr>
      <w:tr w:rsidR="00734F29" w:rsidRPr="0067300D" w:rsidTr="003511C2">
        <w:trPr>
          <w:trHeight w:val="70"/>
          <w:jc w:val="center"/>
        </w:trPr>
        <w:tc>
          <w:tcPr>
            <w:tcW w:w="4248" w:type="dxa"/>
            <w:shd w:val="clear" w:color="auto" w:fill="C0C0C0"/>
            <w:noWrap/>
            <w:vAlign w:val="center"/>
          </w:tcPr>
          <w:p w:rsidR="00734F29" w:rsidRPr="0067300D" w:rsidRDefault="00734F29" w:rsidP="003511C2">
            <w:pPr>
              <w:rPr>
                <w:b/>
                <w:bCs/>
                <w:sz w:val="24"/>
                <w:szCs w:val="24"/>
              </w:rPr>
            </w:pPr>
            <w:r w:rsidRPr="0067300D">
              <w:rPr>
                <w:b/>
                <w:bCs/>
                <w:sz w:val="24"/>
                <w:szCs w:val="24"/>
              </w:rPr>
              <w:t>Financovanie zabezpečené v rozpočte</w:t>
            </w:r>
          </w:p>
        </w:tc>
        <w:tc>
          <w:tcPr>
            <w:tcW w:w="1134" w:type="dxa"/>
            <w:shd w:val="clear" w:color="auto" w:fill="C0C0C0"/>
            <w:noWrap/>
            <w:vAlign w:val="center"/>
          </w:tcPr>
          <w:p w:rsidR="00734F29" w:rsidRPr="0067300D" w:rsidRDefault="005B5393" w:rsidP="003511C2">
            <w:pPr>
              <w:jc w:val="right"/>
              <w:rPr>
                <w:b/>
                <w:bCs/>
                <w:color w:val="000000" w:themeColor="text1"/>
                <w:sz w:val="24"/>
                <w:szCs w:val="24"/>
              </w:rPr>
            </w:pPr>
            <w:r w:rsidRPr="002F5486">
              <w:rPr>
                <w:b/>
                <w:sz w:val="24"/>
                <w:szCs w:val="24"/>
              </w:rPr>
              <w:t>1</w:t>
            </w:r>
            <w:r>
              <w:rPr>
                <w:b/>
                <w:sz w:val="24"/>
                <w:szCs w:val="24"/>
              </w:rPr>
              <w:t> </w:t>
            </w:r>
            <w:r w:rsidRPr="002F5486">
              <w:rPr>
                <w:b/>
                <w:sz w:val="24"/>
                <w:szCs w:val="24"/>
              </w:rPr>
              <w:t>559</w:t>
            </w:r>
            <w:r>
              <w:rPr>
                <w:b/>
                <w:sz w:val="24"/>
                <w:szCs w:val="24"/>
              </w:rPr>
              <w:t xml:space="preserve"> </w:t>
            </w:r>
            <w:r w:rsidRPr="002F5486">
              <w:rPr>
                <w:b/>
                <w:sz w:val="24"/>
                <w:szCs w:val="24"/>
              </w:rPr>
              <w:t>676</w:t>
            </w:r>
          </w:p>
        </w:tc>
        <w:tc>
          <w:tcPr>
            <w:tcW w:w="1559" w:type="dxa"/>
            <w:shd w:val="clear" w:color="auto" w:fill="C0C0C0"/>
            <w:noWrap/>
            <w:vAlign w:val="center"/>
          </w:tcPr>
          <w:p w:rsidR="00734F29" w:rsidRPr="0067300D" w:rsidRDefault="00734F29" w:rsidP="003511C2">
            <w:pPr>
              <w:jc w:val="right"/>
              <w:rPr>
                <w:b/>
                <w:bCs/>
                <w:sz w:val="24"/>
                <w:szCs w:val="24"/>
              </w:rPr>
            </w:pPr>
            <w:r w:rsidRPr="0067300D">
              <w:rPr>
                <w:b/>
                <w:bCs/>
                <w:sz w:val="24"/>
                <w:szCs w:val="24"/>
              </w:rPr>
              <w:t>0</w:t>
            </w:r>
          </w:p>
        </w:tc>
        <w:tc>
          <w:tcPr>
            <w:tcW w:w="1418" w:type="dxa"/>
            <w:shd w:val="clear" w:color="auto" w:fill="C0C0C0"/>
            <w:noWrap/>
            <w:vAlign w:val="center"/>
          </w:tcPr>
          <w:p w:rsidR="00734F29" w:rsidRPr="0067300D" w:rsidRDefault="00734F29" w:rsidP="003511C2">
            <w:pPr>
              <w:jc w:val="right"/>
              <w:rPr>
                <w:b/>
                <w:bCs/>
                <w:sz w:val="24"/>
                <w:szCs w:val="24"/>
              </w:rPr>
            </w:pPr>
            <w:r w:rsidRPr="0067300D">
              <w:rPr>
                <w:b/>
                <w:bCs/>
                <w:sz w:val="24"/>
                <w:szCs w:val="24"/>
              </w:rPr>
              <w:t>0</w:t>
            </w:r>
          </w:p>
        </w:tc>
        <w:tc>
          <w:tcPr>
            <w:tcW w:w="1370" w:type="dxa"/>
            <w:shd w:val="clear" w:color="auto" w:fill="C0C0C0"/>
            <w:noWrap/>
            <w:vAlign w:val="center"/>
          </w:tcPr>
          <w:p w:rsidR="00734F29" w:rsidRPr="0067300D" w:rsidRDefault="00734F29" w:rsidP="003511C2">
            <w:pPr>
              <w:jc w:val="right"/>
              <w:rPr>
                <w:b/>
                <w:bCs/>
                <w:sz w:val="24"/>
                <w:szCs w:val="24"/>
              </w:rPr>
            </w:pPr>
            <w:r w:rsidRPr="0067300D">
              <w:rPr>
                <w:b/>
                <w:bCs/>
                <w:sz w:val="24"/>
                <w:szCs w:val="24"/>
              </w:rPr>
              <w:t>0</w:t>
            </w:r>
          </w:p>
        </w:tc>
      </w:tr>
      <w:tr w:rsidR="00734F29" w:rsidRPr="0067300D" w:rsidTr="003511C2">
        <w:trPr>
          <w:trHeight w:val="70"/>
          <w:jc w:val="center"/>
        </w:trPr>
        <w:tc>
          <w:tcPr>
            <w:tcW w:w="4248" w:type="dxa"/>
            <w:noWrap/>
            <w:vAlign w:val="center"/>
          </w:tcPr>
          <w:p w:rsidR="00734F29" w:rsidRPr="0067300D" w:rsidRDefault="00734F29" w:rsidP="003511C2">
            <w:pPr>
              <w:rPr>
                <w:sz w:val="24"/>
                <w:szCs w:val="24"/>
              </w:rPr>
            </w:pPr>
            <w:r w:rsidRPr="0067300D">
              <w:rPr>
                <w:sz w:val="24"/>
                <w:szCs w:val="24"/>
              </w:rPr>
              <w:t>v tom: MF SR/0EK0D</w:t>
            </w:r>
          </w:p>
        </w:tc>
        <w:tc>
          <w:tcPr>
            <w:tcW w:w="1134" w:type="dxa"/>
            <w:noWrap/>
          </w:tcPr>
          <w:p w:rsidR="00734F29" w:rsidRPr="0067300D" w:rsidRDefault="005B5393" w:rsidP="003511C2">
            <w:pPr>
              <w:jc w:val="right"/>
              <w:rPr>
                <w:sz w:val="24"/>
                <w:szCs w:val="24"/>
              </w:rPr>
            </w:pPr>
            <w:r w:rsidRPr="0067300D">
              <w:rPr>
                <w:sz w:val="24"/>
                <w:szCs w:val="24"/>
              </w:rPr>
              <w:t>1</w:t>
            </w:r>
            <w:r>
              <w:rPr>
                <w:sz w:val="24"/>
                <w:szCs w:val="24"/>
              </w:rPr>
              <w:t> 559 676</w:t>
            </w:r>
          </w:p>
        </w:tc>
        <w:tc>
          <w:tcPr>
            <w:tcW w:w="1559" w:type="dxa"/>
            <w:noWrap/>
            <w:vAlign w:val="center"/>
          </w:tcPr>
          <w:p w:rsidR="00734F29" w:rsidRPr="0067300D" w:rsidRDefault="00734F29" w:rsidP="003511C2">
            <w:pPr>
              <w:jc w:val="right"/>
              <w:rPr>
                <w:sz w:val="24"/>
                <w:szCs w:val="24"/>
              </w:rPr>
            </w:pPr>
            <w:r w:rsidRPr="0067300D">
              <w:rPr>
                <w:sz w:val="24"/>
                <w:szCs w:val="24"/>
              </w:rPr>
              <w:t>0</w:t>
            </w:r>
          </w:p>
        </w:tc>
        <w:tc>
          <w:tcPr>
            <w:tcW w:w="1418" w:type="dxa"/>
            <w:noWrap/>
            <w:vAlign w:val="center"/>
          </w:tcPr>
          <w:p w:rsidR="00734F29" w:rsidRPr="0067300D" w:rsidRDefault="00734F29" w:rsidP="003511C2">
            <w:pPr>
              <w:jc w:val="right"/>
              <w:rPr>
                <w:sz w:val="24"/>
                <w:szCs w:val="24"/>
              </w:rPr>
            </w:pPr>
            <w:r w:rsidRPr="0067300D">
              <w:rPr>
                <w:sz w:val="24"/>
                <w:szCs w:val="24"/>
              </w:rPr>
              <w:t>0</w:t>
            </w:r>
          </w:p>
        </w:tc>
        <w:tc>
          <w:tcPr>
            <w:tcW w:w="1370" w:type="dxa"/>
            <w:noWrap/>
            <w:vAlign w:val="center"/>
          </w:tcPr>
          <w:p w:rsidR="00734F29" w:rsidRPr="0067300D" w:rsidRDefault="00734F29" w:rsidP="003511C2">
            <w:pPr>
              <w:jc w:val="right"/>
              <w:rPr>
                <w:sz w:val="24"/>
                <w:szCs w:val="24"/>
              </w:rPr>
            </w:pPr>
            <w:r w:rsidRPr="0067300D">
              <w:rPr>
                <w:sz w:val="24"/>
                <w:szCs w:val="24"/>
              </w:rPr>
              <w:t>0</w:t>
            </w:r>
          </w:p>
        </w:tc>
      </w:tr>
      <w:tr w:rsidR="00734F29" w:rsidRPr="0067300D" w:rsidTr="003511C2">
        <w:trPr>
          <w:trHeight w:val="70"/>
          <w:jc w:val="center"/>
        </w:trPr>
        <w:tc>
          <w:tcPr>
            <w:tcW w:w="4248" w:type="dxa"/>
            <w:shd w:val="clear" w:color="auto" w:fill="BFBFBF" w:themeFill="background1" w:themeFillShade="BF"/>
            <w:noWrap/>
            <w:vAlign w:val="center"/>
          </w:tcPr>
          <w:p w:rsidR="00734F29" w:rsidRPr="0067300D" w:rsidRDefault="00734F29" w:rsidP="003511C2">
            <w:pPr>
              <w:rPr>
                <w:b/>
                <w:sz w:val="24"/>
                <w:szCs w:val="24"/>
              </w:rPr>
            </w:pPr>
            <w:r w:rsidRPr="0067300D">
              <w:rPr>
                <w:b/>
                <w:sz w:val="24"/>
                <w:szCs w:val="24"/>
              </w:rPr>
              <w:t>Iné ako rozpočtové zdroje</w:t>
            </w:r>
          </w:p>
        </w:tc>
        <w:tc>
          <w:tcPr>
            <w:tcW w:w="1134" w:type="dxa"/>
            <w:shd w:val="clear" w:color="auto" w:fill="BFBFBF" w:themeFill="background1" w:themeFillShade="BF"/>
            <w:noWrap/>
            <w:vAlign w:val="center"/>
          </w:tcPr>
          <w:p w:rsidR="00734F29" w:rsidRPr="0067300D" w:rsidRDefault="00734F29" w:rsidP="003511C2">
            <w:pPr>
              <w:jc w:val="right"/>
              <w:rPr>
                <w:b/>
                <w:bCs/>
                <w:sz w:val="24"/>
                <w:szCs w:val="24"/>
              </w:rPr>
            </w:pPr>
            <w:r w:rsidRPr="0067300D">
              <w:rPr>
                <w:b/>
                <w:bCs/>
                <w:sz w:val="24"/>
                <w:szCs w:val="24"/>
              </w:rPr>
              <w:t>0</w:t>
            </w:r>
          </w:p>
        </w:tc>
        <w:tc>
          <w:tcPr>
            <w:tcW w:w="1559" w:type="dxa"/>
            <w:shd w:val="clear" w:color="auto" w:fill="BFBFBF" w:themeFill="background1" w:themeFillShade="BF"/>
            <w:noWrap/>
            <w:vAlign w:val="center"/>
          </w:tcPr>
          <w:p w:rsidR="00734F29" w:rsidRPr="0067300D" w:rsidRDefault="00734F29" w:rsidP="003511C2">
            <w:pPr>
              <w:jc w:val="right"/>
              <w:rPr>
                <w:b/>
                <w:bCs/>
                <w:sz w:val="24"/>
                <w:szCs w:val="24"/>
              </w:rPr>
            </w:pPr>
            <w:r w:rsidRPr="0067300D">
              <w:rPr>
                <w:b/>
                <w:bCs/>
                <w:sz w:val="24"/>
                <w:szCs w:val="24"/>
              </w:rPr>
              <w:t>0</w:t>
            </w:r>
          </w:p>
        </w:tc>
        <w:tc>
          <w:tcPr>
            <w:tcW w:w="1418" w:type="dxa"/>
            <w:shd w:val="clear" w:color="auto" w:fill="BFBFBF" w:themeFill="background1" w:themeFillShade="BF"/>
            <w:noWrap/>
            <w:vAlign w:val="center"/>
          </w:tcPr>
          <w:p w:rsidR="00734F29" w:rsidRPr="0067300D" w:rsidRDefault="00734F29" w:rsidP="003511C2">
            <w:pPr>
              <w:jc w:val="right"/>
              <w:rPr>
                <w:b/>
                <w:bCs/>
                <w:sz w:val="24"/>
                <w:szCs w:val="24"/>
              </w:rPr>
            </w:pPr>
            <w:r w:rsidRPr="0067300D">
              <w:rPr>
                <w:b/>
                <w:bCs/>
                <w:sz w:val="24"/>
                <w:szCs w:val="24"/>
              </w:rPr>
              <w:t>0</w:t>
            </w:r>
          </w:p>
        </w:tc>
        <w:tc>
          <w:tcPr>
            <w:tcW w:w="1370" w:type="dxa"/>
            <w:shd w:val="clear" w:color="auto" w:fill="BFBFBF" w:themeFill="background1" w:themeFillShade="BF"/>
            <w:noWrap/>
            <w:vAlign w:val="center"/>
          </w:tcPr>
          <w:p w:rsidR="00734F29" w:rsidRPr="0067300D" w:rsidRDefault="00734F29" w:rsidP="003511C2">
            <w:pPr>
              <w:jc w:val="right"/>
              <w:rPr>
                <w:b/>
                <w:bCs/>
                <w:sz w:val="24"/>
                <w:szCs w:val="24"/>
              </w:rPr>
            </w:pPr>
            <w:r w:rsidRPr="0067300D">
              <w:rPr>
                <w:b/>
                <w:bCs/>
                <w:sz w:val="24"/>
                <w:szCs w:val="24"/>
              </w:rPr>
              <w:t>0</w:t>
            </w:r>
          </w:p>
        </w:tc>
      </w:tr>
      <w:tr w:rsidR="00734F29" w:rsidRPr="0067300D" w:rsidTr="003511C2">
        <w:trPr>
          <w:trHeight w:val="70"/>
          <w:jc w:val="center"/>
        </w:trPr>
        <w:tc>
          <w:tcPr>
            <w:tcW w:w="4248" w:type="dxa"/>
            <w:shd w:val="clear" w:color="auto" w:fill="A6A6A6" w:themeFill="background1" w:themeFillShade="A6"/>
            <w:noWrap/>
            <w:vAlign w:val="center"/>
          </w:tcPr>
          <w:p w:rsidR="00734F29" w:rsidRPr="0067300D" w:rsidRDefault="00734F29" w:rsidP="003511C2">
            <w:pPr>
              <w:rPr>
                <w:b/>
                <w:bCs/>
                <w:sz w:val="24"/>
                <w:szCs w:val="24"/>
              </w:rPr>
            </w:pPr>
            <w:r w:rsidRPr="0067300D">
              <w:rPr>
                <w:b/>
                <w:bCs/>
                <w:sz w:val="24"/>
                <w:szCs w:val="24"/>
              </w:rPr>
              <w:t>Rozpočtovo nekrytý vplyv / úspora</w:t>
            </w:r>
          </w:p>
        </w:tc>
        <w:tc>
          <w:tcPr>
            <w:tcW w:w="1134" w:type="dxa"/>
            <w:shd w:val="clear" w:color="auto" w:fill="A6A6A6" w:themeFill="background1" w:themeFillShade="A6"/>
            <w:noWrap/>
            <w:vAlign w:val="center"/>
          </w:tcPr>
          <w:p w:rsidR="00734F29" w:rsidRPr="0067300D" w:rsidRDefault="005B5393" w:rsidP="003511C2">
            <w:pPr>
              <w:jc w:val="right"/>
              <w:rPr>
                <w:b/>
                <w:bCs/>
                <w:sz w:val="24"/>
                <w:szCs w:val="24"/>
              </w:rPr>
            </w:pPr>
            <w:r w:rsidRPr="0067300D">
              <w:rPr>
                <w:b/>
                <w:bCs/>
                <w:sz w:val="24"/>
                <w:szCs w:val="24"/>
              </w:rPr>
              <w:t>0</w:t>
            </w:r>
          </w:p>
        </w:tc>
        <w:tc>
          <w:tcPr>
            <w:tcW w:w="1559" w:type="dxa"/>
            <w:shd w:val="clear" w:color="auto" w:fill="A6A6A6" w:themeFill="background1" w:themeFillShade="A6"/>
            <w:noWrap/>
            <w:vAlign w:val="center"/>
          </w:tcPr>
          <w:p w:rsidR="00734F29" w:rsidRPr="0067300D" w:rsidRDefault="00734F29" w:rsidP="003511C2">
            <w:pPr>
              <w:jc w:val="right"/>
              <w:rPr>
                <w:b/>
                <w:bCs/>
                <w:sz w:val="24"/>
                <w:szCs w:val="24"/>
              </w:rPr>
            </w:pPr>
            <w:r w:rsidRPr="0067300D">
              <w:rPr>
                <w:b/>
                <w:bCs/>
                <w:sz w:val="24"/>
                <w:szCs w:val="24"/>
              </w:rPr>
              <w:t>0</w:t>
            </w:r>
          </w:p>
        </w:tc>
        <w:tc>
          <w:tcPr>
            <w:tcW w:w="1418" w:type="dxa"/>
            <w:shd w:val="clear" w:color="auto" w:fill="A6A6A6" w:themeFill="background1" w:themeFillShade="A6"/>
            <w:noWrap/>
            <w:vAlign w:val="center"/>
          </w:tcPr>
          <w:p w:rsidR="00734F29" w:rsidRPr="0067300D" w:rsidRDefault="00734F29" w:rsidP="003511C2">
            <w:pPr>
              <w:jc w:val="right"/>
              <w:rPr>
                <w:b/>
                <w:bCs/>
                <w:sz w:val="24"/>
                <w:szCs w:val="24"/>
              </w:rPr>
            </w:pPr>
            <w:r w:rsidRPr="0067300D">
              <w:rPr>
                <w:b/>
                <w:bCs/>
                <w:sz w:val="24"/>
                <w:szCs w:val="24"/>
              </w:rPr>
              <w:t>0</w:t>
            </w:r>
          </w:p>
        </w:tc>
        <w:tc>
          <w:tcPr>
            <w:tcW w:w="1370" w:type="dxa"/>
            <w:shd w:val="clear" w:color="auto" w:fill="A6A6A6" w:themeFill="background1" w:themeFillShade="A6"/>
            <w:noWrap/>
            <w:vAlign w:val="center"/>
          </w:tcPr>
          <w:p w:rsidR="00734F29" w:rsidRPr="0067300D" w:rsidRDefault="00734F29" w:rsidP="003511C2">
            <w:pPr>
              <w:jc w:val="right"/>
              <w:rPr>
                <w:b/>
                <w:bCs/>
                <w:sz w:val="24"/>
                <w:szCs w:val="24"/>
              </w:rPr>
            </w:pPr>
            <w:r w:rsidRPr="0067300D">
              <w:rPr>
                <w:b/>
                <w:bCs/>
                <w:sz w:val="24"/>
                <w:szCs w:val="24"/>
              </w:rPr>
              <w:t>0</w:t>
            </w:r>
          </w:p>
        </w:tc>
      </w:tr>
      <w:bookmarkEnd w:id="1"/>
    </w:tbl>
    <w:p w:rsidR="00734F29" w:rsidRPr="0067300D" w:rsidRDefault="00734F29" w:rsidP="00734F29">
      <w:pPr>
        <w:jc w:val="both"/>
        <w:rPr>
          <w:b/>
          <w:bCs/>
          <w:sz w:val="24"/>
          <w:szCs w:val="24"/>
        </w:rPr>
      </w:pPr>
    </w:p>
    <w:p w:rsidR="00734F29" w:rsidRPr="0067300D" w:rsidRDefault="00734F29" w:rsidP="00734F29">
      <w:pPr>
        <w:jc w:val="both"/>
        <w:rPr>
          <w:b/>
          <w:bCs/>
          <w:sz w:val="24"/>
          <w:szCs w:val="24"/>
        </w:rPr>
      </w:pPr>
    </w:p>
    <w:p w:rsidR="00734F29" w:rsidRPr="0067300D" w:rsidRDefault="00734F29" w:rsidP="00734F29">
      <w:pPr>
        <w:jc w:val="both"/>
        <w:rPr>
          <w:b/>
          <w:bCs/>
          <w:sz w:val="24"/>
          <w:szCs w:val="24"/>
        </w:rPr>
      </w:pPr>
    </w:p>
    <w:p w:rsidR="00734F29" w:rsidRPr="0067300D" w:rsidRDefault="00734F29" w:rsidP="00734F29">
      <w:pPr>
        <w:jc w:val="both"/>
        <w:rPr>
          <w:b/>
          <w:bCs/>
          <w:sz w:val="24"/>
          <w:szCs w:val="24"/>
        </w:rPr>
      </w:pPr>
      <w:r w:rsidRPr="0067300D">
        <w:rPr>
          <w:b/>
          <w:bCs/>
          <w:sz w:val="24"/>
          <w:szCs w:val="24"/>
        </w:rPr>
        <w:lastRenderedPageBreak/>
        <w:t>2.1.1. Financovanie návrhu - Návrh na riešenie úbytku príjmov alebo zvýšených výdavkov podľa § 33 ods. 1 zákona č. 523/2004 Z. z. o rozpočtových pravidlách verejnej správy:</w:t>
      </w:r>
    </w:p>
    <w:p w:rsidR="00734F29" w:rsidRPr="0067300D" w:rsidRDefault="00734F29" w:rsidP="00734F29">
      <w:pPr>
        <w:jc w:val="both"/>
        <w:rPr>
          <w:sz w:val="24"/>
          <w:szCs w:val="24"/>
        </w:rPr>
      </w:pPr>
    </w:p>
    <w:p w:rsidR="00734F29" w:rsidRPr="0067300D" w:rsidRDefault="00734F29" w:rsidP="00734F29">
      <w:pPr>
        <w:pBdr>
          <w:top w:val="single" w:sz="4" w:space="1" w:color="auto"/>
          <w:left w:val="single" w:sz="4" w:space="4" w:color="auto"/>
          <w:bottom w:val="single" w:sz="4" w:space="0" w:color="auto"/>
          <w:right w:val="single" w:sz="4" w:space="4" w:color="auto"/>
        </w:pBdr>
        <w:jc w:val="both"/>
        <w:rPr>
          <w:bCs/>
          <w:color w:val="000000" w:themeColor="text1"/>
          <w:sz w:val="24"/>
          <w:szCs w:val="24"/>
        </w:rPr>
      </w:pPr>
      <w:r w:rsidRPr="0067300D">
        <w:rPr>
          <w:bCs/>
          <w:color w:val="000000" w:themeColor="text1"/>
          <w:sz w:val="24"/>
          <w:szCs w:val="24"/>
        </w:rPr>
        <w:t>Prijatými opatreniami na zamedzenie daňových únikov prichádza ku každoročnému zlepšovaniu výberu DPH a znižovaniu daňovej medzery</w:t>
      </w:r>
      <w:r w:rsidR="00A535CA">
        <w:rPr>
          <w:bCs/>
          <w:color w:val="000000" w:themeColor="text1"/>
          <w:sz w:val="24"/>
          <w:szCs w:val="24"/>
        </w:rPr>
        <w:t xml:space="preserve">. Predpokladáme, </w:t>
      </w:r>
      <w:r w:rsidRPr="0067300D">
        <w:rPr>
          <w:bCs/>
          <w:color w:val="000000" w:themeColor="text1"/>
          <w:sz w:val="24"/>
          <w:szCs w:val="24"/>
        </w:rPr>
        <w:t xml:space="preserve">že tento pozitívny trend bude pokračovať aj v nasledujúcich </w:t>
      </w:r>
      <w:r>
        <w:rPr>
          <w:bCs/>
          <w:color w:val="000000" w:themeColor="text1"/>
          <w:sz w:val="24"/>
          <w:szCs w:val="24"/>
        </w:rPr>
        <w:t xml:space="preserve">rokoch, k čomu môžu prispieť </w:t>
      </w:r>
      <w:r w:rsidR="00A535CA">
        <w:rPr>
          <w:bCs/>
          <w:color w:val="000000" w:themeColor="text1"/>
          <w:sz w:val="24"/>
          <w:szCs w:val="24"/>
        </w:rPr>
        <w:t>aj opatrenia</w:t>
      </w:r>
      <w:r w:rsidRPr="0067300D">
        <w:rPr>
          <w:bCs/>
          <w:color w:val="000000" w:themeColor="text1"/>
          <w:sz w:val="24"/>
          <w:szCs w:val="24"/>
        </w:rPr>
        <w:t xml:space="preserve"> prijaté v predkladanom návrhu zákona. Zvýšený výber DPH vykryje v plnom rozsahu </w:t>
      </w:r>
      <w:r w:rsidR="00A535CA">
        <w:rPr>
          <w:bCs/>
          <w:color w:val="000000" w:themeColor="text1"/>
          <w:sz w:val="24"/>
          <w:szCs w:val="24"/>
        </w:rPr>
        <w:t>dopady</w:t>
      </w:r>
      <w:r w:rsidRPr="0067300D">
        <w:rPr>
          <w:bCs/>
          <w:color w:val="000000" w:themeColor="text1"/>
          <w:sz w:val="24"/>
          <w:szCs w:val="24"/>
        </w:rPr>
        <w:t xml:space="preserve"> spôsobené zavedením nových opatrení.</w:t>
      </w:r>
    </w:p>
    <w:p w:rsidR="00734F29" w:rsidRPr="0067300D" w:rsidRDefault="00734F29" w:rsidP="00734F29">
      <w:pPr>
        <w:pBdr>
          <w:top w:val="single" w:sz="4" w:space="1" w:color="auto"/>
          <w:left w:val="single" w:sz="4" w:space="4" w:color="auto"/>
          <w:bottom w:val="single" w:sz="4" w:space="0" w:color="auto"/>
          <w:right w:val="single" w:sz="4" w:space="4" w:color="auto"/>
        </w:pBdr>
        <w:jc w:val="both"/>
        <w:rPr>
          <w:bCs/>
          <w:sz w:val="24"/>
          <w:szCs w:val="24"/>
        </w:rPr>
      </w:pPr>
    </w:p>
    <w:p w:rsidR="00734F29" w:rsidRPr="0067300D" w:rsidRDefault="00734F29" w:rsidP="00734F29">
      <w:pPr>
        <w:rPr>
          <w:b/>
          <w:bCs/>
          <w:sz w:val="24"/>
          <w:szCs w:val="24"/>
        </w:rPr>
      </w:pPr>
    </w:p>
    <w:p w:rsidR="00734F29" w:rsidRPr="0067300D" w:rsidRDefault="00734F29" w:rsidP="00734F29">
      <w:pPr>
        <w:rPr>
          <w:b/>
          <w:bCs/>
          <w:sz w:val="24"/>
          <w:szCs w:val="24"/>
        </w:rPr>
      </w:pPr>
      <w:r w:rsidRPr="0067300D">
        <w:rPr>
          <w:b/>
          <w:bCs/>
          <w:sz w:val="24"/>
          <w:szCs w:val="24"/>
        </w:rPr>
        <w:t>2.2. Popis a charakteristika návrhu</w:t>
      </w:r>
    </w:p>
    <w:p w:rsidR="00734F29" w:rsidRPr="0067300D" w:rsidRDefault="00734F29" w:rsidP="00734F29">
      <w:pPr>
        <w:rPr>
          <w:sz w:val="24"/>
          <w:szCs w:val="24"/>
        </w:rPr>
      </w:pPr>
    </w:p>
    <w:p w:rsidR="00734F29" w:rsidRPr="0067300D" w:rsidRDefault="00734F29" w:rsidP="00734F29">
      <w:pPr>
        <w:jc w:val="both"/>
        <w:rPr>
          <w:b/>
          <w:bCs/>
          <w:sz w:val="24"/>
          <w:szCs w:val="24"/>
        </w:rPr>
      </w:pPr>
      <w:r w:rsidRPr="0067300D">
        <w:rPr>
          <w:b/>
          <w:bCs/>
          <w:sz w:val="24"/>
          <w:szCs w:val="24"/>
        </w:rPr>
        <w:t>2.2.1. Popis návrhu:</w:t>
      </w:r>
    </w:p>
    <w:p w:rsidR="00734F29" w:rsidRPr="0067300D" w:rsidRDefault="00734F29" w:rsidP="00734F29">
      <w:pPr>
        <w:jc w:val="both"/>
        <w:rPr>
          <w:rStyle w:val="Zstupntext"/>
          <w:color w:val="000000"/>
          <w:sz w:val="24"/>
          <w:szCs w:val="24"/>
        </w:rPr>
      </w:pPr>
      <w:r w:rsidRPr="0067300D">
        <w:rPr>
          <w:rStyle w:val="Zstupntext"/>
          <w:color w:val="000000"/>
          <w:sz w:val="24"/>
          <w:szCs w:val="24"/>
        </w:rPr>
        <w:t>Novela zákona o dani z pridanej hodnoty</w:t>
      </w:r>
      <w:r w:rsidRPr="0067300D">
        <w:rPr>
          <w:sz w:val="24"/>
          <w:szCs w:val="24"/>
        </w:rPr>
        <w:t xml:space="preserve"> preberá do zákona č. 222/2004 Z. z. o dani z pridanej hodnoty v znení neskorších predpisov smernice Rady Európskej únie.</w:t>
      </w:r>
      <w:r w:rsidRPr="0067300D">
        <w:rPr>
          <w:rStyle w:val="Zstupntext"/>
          <w:color w:val="000000"/>
          <w:sz w:val="24"/>
          <w:szCs w:val="24"/>
        </w:rPr>
        <w:t xml:space="preserve"> Je zameraná na oblasti, v ktorých existujúce pravidlá dane z pridanej hodnoty spôsobujú pri ich uplatňovaní problémy v praxi.</w:t>
      </w:r>
    </w:p>
    <w:p w:rsidR="00734F29" w:rsidRPr="0067300D" w:rsidRDefault="00734F29" w:rsidP="00734F29">
      <w:pPr>
        <w:jc w:val="both"/>
        <w:rPr>
          <w:rStyle w:val="Zstupntext"/>
          <w:color w:val="000000"/>
          <w:sz w:val="24"/>
          <w:szCs w:val="24"/>
        </w:rPr>
      </w:pPr>
      <w:r w:rsidRPr="0067300D">
        <w:rPr>
          <w:rStyle w:val="Zstupntext"/>
          <w:color w:val="000000"/>
          <w:sz w:val="24"/>
          <w:szCs w:val="24"/>
        </w:rPr>
        <w:t>Navrhované úpravy:</w:t>
      </w:r>
    </w:p>
    <w:p w:rsidR="00734F29" w:rsidRPr="0003131F" w:rsidRDefault="00734F29" w:rsidP="00734F29">
      <w:pPr>
        <w:pStyle w:val="Odsekzoznamu"/>
        <w:numPr>
          <w:ilvl w:val="0"/>
          <w:numId w:val="1"/>
        </w:numPr>
        <w:spacing w:after="0" w:line="240" w:lineRule="auto"/>
        <w:jc w:val="both"/>
        <w:rPr>
          <w:rFonts w:ascii="Times New Roman" w:hAnsi="Times New Roman"/>
          <w:sz w:val="24"/>
          <w:szCs w:val="24"/>
          <w:lang w:eastAsia="sk-SK"/>
        </w:rPr>
      </w:pPr>
      <w:r w:rsidRPr="0067300D">
        <w:rPr>
          <w:rFonts w:ascii="Times New Roman" w:hAnsi="Times New Roman"/>
          <w:sz w:val="24"/>
          <w:szCs w:val="24"/>
          <w:lang w:eastAsia="sk-SK"/>
        </w:rPr>
        <w:t xml:space="preserve">transpozícia </w:t>
      </w:r>
      <w:r w:rsidRPr="0067300D">
        <w:rPr>
          <w:rFonts w:ascii="Times New Roman" w:hAnsi="Times New Roman"/>
          <w:sz w:val="24"/>
          <w:szCs w:val="24"/>
        </w:rPr>
        <w:t>smernice Rady (EÚ) 2018/1910 z</w:t>
      </w:r>
      <w:r>
        <w:rPr>
          <w:rFonts w:ascii="Times New Roman" w:hAnsi="Times New Roman"/>
          <w:sz w:val="24"/>
          <w:szCs w:val="24"/>
        </w:rPr>
        <w:t>o</w:t>
      </w:r>
      <w:r w:rsidRPr="0067300D">
        <w:rPr>
          <w:rFonts w:ascii="Times New Roman" w:hAnsi="Times New Roman"/>
          <w:sz w:val="24"/>
          <w:szCs w:val="24"/>
        </w:rPr>
        <w:t> 4. decembra 2018, ktorou sa mení smernica 2006/112/ES, pokiaľ ide o harmonizáciu a zjednodušenie určitých pravidiel v systéme dane z pridanej hodnoty pre zdaňovanie obchodu medzi členskými štátmi</w:t>
      </w:r>
      <w:r>
        <w:rPr>
          <w:rFonts w:ascii="Times New Roman" w:hAnsi="Times New Roman"/>
          <w:sz w:val="24"/>
          <w:szCs w:val="24"/>
          <w:lang w:eastAsia="sk-SK"/>
        </w:rPr>
        <w:t xml:space="preserve"> </w:t>
      </w:r>
      <w:r w:rsidRPr="0003131F">
        <w:rPr>
          <w:rFonts w:ascii="Times New Roman" w:hAnsi="Times New Roman"/>
          <w:sz w:val="24"/>
          <w:szCs w:val="24"/>
        </w:rPr>
        <w:t xml:space="preserve">(zavádzajú sa spoločné pravidlá pre cezhraničné obchodovanie s tovarom v rámci tzv. </w:t>
      </w:r>
      <w:proofErr w:type="spellStart"/>
      <w:r w:rsidRPr="0003131F">
        <w:rPr>
          <w:rFonts w:ascii="Times New Roman" w:hAnsi="Times New Roman"/>
          <w:sz w:val="24"/>
          <w:szCs w:val="24"/>
        </w:rPr>
        <w:t>call-off</w:t>
      </w:r>
      <w:proofErr w:type="spellEnd"/>
      <w:r w:rsidRPr="0003131F">
        <w:rPr>
          <w:rFonts w:ascii="Times New Roman" w:hAnsi="Times New Roman"/>
          <w:sz w:val="24"/>
          <w:szCs w:val="24"/>
        </w:rPr>
        <w:t xml:space="preserve"> </w:t>
      </w:r>
      <w:proofErr w:type="spellStart"/>
      <w:r w:rsidRPr="0003131F">
        <w:rPr>
          <w:rFonts w:ascii="Times New Roman" w:hAnsi="Times New Roman"/>
          <w:sz w:val="24"/>
          <w:szCs w:val="24"/>
        </w:rPr>
        <w:t>stock</w:t>
      </w:r>
      <w:proofErr w:type="spellEnd"/>
      <w:r w:rsidRPr="0003131F">
        <w:rPr>
          <w:rFonts w:ascii="Times New Roman" w:hAnsi="Times New Roman"/>
          <w:sz w:val="24"/>
          <w:szCs w:val="24"/>
        </w:rPr>
        <w:t xml:space="preserve"> úpravy, určuje sa miesto dodania tovaru s prepravou v  tzv. reťazových transakciách v rámci EÚ a doplňuje sa, že identifikačné číslo pre DPH nadobúdateľa tovaru, pridelené iným členským štátom ako je členský štát začatia prepravy tovaru, predstavuje hmotnoprávnu podmienku pre oslobodenie dodania tovaru do iného členského štátu),</w:t>
      </w:r>
    </w:p>
    <w:p w:rsidR="00734F29" w:rsidRPr="0067300D" w:rsidRDefault="00734F29" w:rsidP="00734F29">
      <w:pPr>
        <w:pStyle w:val="Odsekzoznamu"/>
        <w:numPr>
          <w:ilvl w:val="0"/>
          <w:numId w:val="1"/>
        </w:numPr>
        <w:spacing w:after="0" w:line="240" w:lineRule="auto"/>
        <w:jc w:val="both"/>
        <w:rPr>
          <w:rFonts w:ascii="Times New Roman" w:hAnsi="Times New Roman"/>
          <w:sz w:val="24"/>
          <w:szCs w:val="24"/>
          <w:lang w:eastAsia="sk-SK"/>
        </w:rPr>
      </w:pPr>
      <w:r w:rsidRPr="0067300D">
        <w:rPr>
          <w:rFonts w:ascii="Times New Roman" w:hAnsi="Times New Roman"/>
          <w:sz w:val="24"/>
          <w:szCs w:val="24"/>
          <w:lang w:eastAsia="sk-SK"/>
        </w:rPr>
        <w:t xml:space="preserve">transpozícia </w:t>
      </w:r>
      <w:r w:rsidRPr="0067300D">
        <w:rPr>
          <w:rFonts w:ascii="Times New Roman" w:hAnsi="Times New Roman"/>
          <w:sz w:val="24"/>
          <w:szCs w:val="24"/>
        </w:rPr>
        <w:t xml:space="preserve">smernica Rady (EÚ) 2019/475 z 18. februára 2019, ktorou sa mení smernica 2006/112/ES a smernica 2008/118/ES, pokiaľ ide o začlenenie talianskej obce </w:t>
      </w:r>
      <w:proofErr w:type="spellStart"/>
      <w:r w:rsidRPr="0067300D">
        <w:rPr>
          <w:rFonts w:ascii="Times New Roman" w:hAnsi="Times New Roman"/>
          <w:sz w:val="24"/>
          <w:szCs w:val="24"/>
        </w:rPr>
        <w:t>Campioned´Italia</w:t>
      </w:r>
      <w:proofErr w:type="spellEnd"/>
      <w:r w:rsidRPr="0067300D">
        <w:rPr>
          <w:rFonts w:ascii="Times New Roman" w:hAnsi="Times New Roman"/>
          <w:sz w:val="24"/>
          <w:szCs w:val="24"/>
        </w:rPr>
        <w:t xml:space="preserve"> a talianskych vôd jazera </w:t>
      </w:r>
      <w:proofErr w:type="spellStart"/>
      <w:r w:rsidRPr="0067300D">
        <w:rPr>
          <w:rFonts w:ascii="Times New Roman" w:hAnsi="Times New Roman"/>
          <w:sz w:val="24"/>
          <w:szCs w:val="24"/>
        </w:rPr>
        <w:t>Lugano</w:t>
      </w:r>
      <w:proofErr w:type="spellEnd"/>
      <w:r w:rsidRPr="0067300D">
        <w:rPr>
          <w:rFonts w:ascii="Times New Roman" w:hAnsi="Times New Roman"/>
          <w:sz w:val="24"/>
          <w:szCs w:val="24"/>
        </w:rPr>
        <w:t xml:space="preserve"> do colného územia Únie a do územnej pôsobnosti smernice 2008/118/ES,</w:t>
      </w:r>
    </w:p>
    <w:p w:rsidR="00734F29" w:rsidRPr="0067300D" w:rsidRDefault="00734F29" w:rsidP="00734F29">
      <w:pPr>
        <w:pStyle w:val="Odsekzoznamu"/>
        <w:numPr>
          <w:ilvl w:val="0"/>
          <w:numId w:val="1"/>
        </w:numPr>
        <w:spacing w:after="0" w:line="240" w:lineRule="auto"/>
        <w:jc w:val="both"/>
        <w:rPr>
          <w:rFonts w:ascii="Times New Roman" w:hAnsi="Times New Roman"/>
          <w:sz w:val="24"/>
          <w:szCs w:val="24"/>
          <w:lang w:eastAsia="sk-SK"/>
        </w:rPr>
      </w:pPr>
      <w:r w:rsidRPr="0067300D">
        <w:rPr>
          <w:rFonts w:ascii="Times New Roman" w:hAnsi="Times New Roman"/>
          <w:sz w:val="24"/>
          <w:szCs w:val="24"/>
        </w:rPr>
        <w:t xml:space="preserve">precizovanie a doplnenie právnej úpravy týkajúcej sa oslobodenia </w:t>
      </w:r>
      <w:r>
        <w:rPr>
          <w:rFonts w:ascii="Times New Roman" w:hAnsi="Times New Roman"/>
          <w:sz w:val="24"/>
          <w:szCs w:val="24"/>
        </w:rPr>
        <w:t xml:space="preserve">od </w:t>
      </w:r>
      <w:r w:rsidRPr="0067300D">
        <w:rPr>
          <w:rFonts w:ascii="Times New Roman" w:hAnsi="Times New Roman"/>
          <w:sz w:val="24"/>
          <w:szCs w:val="24"/>
        </w:rPr>
        <w:t>dane pri zdaniteľných obchodoch spojených s medzinárodným obchodom</w:t>
      </w:r>
      <w:r>
        <w:rPr>
          <w:rFonts w:ascii="Times New Roman" w:hAnsi="Times New Roman"/>
          <w:sz w:val="24"/>
          <w:szCs w:val="24"/>
        </w:rPr>
        <w:t>.</w:t>
      </w:r>
    </w:p>
    <w:p w:rsidR="00734F29" w:rsidRPr="0067300D" w:rsidRDefault="00734F29" w:rsidP="00734F29">
      <w:pPr>
        <w:rPr>
          <w:sz w:val="24"/>
          <w:szCs w:val="24"/>
        </w:rPr>
      </w:pPr>
    </w:p>
    <w:p w:rsidR="00734F29" w:rsidRPr="0067300D" w:rsidRDefault="00734F29" w:rsidP="00734F29">
      <w:pPr>
        <w:pStyle w:val="Odsekzoznamu"/>
        <w:spacing w:after="0" w:line="240" w:lineRule="auto"/>
        <w:rPr>
          <w:rFonts w:ascii="Times New Roman" w:hAnsi="Times New Roman"/>
          <w:sz w:val="24"/>
          <w:szCs w:val="24"/>
          <w:lang w:eastAsia="sk-SK"/>
        </w:rPr>
      </w:pPr>
    </w:p>
    <w:p w:rsidR="00734F29" w:rsidRPr="00A21C46" w:rsidRDefault="00734F29" w:rsidP="00734F29">
      <w:pPr>
        <w:rPr>
          <w:b/>
          <w:bCs/>
          <w:sz w:val="24"/>
          <w:szCs w:val="24"/>
        </w:rPr>
      </w:pPr>
      <w:r w:rsidRPr="00A21C46">
        <w:rPr>
          <w:b/>
          <w:bCs/>
          <w:sz w:val="24"/>
          <w:szCs w:val="24"/>
        </w:rPr>
        <w:t>2.2.2. Charakteristika návrhu:</w:t>
      </w:r>
    </w:p>
    <w:p w:rsidR="00734F29" w:rsidRPr="00A21C46" w:rsidRDefault="00734F29" w:rsidP="00734F29">
      <w:pPr>
        <w:rPr>
          <w:sz w:val="24"/>
          <w:szCs w:val="24"/>
        </w:rPr>
      </w:pPr>
    </w:p>
    <w:p w:rsidR="00734F29" w:rsidRPr="002F5081" w:rsidRDefault="00734F29" w:rsidP="00734F29">
      <w:pPr>
        <w:rPr>
          <w:color w:val="FF0000"/>
          <w:sz w:val="24"/>
          <w:szCs w:val="24"/>
        </w:rPr>
      </w:pPr>
      <w:r w:rsidRPr="002F5081">
        <w:rPr>
          <w:b/>
          <w:color w:val="FF0000"/>
          <w:sz w:val="24"/>
          <w:szCs w:val="24"/>
          <w:bdr w:val="single" w:sz="4" w:space="0" w:color="auto"/>
        </w:rPr>
        <w:t xml:space="preserve">     </w:t>
      </w:r>
      <w:r w:rsidRPr="002F5081">
        <w:rPr>
          <w:b/>
          <w:color w:val="FF0000"/>
          <w:sz w:val="24"/>
          <w:szCs w:val="24"/>
        </w:rPr>
        <w:t xml:space="preserve">  </w:t>
      </w:r>
      <w:r w:rsidRPr="00AD1D71">
        <w:rPr>
          <w:sz w:val="24"/>
          <w:szCs w:val="24"/>
        </w:rPr>
        <w:t>zmena sadzby</w:t>
      </w:r>
    </w:p>
    <w:p w:rsidR="00734F29" w:rsidRPr="00A21C46" w:rsidRDefault="00734F29" w:rsidP="00734F29">
      <w:pPr>
        <w:rPr>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-4445</wp:posOffset>
                </wp:positionH>
                <wp:positionV relativeFrom="paragraph">
                  <wp:posOffset>10795</wp:posOffset>
                </wp:positionV>
                <wp:extent cx="171450" cy="161925"/>
                <wp:effectExtent l="0" t="0" r="19050" b="28575"/>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145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5744B2" id="Rovná spojnica 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85pt" to="13.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" strokecolor="black [3200]" strokeweight=".5pt">
                <v:stroke joinstyle="miter"/>
                <o:lock v:ext="edit" shapetype="f"/>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1270</wp:posOffset>
                </wp:positionV>
                <wp:extent cx="180975" cy="161925"/>
                <wp:effectExtent l="0" t="0" r="28575" b="28575"/>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FDA846" id="Rovná spojnica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pt" to="14.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" strokecolor="black [3200]" strokeweight=".5pt">
                <v:stroke joinstyle="miter"/>
                <o:lock v:ext="edit" shapetype="f"/>
              </v:line>
            </w:pict>
          </mc:Fallback>
        </mc:AlternateContent>
      </w:r>
      <w:r w:rsidRPr="00A21C46">
        <w:rPr>
          <w:sz w:val="24"/>
          <w:szCs w:val="24"/>
          <w:bdr w:val="single" w:sz="4" w:space="0" w:color="auto"/>
        </w:rPr>
        <w:t xml:space="preserve">     </w:t>
      </w:r>
      <w:r w:rsidRPr="00A21C46">
        <w:rPr>
          <w:sz w:val="24"/>
          <w:szCs w:val="24"/>
        </w:rPr>
        <w:t xml:space="preserve">  zmena v nároku</w:t>
      </w:r>
    </w:p>
    <w:p w:rsidR="00734F29" w:rsidRPr="00A21C46" w:rsidRDefault="00734F29" w:rsidP="00734F29">
      <w:pPr>
        <w:rPr>
          <w:sz w:val="24"/>
          <w:szCs w:val="24"/>
        </w:rPr>
      </w:pPr>
      <w:r w:rsidRPr="00A21C46">
        <w:rPr>
          <w:sz w:val="24"/>
          <w:szCs w:val="24"/>
          <w:bdr w:val="single" w:sz="4" w:space="0" w:color="auto"/>
        </w:rPr>
        <w:t xml:space="preserve">     </w:t>
      </w:r>
      <w:r w:rsidRPr="00A21C46">
        <w:rPr>
          <w:sz w:val="24"/>
          <w:szCs w:val="24"/>
        </w:rPr>
        <w:t xml:space="preserve">  nová služba alebo nariadenie (alebo ich zrušenie)</w:t>
      </w:r>
    </w:p>
    <w:p w:rsidR="00734F29" w:rsidRPr="00A21C46" w:rsidRDefault="00734F29" w:rsidP="00734F29">
      <w:pPr>
        <w:rPr>
          <w:sz w:val="24"/>
          <w:szCs w:val="24"/>
        </w:rPr>
      </w:pPr>
      <w:r w:rsidRPr="00A21C46">
        <w:rPr>
          <w:sz w:val="24"/>
          <w:szCs w:val="24"/>
          <w:bdr w:val="single" w:sz="4" w:space="0" w:color="auto"/>
        </w:rPr>
        <w:t xml:space="preserve">     </w:t>
      </w:r>
      <w:r w:rsidRPr="00A21C46">
        <w:rPr>
          <w:sz w:val="24"/>
          <w:szCs w:val="24"/>
        </w:rPr>
        <w:t xml:space="preserve">  kombinovaný návrh</w:t>
      </w:r>
    </w:p>
    <w:p w:rsidR="00734F29" w:rsidRPr="00A21C46" w:rsidRDefault="00734F29" w:rsidP="00734F29">
      <w:pPr>
        <w:rPr>
          <w:sz w:val="24"/>
          <w:szCs w:val="24"/>
        </w:rPr>
      </w:pPr>
      <w:r w:rsidRPr="00A21C46">
        <w:rPr>
          <w:sz w:val="24"/>
          <w:szCs w:val="24"/>
          <w:bdr w:val="single" w:sz="4" w:space="0" w:color="auto"/>
        </w:rPr>
        <w:t xml:space="preserve">     </w:t>
      </w:r>
      <w:r w:rsidRPr="00A21C46">
        <w:rPr>
          <w:sz w:val="24"/>
          <w:szCs w:val="24"/>
        </w:rPr>
        <w:t xml:space="preserve">  iné </w:t>
      </w:r>
    </w:p>
    <w:p w:rsidR="00734F29" w:rsidRPr="0067300D" w:rsidRDefault="00734F29" w:rsidP="00734F29">
      <w:pPr>
        <w:rPr>
          <w:sz w:val="24"/>
          <w:szCs w:val="24"/>
        </w:rPr>
      </w:pPr>
    </w:p>
    <w:p w:rsidR="00734F29" w:rsidRPr="0067300D" w:rsidRDefault="00734F29" w:rsidP="00734F29">
      <w:pPr>
        <w:rPr>
          <w:b/>
          <w:bCs/>
          <w:sz w:val="24"/>
          <w:szCs w:val="24"/>
        </w:rPr>
      </w:pPr>
    </w:p>
    <w:p w:rsidR="00734F29" w:rsidRDefault="00734F29" w:rsidP="00734F29">
      <w:pPr>
        <w:rPr>
          <w:sz w:val="24"/>
          <w:szCs w:val="24"/>
        </w:rPr>
      </w:pPr>
      <w:r w:rsidRPr="0067300D">
        <w:rPr>
          <w:b/>
          <w:bCs/>
          <w:sz w:val="24"/>
          <w:szCs w:val="24"/>
        </w:rPr>
        <w:t>2.2.3. Predpoklady vývoja objemu aktivít:</w:t>
      </w:r>
    </w:p>
    <w:p w:rsidR="00734F29" w:rsidRDefault="00734F29" w:rsidP="00734F29">
      <w:pPr>
        <w:rPr>
          <w:sz w:val="24"/>
          <w:szCs w:val="24"/>
        </w:rPr>
      </w:pPr>
    </w:p>
    <w:p w:rsidR="00734F29" w:rsidRPr="0067300D" w:rsidRDefault="00734F29" w:rsidP="00734F29">
      <w:pPr>
        <w:jc w:val="both"/>
        <w:rPr>
          <w:sz w:val="24"/>
          <w:szCs w:val="24"/>
        </w:rPr>
      </w:pPr>
      <w:r w:rsidRPr="0067300D">
        <w:rPr>
          <w:sz w:val="24"/>
          <w:szCs w:val="24"/>
        </w:rPr>
        <w:t>Jasne popíšte, v prípade potreby použite nižšie uvedenú tabuľku. Uveďte aj odhady základov daní a/alebo poplatkov, ak sa ich táto zmena týka.</w:t>
      </w:r>
    </w:p>
    <w:p w:rsidR="00734F29" w:rsidRDefault="00734F29" w:rsidP="00734F29">
      <w:pPr>
        <w:jc w:val="right"/>
        <w:rPr>
          <w:sz w:val="24"/>
          <w:szCs w:val="24"/>
        </w:rPr>
      </w:pPr>
    </w:p>
    <w:p w:rsidR="00734F29" w:rsidRPr="0067300D" w:rsidRDefault="00734F29" w:rsidP="00734F29">
      <w:pPr>
        <w:jc w:val="right"/>
        <w:rPr>
          <w:sz w:val="24"/>
          <w:szCs w:val="24"/>
        </w:rPr>
      </w:pPr>
    </w:p>
    <w:p w:rsidR="00734F29" w:rsidRPr="0067300D" w:rsidRDefault="00734F29" w:rsidP="00734F29">
      <w:pPr>
        <w:jc w:val="right"/>
        <w:rPr>
          <w:sz w:val="24"/>
          <w:szCs w:val="24"/>
        </w:rPr>
      </w:pPr>
    </w:p>
    <w:p w:rsidR="00734F29" w:rsidRPr="0067300D" w:rsidRDefault="00734F29" w:rsidP="00734F29">
      <w:pPr>
        <w:jc w:val="right"/>
        <w:rPr>
          <w:sz w:val="24"/>
          <w:szCs w:val="24"/>
        </w:rPr>
      </w:pPr>
      <w:r w:rsidRPr="0067300D">
        <w:rPr>
          <w:sz w:val="24"/>
          <w:szCs w:val="24"/>
        </w:rPr>
        <w:lastRenderedPageBreak/>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34F29" w:rsidRPr="0067300D" w:rsidTr="003511C2">
        <w:trPr>
          <w:cantSplit/>
          <w:trHeight w:val="70"/>
        </w:trPr>
        <w:tc>
          <w:tcPr>
            <w:tcW w:w="4530" w:type="dxa"/>
            <w:vMerge w:val="restart"/>
            <w:shd w:val="clear" w:color="auto" w:fill="BFBFBF" w:themeFill="background1" w:themeFillShade="BF"/>
            <w:vAlign w:val="center"/>
          </w:tcPr>
          <w:p w:rsidR="00734F29" w:rsidRPr="0067300D" w:rsidRDefault="00734F29" w:rsidP="003511C2">
            <w:pPr>
              <w:autoSpaceDE w:val="0"/>
              <w:autoSpaceDN w:val="0"/>
              <w:adjustRightInd w:val="0"/>
              <w:jc w:val="center"/>
              <w:rPr>
                <w:b/>
                <w:bCs/>
                <w:sz w:val="24"/>
                <w:szCs w:val="24"/>
              </w:rPr>
            </w:pPr>
            <w:r w:rsidRPr="0067300D">
              <w:rPr>
                <w:b/>
                <w:bCs/>
                <w:sz w:val="24"/>
                <w:szCs w:val="24"/>
              </w:rPr>
              <w:t>Objem aktivít</w:t>
            </w:r>
          </w:p>
        </w:tc>
        <w:tc>
          <w:tcPr>
            <w:tcW w:w="1134" w:type="dxa"/>
            <w:gridSpan w:val="4"/>
            <w:shd w:val="clear" w:color="auto" w:fill="BFBFBF" w:themeFill="background1" w:themeFillShade="BF"/>
            <w:vAlign w:val="center"/>
          </w:tcPr>
          <w:p w:rsidR="00734F29" w:rsidRPr="0067300D" w:rsidRDefault="00734F29" w:rsidP="003511C2">
            <w:pPr>
              <w:autoSpaceDE w:val="0"/>
              <w:autoSpaceDN w:val="0"/>
              <w:adjustRightInd w:val="0"/>
              <w:jc w:val="center"/>
              <w:rPr>
                <w:b/>
                <w:bCs/>
                <w:sz w:val="24"/>
                <w:szCs w:val="24"/>
              </w:rPr>
            </w:pPr>
            <w:r w:rsidRPr="0067300D">
              <w:rPr>
                <w:b/>
                <w:bCs/>
                <w:sz w:val="24"/>
                <w:szCs w:val="24"/>
              </w:rPr>
              <w:t>Odhadované objemy</w:t>
            </w:r>
          </w:p>
        </w:tc>
      </w:tr>
      <w:tr w:rsidR="00734F29" w:rsidRPr="0067300D" w:rsidTr="003511C2">
        <w:trPr>
          <w:cantSplit/>
          <w:trHeight w:val="70"/>
        </w:trPr>
        <w:tc>
          <w:tcPr>
            <w:tcW w:w="4530" w:type="dxa"/>
            <w:vMerge/>
            <w:shd w:val="clear" w:color="auto" w:fill="BFBFBF" w:themeFill="background1" w:themeFillShade="BF"/>
          </w:tcPr>
          <w:p w:rsidR="00734F29" w:rsidRPr="0067300D" w:rsidRDefault="00734F29" w:rsidP="003511C2">
            <w:pPr>
              <w:autoSpaceDE w:val="0"/>
              <w:autoSpaceDN w:val="0"/>
              <w:adjustRightInd w:val="0"/>
              <w:jc w:val="center"/>
              <w:rPr>
                <w:b/>
                <w:bCs/>
                <w:sz w:val="24"/>
                <w:szCs w:val="24"/>
              </w:rPr>
            </w:pPr>
          </w:p>
        </w:tc>
        <w:tc>
          <w:tcPr>
            <w:tcW w:w="1134" w:type="dxa"/>
            <w:shd w:val="clear" w:color="auto" w:fill="BFBFBF" w:themeFill="background1" w:themeFillShade="BF"/>
            <w:vAlign w:val="center"/>
          </w:tcPr>
          <w:p w:rsidR="00734F29" w:rsidRPr="0067300D" w:rsidRDefault="00734F29" w:rsidP="003511C2">
            <w:pPr>
              <w:autoSpaceDE w:val="0"/>
              <w:autoSpaceDN w:val="0"/>
              <w:adjustRightInd w:val="0"/>
              <w:jc w:val="center"/>
              <w:rPr>
                <w:b/>
                <w:bCs/>
                <w:sz w:val="24"/>
                <w:szCs w:val="24"/>
              </w:rPr>
            </w:pPr>
            <w:r w:rsidRPr="0067300D">
              <w:rPr>
                <w:b/>
                <w:bCs/>
                <w:sz w:val="24"/>
                <w:szCs w:val="24"/>
              </w:rPr>
              <w:t>r</w:t>
            </w:r>
          </w:p>
        </w:tc>
        <w:tc>
          <w:tcPr>
            <w:tcW w:w="1134" w:type="dxa"/>
            <w:shd w:val="clear" w:color="auto" w:fill="BFBFBF" w:themeFill="background1" w:themeFillShade="BF"/>
            <w:vAlign w:val="center"/>
          </w:tcPr>
          <w:p w:rsidR="00734F29" w:rsidRPr="0067300D" w:rsidRDefault="00734F29" w:rsidP="003511C2">
            <w:pPr>
              <w:autoSpaceDE w:val="0"/>
              <w:autoSpaceDN w:val="0"/>
              <w:adjustRightInd w:val="0"/>
              <w:jc w:val="center"/>
              <w:rPr>
                <w:b/>
                <w:bCs/>
                <w:sz w:val="24"/>
                <w:szCs w:val="24"/>
              </w:rPr>
            </w:pPr>
            <w:r w:rsidRPr="0067300D">
              <w:rPr>
                <w:b/>
                <w:bCs/>
                <w:sz w:val="24"/>
                <w:szCs w:val="24"/>
              </w:rPr>
              <w:t>r + 1</w:t>
            </w:r>
          </w:p>
        </w:tc>
        <w:tc>
          <w:tcPr>
            <w:tcW w:w="1134" w:type="dxa"/>
            <w:shd w:val="clear" w:color="auto" w:fill="BFBFBF" w:themeFill="background1" w:themeFillShade="BF"/>
            <w:vAlign w:val="center"/>
          </w:tcPr>
          <w:p w:rsidR="00734F29" w:rsidRPr="0067300D" w:rsidRDefault="00734F29" w:rsidP="003511C2">
            <w:pPr>
              <w:autoSpaceDE w:val="0"/>
              <w:autoSpaceDN w:val="0"/>
              <w:adjustRightInd w:val="0"/>
              <w:jc w:val="center"/>
              <w:rPr>
                <w:b/>
                <w:bCs/>
                <w:sz w:val="24"/>
                <w:szCs w:val="24"/>
              </w:rPr>
            </w:pPr>
            <w:r w:rsidRPr="0067300D">
              <w:rPr>
                <w:b/>
                <w:bCs/>
                <w:sz w:val="24"/>
                <w:szCs w:val="24"/>
              </w:rPr>
              <w:t>r + 2</w:t>
            </w:r>
          </w:p>
        </w:tc>
        <w:tc>
          <w:tcPr>
            <w:tcW w:w="1134" w:type="dxa"/>
            <w:shd w:val="clear" w:color="auto" w:fill="BFBFBF" w:themeFill="background1" w:themeFillShade="BF"/>
            <w:vAlign w:val="center"/>
          </w:tcPr>
          <w:p w:rsidR="00734F29" w:rsidRPr="0067300D" w:rsidRDefault="00734F29" w:rsidP="003511C2">
            <w:pPr>
              <w:autoSpaceDE w:val="0"/>
              <w:autoSpaceDN w:val="0"/>
              <w:adjustRightInd w:val="0"/>
              <w:jc w:val="center"/>
              <w:rPr>
                <w:b/>
                <w:bCs/>
                <w:sz w:val="24"/>
                <w:szCs w:val="24"/>
              </w:rPr>
            </w:pPr>
            <w:r w:rsidRPr="0067300D">
              <w:rPr>
                <w:b/>
                <w:bCs/>
                <w:sz w:val="24"/>
                <w:szCs w:val="24"/>
              </w:rPr>
              <w:t>r + 3</w:t>
            </w:r>
          </w:p>
        </w:tc>
      </w:tr>
      <w:tr w:rsidR="00734F29" w:rsidRPr="0067300D" w:rsidTr="003511C2">
        <w:trPr>
          <w:trHeight w:val="70"/>
        </w:trPr>
        <w:tc>
          <w:tcPr>
            <w:tcW w:w="4530" w:type="dxa"/>
          </w:tcPr>
          <w:p w:rsidR="00734F29" w:rsidRPr="0067300D" w:rsidRDefault="00734F29" w:rsidP="003511C2">
            <w:pPr>
              <w:autoSpaceDE w:val="0"/>
              <w:autoSpaceDN w:val="0"/>
              <w:adjustRightInd w:val="0"/>
              <w:rPr>
                <w:color w:val="000000"/>
                <w:sz w:val="24"/>
                <w:szCs w:val="24"/>
              </w:rPr>
            </w:pPr>
            <w:r w:rsidRPr="0067300D">
              <w:rPr>
                <w:color w:val="000000"/>
                <w:sz w:val="24"/>
                <w:szCs w:val="24"/>
              </w:rPr>
              <w:t>Indikátor ABC</w:t>
            </w:r>
          </w:p>
        </w:tc>
        <w:tc>
          <w:tcPr>
            <w:tcW w:w="1134" w:type="dxa"/>
          </w:tcPr>
          <w:p w:rsidR="00734F29" w:rsidRPr="0067300D" w:rsidRDefault="00734F29" w:rsidP="003511C2">
            <w:pPr>
              <w:autoSpaceDE w:val="0"/>
              <w:autoSpaceDN w:val="0"/>
              <w:adjustRightInd w:val="0"/>
              <w:jc w:val="right"/>
              <w:rPr>
                <w:color w:val="000000"/>
                <w:sz w:val="24"/>
                <w:szCs w:val="24"/>
              </w:rPr>
            </w:pPr>
          </w:p>
        </w:tc>
        <w:tc>
          <w:tcPr>
            <w:tcW w:w="1134" w:type="dxa"/>
          </w:tcPr>
          <w:p w:rsidR="00734F29" w:rsidRPr="0067300D" w:rsidRDefault="00734F29" w:rsidP="003511C2">
            <w:pPr>
              <w:autoSpaceDE w:val="0"/>
              <w:autoSpaceDN w:val="0"/>
              <w:adjustRightInd w:val="0"/>
              <w:jc w:val="right"/>
              <w:rPr>
                <w:color w:val="000000"/>
                <w:sz w:val="24"/>
                <w:szCs w:val="24"/>
              </w:rPr>
            </w:pPr>
          </w:p>
        </w:tc>
        <w:tc>
          <w:tcPr>
            <w:tcW w:w="1134" w:type="dxa"/>
          </w:tcPr>
          <w:p w:rsidR="00734F29" w:rsidRPr="0067300D" w:rsidRDefault="00734F29" w:rsidP="003511C2">
            <w:pPr>
              <w:autoSpaceDE w:val="0"/>
              <w:autoSpaceDN w:val="0"/>
              <w:adjustRightInd w:val="0"/>
              <w:jc w:val="right"/>
              <w:rPr>
                <w:color w:val="000000"/>
                <w:sz w:val="24"/>
                <w:szCs w:val="24"/>
              </w:rPr>
            </w:pPr>
          </w:p>
        </w:tc>
        <w:tc>
          <w:tcPr>
            <w:tcW w:w="1134" w:type="dxa"/>
          </w:tcPr>
          <w:p w:rsidR="00734F29" w:rsidRPr="0067300D" w:rsidRDefault="00734F29" w:rsidP="003511C2">
            <w:pPr>
              <w:autoSpaceDE w:val="0"/>
              <w:autoSpaceDN w:val="0"/>
              <w:adjustRightInd w:val="0"/>
              <w:jc w:val="right"/>
              <w:rPr>
                <w:color w:val="000000"/>
                <w:sz w:val="24"/>
                <w:szCs w:val="24"/>
              </w:rPr>
            </w:pPr>
          </w:p>
        </w:tc>
      </w:tr>
      <w:tr w:rsidR="00734F29" w:rsidRPr="0067300D" w:rsidTr="003511C2">
        <w:trPr>
          <w:trHeight w:val="70"/>
        </w:trPr>
        <w:tc>
          <w:tcPr>
            <w:tcW w:w="4530" w:type="dxa"/>
          </w:tcPr>
          <w:p w:rsidR="00734F29" w:rsidRPr="0067300D" w:rsidRDefault="00734F29" w:rsidP="003511C2">
            <w:pPr>
              <w:autoSpaceDE w:val="0"/>
              <w:autoSpaceDN w:val="0"/>
              <w:adjustRightInd w:val="0"/>
              <w:rPr>
                <w:color w:val="000000"/>
                <w:sz w:val="24"/>
                <w:szCs w:val="24"/>
              </w:rPr>
            </w:pPr>
            <w:r w:rsidRPr="0067300D">
              <w:rPr>
                <w:color w:val="000000"/>
                <w:sz w:val="24"/>
                <w:szCs w:val="24"/>
              </w:rPr>
              <w:t>Indikátor KLM</w:t>
            </w:r>
          </w:p>
        </w:tc>
        <w:tc>
          <w:tcPr>
            <w:tcW w:w="1134" w:type="dxa"/>
          </w:tcPr>
          <w:p w:rsidR="00734F29" w:rsidRPr="0067300D" w:rsidRDefault="00734F29" w:rsidP="003511C2">
            <w:pPr>
              <w:autoSpaceDE w:val="0"/>
              <w:autoSpaceDN w:val="0"/>
              <w:adjustRightInd w:val="0"/>
              <w:jc w:val="right"/>
              <w:rPr>
                <w:color w:val="000000"/>
                <w:sz w:val="24"/>
                <w:szCs w:val="24"/>
              </w:rPr>
            </w:pPr>
          </w:p>
        </w:tc>
        <w:tc>
          <w:tcPr>
            <w:tcW w:w="1134" w:type="dxa"/>
          </w:tcPr>
          <w:p w:rsidR="00734F29" w:rsidRPr="0067300D" w:rsidRDefault="00734F29" w:rsidP="003511C2">
            <w:pPr>
              <w:autoSpaceDE w:val="0"/>
              <w:autoSpaceDN w:val="0"/>
              <w:adjustRightInd w:val="0"/>
              <w:jc w:val="right"/>
              <w:rPr>
                <w:color w:val="000000"/>
                <w:sz w:val="24"/>
                <w:szCs w:val="24"/>
              </w:rPr>
            </w:pPr>
          </w:p>
        </w:tc>
        <w:tc>
          <w:tcPr>
            <w:tcW w:w="1134" w:type="dxa"/>
          </w:tcPr>
          <w:p w:rsidR="00734F29" w:rsidRPr="0067300D" w:rsidRDefault="00734F29" w:rsidP="003511C2">
            <w:pPr>
              <w:autoSpaceDE w:val="0"/>
              <w:autoSpaceDN w:val="0"/>
              <w:adjustRightInd w:val="0"/>
              <w:jc w:val="right"/>
              <w:rPr>
                <w:color w:val="000000"/>
                <w:sz w:val="24"/>
                <w:szCs w:val="24"/>
              </w:rPr>
            </w:pPr>
          </w:p>
        </w:tc>
        <w:tc>
          <w:tcPr>
            <w:tcW w:w="1134" w:type="dxa"/>
          </w:tcPr>
          <w:p w:rsidR="00734F29" w:rsidRPr="0067300D" w:rsidRDefault="00734F29" w:rsidP="003511C2">
            <w:pPr>
              <w:autoSpaceDE w:val="0"/>
              <w:autoSpaceDN w:val="0"/>
              <w:adjustRightInd w:val="0"/>
              <w:jc w:val="right"/>
              <w:rPr>
                <w:color w:val="000000"/>
                <w:sz w:val="24"/>
                <w:szCs w:val="24"/>
              </w:rPr>
            </w:pPr>
          </w:p>
        </w:tc>
      </w:tr>
      <w:tr w:rsidR="00734F29" w:rsidRPr="0067300D" w:rsidTr="003511C2">
        <w:trPr>
          <w:trHeight w:val="70"/>
        </w:trPr>
        <w:tc>
          <w:tcPr>
            <w:tcW w:w="4530" w:type="dxa"/>
          </w:tcPr>
          <w:p w:rsidR="00734F29" w:rsidRPr="0067300D" w:rsidRDefault="00734F29" w:rsidP="003511C2">
            <w:pPr>
              <w:autoSpaceDE w:val="0"/>
              <w:autoSpaceDN w:val="0"/>
              <w:adjustRightInd w:val="0"/>
              <w:rPr>
                <w:color w:val="000000"/>
                <w:sz w:val="24"/>
                <w:szCs w:val="24"/>
              </w:rPr>
            </w:pPr>
            <w:r w:rsidRPr="0067300D">
              <w:rPr>
                <w:color w:val="000000"/>
                <w:sz w:val="24"/>
                <w:szCs w:val="24"/>
              </w:rPr>
              <w:t>Indikátor XYZ</w:t>
            </w:r>
          </w:p>
        </w:tc>
        <w:tc>
          <w:tcPr>
            <w:tcW w:w="1134" w:type="dxa"/>
          </w:tcPr>
          <w:p w:rsidR="00734F29" w:rsidRPr="0067300D" w:rsidRDefault="00734F29" w:rsidP="003511C2">
            <w:pPr>
              <w:autoSpaceDE w:val="0"/>
              <w:autoSpaceDN w:val="0"/>
              <w:adjustRightInd w:val="0"/>
              <w:jc w:val="right"/>
              <w:rPr>
                <w:color w:val="000000"/>
                <w:sz w:val="24"/>
                <w:szCs w:val="24"/>
              </w:rPr>
            </w:pPr>
          </w:p>
        </w:tc>
        <w:tc>
          <w:tcPr>
            <w:tcW w:w="1134" w:type="dxa"/>
          </w:tcPr>
          <w:p w:rsidR="00734F29" w:rsidRPr="0067300D" w:rsidRDefault="00734F29" w:rsidP="003511C2">
            <w:pPr>
              <w:autoSpaceDE w:val="0"/>
              <w:autoSpaceDN w:val="0"/>
              <w:adjustRightInd w:val="0"/>
              <w:jc w:val="right"/>
              <w:rPr>
                <w:color w:val="000000"/>
                <w:sz w:val="24"/>
                <w:szCs w:val="24"/>
              </w:rPr>
            </w:pPr>
          </w:p>
        </w:tc>
        <w:tc>
          <w:tcPr>
            <w:tcW w:w="1134" w:type="dxa"/>
          </w:tcPr>
          <w:p w:rsidR="00734F29" w:rsidRPr="0067300D" w:rsidRDefault="00734F29" w:rsidP="003511C2">
            <w:pPr>
              <w:autoSpaceDE w:val="0"/>
              <w:autoSpaceDN w:val="0"/>
              <w:adjustRightInd w:val="0"/>
              <w:jc w:val="right"/>
              <w:rPr>
                <w:color w:val="000000"/>
                <w:sz w:val="24"/>
                <w:szCs w:val="24"/>
              </w:rPr>
            </w:pPr>
          </w:p>
        </w:tc>
        <w:tc>
          <w:tcPr>
            <w:tcW w:w="1134" w:type="dxa"/>
          </w:tcPr>
          <w:p w:rsidR="00734F29" w:rsidRPr="0067300D" w:rsidRDefault="00734F29" w:rsidP="003511C2">
            <w:pPr>
              <w:autoSpaceDE w:val="0"/>
              <w:autoSpaceDN w:val="0"/>
              <w:adjustRightInd w:val="0"/>
              <w:jc w:val="right"/>
              <w:rPr>
                <w:color w:val="000000"/>
                <w:sz w:val="24"/>
                <w:szCs w:val="24"/>
              </w:rPr>
            </w:pPr>
          </w:p>
        </w:tc>
      </w:tr>
    </w:tbl>
    <w:p w:rsidR="00734F29" w:rsidRPr="0067300D" w:rsidRDefault="00734F29" w:rsidP="00734F29">
      <w:pPr>
        <w:rPr>
          <w:sz w:val="24"/>
          <w:szCs w:val="24"/>
        </w:rPr>
      </w:pPr>
    </w:p>
    <w:p w:rsidR="00734F29" w:rsidRPr="0067300D" w:rsidRDefault="00734F29" w:rsidP="00734F29">
      <w:pPr>
        <w:rPr>
          <w:b/>
          <w:bCs/>
          <w:sz w:val="24"/>
          <w:szCs w:val="24"/>
        </w:rPr>
      </w:pPr>
    </w:p>
    <w:p w:rsidR="00734F29" w:rsidRDefault="00734F29" w:rsidP="00734F29">
      <w:pPr>
        <w:rPr>
          <w:b/>
          <w:bCs/>
          <w:sz w:val="24"/>
          <w:szCs w:val="24"/>
        </w:rPr>
      </w:pPr>
      <w:r w:rsidRPr="0067300D">
        <w:rPr>
          <w:b/>
          <w:bCs/>
          <w:sz w:val="24"/>
          <w:szCs w:val="24"/>
        </w:rPr>
        <w:t>2.2.4. Výpočty vplyvov na verejné financie</w:t>
      </w:r>
    </w:p>
    <w:p w:rsidR="00734F29" w:rsidRDefault="00734F29" w:rsidP="00734F29">
      <w:pPr>
        <w:rPr>
          <w:b/>
          <w:bCs/>
          <w:sz w:val="24"/>
          <w:szCs w:val="24"/>
        </w:rPr>
      </w:pPr>
    </w:p>
    <w:p w:rsidR="00734F29" w:rsidRPr="0003131F" w:rsidRDefault="00734F29" w:rsidP="00734F29">
      <w:pPr>
        <w:jc w:val="both"/>
        <w:rPr>
          <w:b/>
          <w:bCs/>
          <w:sz w:val="24"/>
          <w:szCs w:val="24"/>
        </w:rPr>
      </w:pPr>
      <w:r w:rsidRPr="0067300D">
        <w:rPr>
          <w:sz w:val="24"/>
          <w:szCs w:val="24"/>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734F29" w:rsidRPr="0067300D" w:rsidRDefault="00734F29" w:rsidP="00734F29">
      <w:pPr>
        <w:ind w:firstLine="708"/>
        <w:jc w:val="both"/>
        <w:rPr>
          <w:sz w:val="24"/>
          <w:szCs w:val="24"/>
        </w:rPr>
      </w:pPr>
    </w:p>
    <w:p w:rsidR="00734F29" w:rsidRPr="0067300D" w:rsidRDefault="00734F29" w:rsidP="00734F29">
      <w:pPr>
        <w:pBdr>
          <w:top w:val="single" w:sz="4" w:space="1" w:color="auto"/>
          <w:left w:val="single" w:sz="4" w:space="4" w:color="auto"/>
          <w:bottom w:val="single" w:sz="4" w:space="0" w:color="auto"/>
          <w:right w:val="single" w:sz="4" w:space="4" w:color="auto"/>
        </w:pBdr>
        <w:jc w:val="both"/>
        <w:rPr>
          <w:bCs/>
          <w:color w:val="000000" w:themeColor="text1"/>
          <w:sz w:val="24"/>
          <w:szCs w:val="24"/>
        </w:rPr>
      </w:pPr>
      <w:r w:rsidRPr="0067300D">
        <w:rPr>
          <w:bCs/>
          <w:color w:val="000000" w:themeColor="text1"/>
          <w:sz w:val="24"/>
          <w:szCs w:val="24"/>
        </w:rPr>
        <w:t xml:space="preserve">Ministerstvo financií SR požiadalo Finančné riaditeľstvo SR o kvantifikáciu dopadov na informačný systém FS v súvislosti s navrhovanými opatreniami. Z odpovede vyplynulo, že odhadovaný finančný dopad na zmenu informačných systémov predstavuje čiastku 1 </w:t>
      </w:r>
      <w:r w:rsidR="005B5393">
        <w:rPr>
          <w:bCs/>
          <w:color w:val="000000" w:themeColor="text1"/>
          <w:sz w:val="24"/>
          <w:szCs w:val="24"/>
        </w:rPr>
        <w:t>559</w:t>
      </w:r>
      <w:r w:rsidRPr="0067300D">
        <w:rPr>
          <w:bCs/>
          <w:color w:val="000000" w:themeColor="text1"/>
          <w:sz w:val="24"/>
          <w:szCs w:val="24"/>
        </w:rPr>
        <w:t xml:space="preserve"> </w:t>
      </w:r>
      <w:r w:rsidR="005B5393">
        <w:rPr>
          <w:bCs/>
          <w:color w:val="000000" w:themeColor="text1"/>
          <w:sz w:val="24"/>
          <w:szCs w:val="24"/>
        </w:rPr>
        <w:t>676</w:t>
      </w:r>
      <w:r w:rsidRPr="0067300D">
        <w:rPr>
          <w:bCs/>
          <w:color w:val="000000" w:themeColor="text1"/>
          <w:sz w:val="24"/>
          <w:szCs w:val="24"/>
        </w:rPr>
        <w:t xml:space="preserve"> eur s DPH v členení na :</w:t>
      </w:r>
    </w:p>
    <w:p w:rsidR="00734F29" w:rsidRPr="0067300D" w:rsidRDefault="00734F29" w:rsidP="00734F29">
      <w:pPr>
        <w:pBdr>
          <w:top w:val="single" w:sz="4" w:space="1" w:color="auto"/>
          <w:left w:val="single" w:sz="4" w:space="4" w:color="auto"/>
          <w:bottom w:val="single" w:sz="4" w:space="0" w:color="auto"/>
          <w:right w:val="single" w:sz="4" w:space="4" w:color="auto"/>
        </w:pBdr>
        <w:jc w:val="both"/>
        <w:rPr>
          <w:bCs/>
          <w:color w:val="000000" w:themeColor="text1"/>
          <w:sz w:val="24"/>
          <w:szCs w:val="24"/>
        </w:rPr>
      </w:pPr>
      <w:r w:rsidRPr="0067300D">
        <w:rPr>
          <w:bCs/>
          <w:color w:val="000000" w:themeColor="text1"/>
          <w:sz w:val="24"/>
          <w:szCs w:val="24"/>
        </w:rPr>
        <w:t>- Úprava informačného systému (VIES): 200 760 eur</w:t>
      </w:r>
    </w:p>
    <w:p w:rsidR="00734F29" w:rsidRPr="0067300D" w:rsidRDefault="00734F29" w:rsidP="00734F29">
      <w:pPr>
        <w:pBdr>
          <w:top w:val="single" w:sz="4" w:space="1" w:color="auto"/>
          <w:left w:val="single" w:sz="4" w:space="4" w:color="auto"/>
          <w:bottom w:val="single" w:sz="4" w:space="0" w:color="auto"/>
          <w:right w:val="single" w:sz="4" w:space="4" w:color="auto"/>
        </w:pBdr>
        <w:jc w:val="both"/>
        <w:rPr>
          <w:bCs/>
          <w:color w:val="000000" w:themeColor="text1"/>
          <w:sz w:val="24"/>
          <w:szCs w:val="24"/>
        </w:rPr>
      </w:pPr>
      <w:r w:rsidRPr="0067300D">
        <w:rPr>
          <w:bCs/>
          <w:color w:val="000000" w:themeColor="text1"/>
          <w:sz w:val="24"/>
          <w:szCs w:val="24"/>
        </w:rPr>
        <w:t xml:space="preserve">- Úprava </w:t>
      </w:r>
      <w:r w:rsidR="005B5393">
        <w:rPr>
          <w:bCs/>
          <w:color w:val="000000" w:themeColor="text1"/>
          <w:sz w:val="24"/>
          <w:szCs w:val="24"/>
        </w:rPr>
        <w:t>informačného systému (ISFS): 1 291</w:t>
      </w:r>
      <w:r w:rsidRPr="0067300D">
        <w:rPr>
          <w:bCs/>
          <w:color w:val="000000" w:themeColor="text1"/>
          <w:sz w:val="24"/>
          <w:szCs w:val="24"/>
        </w:rPr>
        <w:t> 200 eur</w:t>
      </w:r>
    </w:p>
    <w:p w:rsidR="00734F29" w:rsidRPr="0067300D" w:rsidRDefault="00734F29" w:rsidP="00734F29">
      <w:pPr>
        <w:pBdr>
          <w:top w:val="single" w:sz="4" w:space="1" w:color="auto"/>
          <w:left w:val="single" w:sz="4" w:space="4" w:color="auto"/>
          <w:bottom w:val="single" w:sz="4" w:space="0" w:color="auto"/>
          <w:right w:val="single" w:sz="4" w:space="4" w:color="auto"/>
        </w:pBdr>
        <w:jc w:val="both"/>
        <w:rPr>
          <w:bCs/>
          <w:color w:val="000000" w:themeColor="text1"/>
          <w:sz w:val="24"/>
          <w:szCs w:val="24"/>
        </w:rPr>
      </w:pPr>
      <w:r w:rsidRPr="0067300D">
        <w:rPr>
          <w:bCs/>
          <w:color w:val="000000" w:themeColor="text1"/>
          <w:sz w:val="24"/>
          <w:szCs w:val="24"/>
        </w:rPr>
        <w:t>- Portál FS: 67 716 eur</w:t>
      </w:r>
      <w:r w:rsidR="00AA1B90">
        <w:rPr>
          <w:bCs/>
          <w:color w:val="000000" w:themeColor="text1"/>
          <w:sz w:val="24"/>
          <w:szCs w:val="24"/>
        </w:rPr>
        <w:t xml:space="preserve"> (MF SR)</w:t>
      </w:r>
      <w:r w:rsidRPr="0067300D">
        <w:rPr>
          <w:bCs/>
          <w:color w:val="000000" w:themeColor="text1"/>
          <w:sz w:val="24"/>
          <w:szCs w:val="24"/>
        </w:rPr>
        <w:t>.</w:t>
      </w:r>
    </w:p>
    <w:p w:rsidR="00734F29" w:rsidRPr="0067300D" w:rsidRDefault="00734F29" w:rsidP="00734F29">
      <w:pPr>
        <w:pBdr>
          <w:top w:val="single" w:sz="4" w:space="1" w:color="auto"/>
          <w:left w:val="single" w:sz="4" w:space="4" w:color="auto"/>
          <w:bottom w:val="single" w:sz="4" w:space="0" w:color="auto"/>
          <w:right w:val="single" w:sz="4" w:space="4" w:color="auto"/>
        </w:pBdr>
        <w:jc w:val="both"/>
        <w:rPr>
          <w:bCs/>
          <w:color w:val="000000" w:themeColor="text1"/>
          <w:sz w:val="24"/>
          <w:szCs w:val="24"/>
        </w:rPr>
      </w:pPr>
    </w:p>
    <w:p w:rsidR="00734F29" w:rsidRPr="0067300D" w:rsidRDefault="00734F29" w:rsidP="00734F29">
      <w:pPr>
        <w:pBdr>
          <w:top w:val="single" w:sz="4" w:space="1" w:color="auto"/>
          <w:left w:val="single" w:sz="4" w:space="4" w:color="auto"/>
          <w:bottom w:val="single" w:sz="4" w:space="0" w:color="auto"/>
          <w:right w:val="single" w:sz="4" w:space="4" w:color="auto"/>
        </w:pBdr>
        <w:jc w:val="both"/>
        <w:rPr>
          <w:bCs/>
          <w:color w:val="000000" w:themeColor="text1"/>
          <w:sz w:val="24"/>
          <w:szCs w:val="24"/>
        </w:rPr>
      </w:pPr>
      <w:r w:rsidRPr="0067300D">
        <w:rPr>
          <w:bCs/>
          <w:color w:val="000000" w:themeColor="text1"/>
          <w:sz w:val="24"/>
          <w:szCs w:val="24"/>
        </w:rPr>
        <w:t>Finančné riaditeľstvo SR nemá finančné prostriedky vo výške 1 </w:t>
      </w:r>
      <w:r w:rsidR="003B0DB2">
        <w:rPr>
          <w:bCs/>
          <w:color w:val="000000" w:themeColor="text1"/>
          <w:sz w:val="24"/>
          <w:szCs w:val="24"/>
        </w:rPr>
        <w:t>491</w:t>
      </w:r>
      <w:r w:rsidRPr="0067300D">
        <w:rPr>
          <w:bCs/>
          <w:color w:val="000000" w:themeColor="text1"/>
          <w:sz w:val="24"/>
          <w:szCs w:val="24"/>
        </w:rPr>
        <w:t> 960 eur zabezpečené v rozpočte.</w:t>
      </w:r>
      <w:r>
        <w:rPr>
          <w:bCs/>
          <w:color w:val="000000" w:themeColor="text1"/>
          <w:sz w:val="24"/>
          <w:szCs w:val="24"/>
        </w:rPr>
        <w:t xml:space="preserve"> </w:t>
      </w:r>
      <w:r w:rsidR="003B0DB2">
        <w:rPr>
          <w:sz w:val="24"/>
          <w:szCs w:val="24"/>
        </w:rPr>
        <w:t>Financovanie predmetných výdavkov</w:t>
      </w:r>
      <w:r w:rsidRPr="0067300D">
        <w:rPr>
          <w:sz w:val="24"/>
          <w:szCs w:val="24"/>
        </w:rPr>
        <w:t xml:space="preserve"> bude</w:t>
      </w:r>
      <w:r w:rsidR="003B0DB2">
        <w:rPr>
          <w:sz w:val="24"/>
          <w:szCs w:val="24"/>
        </w:rPr>
        <w:t xml:space="preserve"> </w:t>
      </w:r>
      <w:r w:rsidRPr="0067300D">
        <w:rPr>
          <w:sz w:val="24"/>
          <w:szCs w:val="24"/>
        </w:rPr>
        <w:t xml:space="preserve">zabezpečené </w:t>
      </w:r>
      <w:r w:rsidR="003B0DB2">
        <w:rPr>
          <w:sz w:val="24"/>
          <w:szCs w:val="24"/>
        </w:rPr>
        <w:t>v rámci limitov</w:t>
      </w:r>
      <w:r w:rsidRPr="0067300D">
        <w:rPr>
          <w:sz w:val="24"/>
          <w:szCs w:val="24"/>
        </w:rPr>
        <w:t xml:space="preserve"> </w:t>
      </w:r>
      <w:r w:rsidR="003B0DB2">
        <w:rPr>
          <w:sz w:val="24"/>
          <w:szCs w:val="24"/>
        </w:rPr>
        <w:t>rozpoč</w:t>
      </w:r>
      <w:r w:rsidR="00AA1B90">
        <w:rPr>
          <w:sz w:val="24"/>
          <w:szCs w:val="24"/>
        </w:rPr>
        <w:t xml:space="preserve">tu verejnej správy na rok 2019 </w:t>
      </w:r>
      <w:r w:rsidRPr="0067300D">
        <w:rPr>
          <w:sz w:val="24"/>
          <w:szCs w:val="24"/>
        </w:rPr>
        <w:t>(kapitálové výdavky, rozpočtová položka 718</w:t>
      </w:r>
      <w:r w:rsidR="003B0DB2">
        <w:rPr>
          <w:sz w:val="24"/>
          <w:szCs w:val="24"/>
        </w:rPr>
        <w:t xml:space="preserve"> rekonštrukcia a modernizácia</w:t>
      </w:r>
      <w:r w:rsidRPr="0067300D">
        <w:rPr>
          <w:sz w:val="24"/>
          <w:szCs w:val="24"/>
        </w:rPr>
        <w:t>, podprogram 0EK 0D – Informačné technológie financované zo štátneho rozpočtu – Ministerstvo financií SR)</w:t>
      </w:r>
      <w:r w:rsidRPr="0067300D">
        <w:rPr>
          <w:bCs/>
          <w:color w:val="000000" w:themeColor="text1"/>
          <w:sz w:val="24"/>
          <w:szCs w:val="24"/>
        </w:rPr>
        <w:t>.</w:t>
      </w:r>
    </w:p>
    <w:p w:rsidR="00734F29" w:rsidRPr="0067300D" w:rsidRDefault="00734F29" w:rsidP="00734F29">
      <w:pPr>
        <w:pBdr>
          <w:top w:val="single" w:sz="4" w:space="1" w:color="auto"/>
          <w:left w:val="single" w:sz="4" w:space="4" w:color="auto"/>
          <w:bottom w:val="single" w:sz="4" w:space="0" w:color="auto"/>
          <w:right w:val="single" w:sz="4" w:space="4" w:color="auto"/>
        </w:pBdr>
        <w:jc w:val="both"/>
        <w:rPr>
          <w:bCs/>
          <w:color w:val="FF0000"/>
          <w:sz w:val="24"/>
          <w:szCs w:val="24"/>
        </w:rPr>
      </w:pPr>
    </w:p>
    <w:p w:rsidR="00734F29" w:rsidRPr="0067300D" w:rsidRDefault="00734F29" w:rsidP="00734F29">
      <w:pPr>
        <w:ind w:firstLine="708"/>
        <w:jc w:val="both"/>
        <w:rPr>
          <w:sz w:val="24"/>
          <w:szCs w:val="24"/>
        </w:rPr>
      </w:pPr>
    </w:p>
    <w:p w:rsidR="00734F29" w:rsidRPr="0067300D" w:rsidRDefault="00734F29" w:rsidP="00734F29">
      <w:pPr>
        <w:jc w:val="both"/>
        <w:rPr>
          <w:sz w:val="24"/>
          <w:szCs w:val="24"/>
        </w:rPr>
      </w:pPr>
    </w:p>
    <w:p w:rsidR="00734F29" w:rsidRPr="0067300D" w:rsidRDefault="00734F29" w:rsidP="00734F29">
      <w:pPr>
        <w:tabs>
          <w:tab w:val="num" w:pos="1080"/>
        </w:tabs>
        <w:jc w:val="both"/>
        <w:rPr>
          <w:bCs/>
          <w:sz w:val="24"/>
          <w:szCs w:val="24"/>
        </w:rPr>
      </w:pPr>
    </w:p>
    <w:p w:rsidR="00734F29" w:rsidRPr="0067300D" w:rsidRDefault="00734F29" w:rsidP="00734F29">
      <w:pPr>
        <w:tabs>
          <w:tab w:val="num" w:pos="1080"/>
        </w:tabs>
        <w:jc w:val="both"/>
        <w:rPr>
          <w:bCs/>
          <w:sz w:val="24"/>
          <w:szCs w:val="24"/>
        </w:rPr>
      </w:pPr>
    </w:p>
    <w:p w:rsidR="00734F29" w:rsidRPr="0067300D" w:rsidRDefault="00734F29" w:rsidP="00734F29">
      <w:pPr>
        <w:tabs>
          <w:tab w:val="num" w:pos="1080"/>
        </w:tabs>
        <w:jc w:val="both"/>
        <w:rPr>
          <w:bCs/>
          <w:sz w:val="24"/>
          <w:szCs w:val="24"/>
        </w:rPr>
      </w:pPr>
    </w:p>
    <w:p w:rsidR="00734F29" w:rsidRPr="0067300D" w:rsidRDefault="00734F29" w:rsidP="00734F29">
      <w:pPr>
        <w:tabs>
          <w:tab w:val="num" w:pos="1080"/>
        </w:tabs>
        <w:jc w:val="both"/>
        <w:rPr>
          <w:bCs/>
          <w:sz w:val="24"/>
          <w:szCs w:val="24"/>
        </w:rPr>
      </w:pPr>
    </w:p>
    <w:p w:rsidR="00734F29" w:rsidRPr="0067300D" w:rsidRDefault="00734F29" w:rsidP="00734F29">
      <w:pPr>
        <w:tabs>
          <w:tab w:val="num" w:pos="1080"/>
        </w:tabs>
        <w:jc w:val="both"/>
        <w:rPr>
          <w:bCs/>
          <w:sz w:val="24"/>
          <w:szCs w:val="24"/>
        </w:rPr>
      </w:pPr>
    </w:p>
    <w:p w:rsidR="00734F29" w:rsidRPr="0067300D" w:rsidRDefault="00734F29" w:rsidP="00734F29">
      <w:pPr>
        <w:tabs>
          <w:tab w:val="num" w:pos="1080"/>
        </w:tabs>
        <w:jc w:val="both"/>
        <w:rPr>
          <w:bCs/>
          <w:sz w:val="24"/>
          <w:szCs w:val="24"/>
        </w:rPr>
      </w:pPr>
    </w:p>
    <w:p w:rsidR="00734F29" w:rsidRPr="0067300D" w:rsidRDefault="00734F29" w:rsidP="00734F29">
      <w:pPr>
        <w:tabs>
          <w:tab w:val="num" w:pos="1080"/>
        </w:tabs>
        <w:jc w:val="both"/>
        <w:rPr>
          <w:bCs/>
          <w:sz w:val="24"/>
          <w:szCs w:val="24"/>
        </w:rPr>
        <w:sectPr w:rsidR="00734F29" w:rsidRPr="0067300D" w:rsidSect="008719E2">
          <w:headerReference w:type="even" r:id="rId7"/>
          <w:footerReference w:type="even" r:id="rId8"/>
          <w:footerReference w:type="default" r:id="rId9"/>
          <w:headerReference w:type="first" r:id="rId10"/>
          <w:footerReference w:type="first" r:id="rId11"/>
          <w:pgSz w:w="11906" w:h="16838"/>
          <w:pgMar w:top="1417" w:right="1417" w:bottom="1276" w:left="1417" w:header="708" w:footer="708" w:gutter="0"/>
          <w:pgNumType w:start="1"/>
          <w:cols w:space="708"/>
          <w:docGrid w:linePitch="360"/>
        </w:sectPr>
      </w:pPr>
    </w:p>
    <w:p w:rsidR="00734F29" w:rsidRPr="0067300D" w:rsidRDefault="00734F29" w:rsidP="00734F29">
      <w:pPr>
        <w:tabs>
          <w:tab w:val="num" w:pos="1080"/>
        </w:tabs>
        <w:jc w:val="right"/>
        <w:rPr>
          <w:bCs/>
          <w:sz w:val="24"/>
          <w:szCs w:val="24"/>
        </w:rPr>
      </w:pPr>
      <w:r w:rsidRPr="0067300D">
        <w:rPr>
          <w:bCs/>
          <w:sz w:val="24"/>
          <w:szCs w:val="24"/>
        </w:rPr>
        <w:lastRenderedPageBreak/>
        <w:t xml:space="preserve">Tabuľka č. 3 </w:t>
      </w:r>
    </w:p>
    <w:p w:rsidR="00734F29" w:rsidRPr="0067300D" w:rsidRDefault="00734F29" w:rsidP="00734F29">
      <w:pPr>
        <w:tabs>
          <w:tab w:val="num" w:pos="1080"/>
        </w:tabs>
        <w:jc w:val="both"/>
        <w:rPr>
          <w:bCs/>
          <w:sz w:val="24"/>
          <w:szCs w:val="24"/>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34F29" w:rsidRPr="0067300D" w:rsidTr="003511C2">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34F29" w:rsidRPr="0067300D" w:rsidRDefault="00734F29" w:rsidP="003511C2">
            <w:pPr>
              <w:jc w:val="center"/>
              <w:rPr>
                <w:b/>
                <w:bCs/>
                <w:sz w:val="24"/>
                <w:szCs w:val="24"/>
              </w:rPr>
            </w:pPr>
            <w:r w:rsidRPr="0067300D">
              <w:rPr>
                <w:b/>
                <w:bCs/>
                <w:sz w:val="24"/>
                <w:szCs w:val="24"/>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34F29" w:rsidRPr="0067300D" w:rsidRDefault="00734F29" w:rsidP="003511C2">
            <w:pPr>
              <w:jc w:val="center"/>
              <w:rPr>
                <w:b/>
                <w:bCs/>
                <w:sz w:val="24"/>
                <w:szCs w:val="24"/>
              </w:rPr>
            </w:pPr>
            <w:r w:rsidRPr="0067300D">
              <w:rPr>
                <w:b/>
                <w:bCs/>
                <w:sz w:val="24"/>
                <w:szCs w:val="24"/>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34F29" w:rsidRPr="0067300D" w:rsidRDefault="00734F29" w:rsidP="003511C2">
            <w:pPr>
              <w:jc w:val="center"/>
              <w:rPr>
                <w:b/>
                <w:bCs/>
                <w:sz w:val="24"/>
                <w:szCs w:val="24"/>
              </w:rPr>
            </w:pPr>
            <w:r w:rsidRPr="0067300D">
              <w:rPr>
                <w:b/>
                <w:bCs/>
                <w:sz w:val="24"/>
                <w:szCs w:val="24"/>
              </w:rPr>
              <w:t>poznámka</w:t>
            </w:r>
          </w:p>
        </w:tc>
      </w:tr>
      <w:tr w:rsidR="00734F29" w:rsidRPr="0067300D" w:rsidTr="003511C2">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734F29" w:rsidRPr="0067300D" w:rsidRDefault="00734F29" w:rsidP="003511C2">
            <w:pPr>
              <w:rPr>
                <w:b/>
                <w:bCs/>
                <w:color w:val="FFFFFF"/>
                <w:sz w:val="24"/>
                <w:szCs w:val="24"/>
              </w:rPr>
            </w:pPr>
          </w:p>
        </w:tc>
        <w:tc>
          <w:tcPr>
            <w:tcW w:w="1500" w:type="dxa"/>
            <w:tcBorders>
              <w:top w:val="nil"/>
              <w:left w:val="nil"/>
              <w:bottom w:val="single" w:sz="4" w:space="0" w:color="auto"/>
              <w:right w:val="single" w:sz="4" w:space="0" w:color="auto"/>
            </w:tcBorders>
            <w:shd w:val="clear" w:color="auto" w:fill="BFBFBF" w:themeFill="background1" w:themeFillShade="BF"/>
          </w:tcPr>
          <w:p w:rsidR="00734F29" w:rsidRPr="0067300D" w:rsidRDefault="00734F29" w:rsidP="003511C2">
            <w:pPr>
              <w:jc w:val="center"/>
              <w:rPr>
                <w:b/>
                <w:bCs/>
                <w:sz w:val="24"/>
                <w:szCs w:val="24"/>
              </w:rPr>
            </w:pPr>
            <w:r w:rsidRPr="0067300D">
              <w:rPr>
                <w:b/>
                <w:bCs/>
                <w:sz w:val="24"/>
                <w:szCs w:val="24"/>
              </w:rPr>
              <w:t>2019</w:t>
            </w:r>
          </w:p>
        </w:tc>
        <w:tc>
          <w:tcPr>
            <w:tcW w:w="1500" w:type="dxa"/>
            <w:tcBorders>
              <w:top w:val="nil"/>
              <w:left w:val="nil"/>
              <w:bottom w:val="single" w:sz="4" w:space="0" w:color="auto"/>
              <w:right w:val="single" w:sz="4" w:space="0" w:color="auto"/>
            </w:tcBorders>
            <w:shd w:val="clear" w:color="auto" w:fill="BFBFBF" w:themeFill="background1" w:themeFillShade="BF"/>
          </w:tcPr>
          <w:p w:rsidR="00734F29" w:rsidRPr="0067300D" w:rsidRDefault="00734F29" w:rsidP="003511C2">
            <w:pPr>
              <w:jc w:val="center"/>
              <w:rPr>
                <w:b/>
                <w:bCs/>
                <w:sz w:val="24"/>
                <w:szCs w:val="24"/>
              </w:rPr>
            </w:pPr>
            <w:r w:rsidRPr="0067300D">
              <w:rPr>
                <w:b/>
                <w:bCs/>
                <w:sz w:val="24"/>
                <w:szCs w:val="24"/>
              </w:rPr>
              <w:t>2020</w:t>
            </w:r>
          </w:p>
        </w:tc>
        <w:tc>
          <w:tcPr>
            <w:tcW w:w="1500" w:type="dxa"/>
            <w:tcBorders>
              <w:top w:val="nil"/>
              <w:left w:val="nil"/>
              <w:bottom w:val="single" w:sz="4" w:space="0" w:color="auto"/>
              <w:right w:val="single" w:sz="4" w:space="0" w:color="auto"/>
            </w:tcBorders>
            <w:shd w:val="clear" w:color="auto" w:fill="BFBFBF" w:themeFill="background1" w:themeFillShade="BF"/>
          </w:tcPr>
          <w:p w:rsidR="00734F29" w:rsidRPr="0067300D" w:rsidRDefault="00734F29" w:rsidP="003511C2">
            <w:pPr>
              <w:jc w:val="center"/>
              <w:rPr>
                <w:b/>
                <w:bCs/>
                <w:sz w:val="24"/>
                <w:szCs w:val="24"/>
              </w:rPr>
            </w:pPr>
            <w:r w:rsidRPr="0067300D">
              <w:rPr>
                <w:b/>
                <w:bCs/>
                <w:sz w:val="24"/>
                <w:szCs w:val="24"/>
              </w:rPr>
              <w:t>2021</w:t>
            </w:r>
          </w:p>
        </w:tc>
        <w:tc>
          <w:tcPr>
            <w:tcW w:w="1500" w:type="dxa"/>
            <w:tcBorders>
              <w:top w:val="nil"/>
              <w:left w:val="nil"/>
              <w:bottom w:val="single" w:sz="4" w:space="0" w:color="auto"/>
              <w:right w:val="single" w:sz="4" w:space="0" w:color="auto"/>
            </w:tcBorders>
            <w:shd w:val="clear" w:color="auto" w:fill="BFBFBF" w:themeFill="background1" w:themeFillShade="BF"/>
          </w:tcPr>
          <w:p w:rsidR="00734F29" w:rsidRPr="0067300D" w:rsidRDefault="00734F29" w:rsidP="003511C2">
            <w:pPr>
              <w:jc w:val="center"/>
              <w:rPr>
                <w:b/>
                <w:bCs/>
                <w:sz w:val="24"/>
                <w:szCs w:val="24"/>
              </w:rPr>
            </w:pPr>
            <w:r w:rsidRPr="0067300D">
              <w:rPr>
                <w:b/>
                <w:bCs/>
                <w:sz w:val="24"/>
                <w:szCs w:val="24"/>
              </w:rPr>
              <w:t>2022</w:t>
            </w:r>
          </w:p>
        </w:tc>
        <w:tc>
          <w:tcPr>
            <w:tcW w:w="3000" w:type="dxa"/>
            <w:vMerge/>
            <w:tcBorders>
              <w:top w:val="single" w:sz="4" w:space="0" w:color="auto"/>
              <w:left w:val="single" w:sz="4" w:space="0" w:color="auto"/>
              <w:bottom w:val="single" w:sz="4" w:space="0" w:color="auto"/>
              <w:right w:val="single" w:sz="4" w:space="0" w:color="auto"/>
            </w:tcBorders>
            <w:vAlign w:val="center"/>
          </w:tcPr>
          <w:p w:rsidR="00734F29" w:rsidRPr="0067300D" w:rsidRDefault="00734F29" w:rsidP="003511C2">
            <w:pPr>
              <w:rPr>
                <w:b/>
                <w:bCs/>
                <w:color w:val="FFFFFF"/>
                <w:sz w:val="24"/>
                <w:szCs w:val="24"/>
              </w:rPr>
            </w:pPr>
          </w:p>
        </w:tc>
      </w:tr>
      <w:tr w:rsidR="00734F29" w:rsidRPr="0067300D" w:rsidTr="003511C2">
        <w:trPr>
          <w:trHeight w:val="255"/>
        </w:trPr>
        <w:tc>
          <w:tcPr>
            <w:tcW w:w="4950" w:type="dxa"/>
            <w:tcBorders>
              <w:top w:val="nil"/>
              <w:left w:val="single" w:sz="4" w:space="0" w:color="auto"/>
              <w:bottom w:val="single" w:sz="4" w:space="0" w:color="auto"/>
              <w:right w:val="single" w:sz="4" w:space="0" w:color="auto"/>
            </w:tcBorders>
          </w:tcPr>
          <w:p w:rsidR="00734F29" w:rsidRPr="0067300D" w:rsidRDefault="00734F29" w:rsidP="003511C2">
            <w:pPr>
              <w:rPr>
                <w:b/>
                <w:bCs/>
                <w:sz w:val="24"/>
                <w:szCs w:val="24"/>
                <w:vertAlign w:val="superscript"/>
              </w:rPr>
            </w:pPr>
            <w:r w:rsidRPr="0067300D">
              <w:rPr>
                <w:b/>
                <w:bCs/>
                <w:sz w:val="24"/>
                <w:szCs w:val="24"/>
              </w:rPr>
              <w:t>Daňové príjmy (100)</w:t>
            </w:r>
            <w:r w:rsidRPr="0067300D">
              <w:rPr>
                <w:b/>
                <w:bCs/>
                <w:sz w:val="24"/>
                <w:szCs w:val="24"/>
                <w:vertAlign w:val="superscript"/>
              </w:rPr>
              <w:t>1</w:t>
            </w:r>
          </w:p>
        </w:tc>
        <w:tc>
          <w:tcPr>
            <w:tcW w:w="1500" w:type="dxa"/>
            <w:tcBorders>
              <w:top w:val="nil"/>
              <w:left w:val="nil"/>
              <w:bottom w:val="single" w:sz="4" w:space="0" w:color="auto"/>
              <w:right w:val="single" w:sz="4" w:space="0" w:color="auto"/>
            </w:tcBorders>
          </w:tcPr>
          <w:p w:rsidR="00734F29" w:rsidRPr="0067300D" w:rsidRDefault="00734F29" w:rsidP="003511C2">
            <w:pPr>
              <w:jc w:val="center"/>
              <w:rPr>
                <w:b/>
                <w:bCs/>
                <w:sz w:val="24"/>
                <w:szCs w:val="24"/>
              </w:rPr>
            </w:pPr>
            <w:r w:rsidRPr="0067300D">
              <w:rPr>
                <w:b/>
                <w:bCs/>
                <w:sz w:val="24"/>
                <w:szCs w:val="24"/>
              </w:rPr>
              <w:t>0</w:t>
            </w:r>
          </w:p>
        </w:tc>
        <w:tc>
          <w:tcPr>
            <w:tcW w:w="1500" w:type="dxa"/>
            <w:tcBorders>
              <w:top w:val="nil"/>
              <w:left w:val="nil"/>
              <w:bottom w:val="single" w:sz="4" w:space="0" w:color="auto"/>
              <w:right w:val="single" w:sz="4" w:space="0" w:color="auto"/>
            </w:tcBorders>
          </w:tcPr>
          <w:p w:rsidR="00734F29" w:rsidRPr="0067300D" w:rsidRDefault="00734F29" w:rsidP="003511C2">
            <w:pPr>
              <w:jc w:val="center"/>
              <w:rPr>
                <w:sz w:val="24"/>
                <w:szCs w:val="24"/>
              </w:rPr>
            </w:pPr>
            <w:r w:rsidRPr="0067300D">
              <w:rPr>
                <w:b/>
                <w:bCs/>
                <w:sz w:val="24"/>
                <w:szCs w:val="24"/>
              </w:rPr>
              <w:t>0</w:t>
            </w:r>
          </w:p>
        </w:tc>
        <w:tc>
          <w:tcPr>
            <w:tcW w:w="1500" w:type="dxa"/>
            <w:tcBorders>
              <w:top w:val="nil"/>
              <w:left w:val="nil"/>
              <w:bottom w:val="single" w:sz="4" w:space="0" w:color="auto"/>
              <w:right w:val="single" w:sz="4" w:space="0" w:color="auto"/>
            </w:tcBorders>
          </w:tcPr>
          <w:p w:rsidR="00734F29" w:rsidRPr="0067300D" w:rsidRDefault="00734F29" w:rsidP="003511C2">
            <w:pPr>
              <w:jc w:val="center"/>
              <w:rPr>
                <w:sz w:val="24"/>
                <w:szCs w:val="24"/>
              </w:rPr>
            </w:pPr>
            <w:r w:rsidRPr="0067300D">
              <w:rPr>
                <w:b/>
                <w:bCs/>
                <w:sz w:val="24"/>
                <w:szCs w:val="24"/>
              </w:rPr>
              <w:t>0</w:t>
            </w:r>
          </w:p>
        </w:tc>
        <w:tc>
          <w:tcPr>
            <w:tcW w:w="1500" w:type="dxa"/>
            <w:tcBorders>
              <w:top w:val="nil"/>
              <w:left w:val="nil"/>
              <w:bottom w:val="single" w:sz="4" w:space="0" w:color="auto"/>
              <w:right w:val="single" w:sz="4" w:space="0" w:color="auto"/>
            </w:tcBorders>
          </w:tcPr>
          <w:p w:rsidR="00734F29" w:rsidRPr="0067300D" w:rsidRDefault="00734F29" w:rsidP="003511C2">
            <w:pPr>
              <w:jc w:val="center"/>
              <w:rPr>
                <w:sz w:val="24"/>
                <w:szCs w:val="24"/>
              </w:rPr>
            </w:pPr>
            <w:r w:rsidRPr="0067300D">
              <w:rPr>
                <w:b/>
                <w:bCs/>
                <w:sz w:val="24"/>
                <w:szCs w:val="24"/>
              </w:rPr>
              <w:t>0</w:t>
            </w:r>
          </w:p>
        </w:tc>
        <w:tc>
          <w:tcPr>
            <w:tcW w:w="3000" w:type="dxa"/>
            <w:tcBorders>
              <w:top w:val="nil"/>
              <w:left w:val="nil"/>
              <w:bottom w:val="single" w:sz="4" w:space="0" w:color="auto"/>
              <w:right w:val="single" w:sz="4" w:space="0" w:color="auto"/>
            </w:tcBorders>
            <w:noWrap/>
            <w:vAlign w:val="bottom"/>
          </w:tcPr>
          <w:p w:rsidR="00734F29" w:rsidRPr="0067300D" w:rsidRDefault="00734F29" w:rsidP="003511C2">
            <w:pPr>
              <w:rPr>
                <w:sz w:val="24"/>
                <w:szCs w:val="24"/>
              </w:rPr>
            </w:pPr>
            <w:r w:rsidRPr="0067300D">
              <w:rPr>
                <w:sz w:val="24"/>
                <w:szCs w:val="24"/>
              </w:rPr>
              <w:t> </w:t>
            </w:r>
          </w:p>
        </w:tc>
      </w:tr>
      <w:tr w:rsidR="00734F29" w:rsidRPr="0067300D" w:rsidTr="003511C2">
        <w:trPr>
          <w:trHeight w:val="255"/>
        </w:trPr>
        <w:tc>
          <w:tcPr>
            <w:tcW w:w="4950" w:type="dxa"/>
            <w:tcBorders>
              <w:top w:val="nil"/>
              <w:left w:val="single" w:sz="4" w:space="0" w:color="auto"/>
              <w:bottom w:val="single" w:sz="4" w:space="0" w:color="auto"/>
              <w:right w:val="single" w:sz="4" w:space="0" w:color="auto"/>
            </w:tcBorders>
          </w:tcPr>
          <w:p w:rsidR="00734F29" w:rsidRPr="0067300D" w:rsidRDefault="00734F29" w:rsidP="003511C2">
            <w:pPr>
              <w:rPr>
                <w:b/>
                <w:bCs/>
                <w:sz w:val="24"/>
                <w:szCs w:val="24"/>
              </w:rPr>
            </w:pPr>
            <w:r w:rsidRPr="0067300D">
              <w:rPr>
                <w:b/>
                <w:bCs/>
                <w:sz w:val="24"/>
                <w:szCs w:val="24"/>
              </w:rPr>
              <w:t>Nedaňové príjmy (200)</w:t>
            </w:r>
            <w:r w:rsidRPr="0067300D">
              <w:rPr>
                <w:b/>
                <w:bCs/>
                <w:sz w:val="24"/>
                <w:szCs w:val="24"/>
                <w:vertAlign w:val="superscript"/>
              </w:rPr>
              <w:t>1</w:t>
            </w:r>
          </w:p>
        </w:tc>
        <w:tc>
          <w:tcPr>
            <w:tcW w:w="1500" w:type="dxa"/>
            <w:tcBorders>
              <w:top w:val="nil"/>
              <w:left w:val="nil"/>
              <w:bottom w:val="single" w:sz="4" w:space="0" w:color="auto"/>
              <w:right w:val="single" w:sz="4" w:space="0" w:color="auto"/>
            </w:tcBorders>
          </w:tcPr>
          <w:p w:rsidR="00734F29" w:rsidRPr="0067300D" w:rsidRDefault="00734F29" w:rsidP="003511C2">
            <w:pPr>
              <w:jc w:val="center"/>
              <w:rPr>
                <w:b/>
                <w:bCs/>
                <w:sz w:val="24"/>
                <w:szCs w:val="24"/>
              </w:rPr>
            </w:pPr>
          </w:p>
        </w:tc>
        <w:tc>
          <w:tcPr>
            <w:tcW w:w="1500" w:type="dxa"/>
            <w:tcBorders>
              <w:top w:val="nil"/>
              <w:left w:val="nil"/>
              <w:bottom w:val="single" w:sz="4" w:space="0" w:color="auto"/>
              <w:right w:val="single" w:sz="4" w:space="0" w:color="auto"/>
            </w:tcBorders>
          </w:tcPr>
          <w:p w:rsidR="00734F29" w:rsidRPr="0067300D" w:rsidRDefault="00734F29" w:rsidP="003511C2">
            <w:pPr>
              <w:jc w:val="center"/>
              <w:rPr>
                <w:b/>
                <w:bCs/>
                <w:sz w:val="24"/>
                <w:szCs w:val="24"/>
              </w:rPr>
            </w:pPr>
          </w:p>
        </w:tc>
        <w:tc>
          <w:tcPr>
            <w:tcW w:w="1500" w:type="dxa"/>
            <w:tcBorders>
              <w:top w:val="nil"/>
              <w:left w:val="nil"/>
              <w:bottom w:val="single" w:sz="4" w:space="0" w:color="auto"/>
              <w:right w:val="single" w:sz="4" w:space="0" w:color="auto"/>
            </w:tcBorders>
          </w:tcPr>
          <w:p w:rsidR="00734F29" w:rsidRPr="0067300D" w:rsidRDefault="00734F29" w:rsidP="003511C2">
            <w:pPr>
              <w:jc w:val="center"/>
              <w:rPr>
                <w:b/>
                <w:bCs/>
                <w:sz w:val="24"/>
                <w:szCs w:val="24"/>
              </w:rPr>
            </w:pPr>
          </w:p>
        </w:tc>
        <w:tc>
          <w:tcPr>
            <w:tcW w:w="1500" w:type="dxa"/>
            <w:tcBorders>
              <w:top w:val="nil"/>
              <w:left w:val="nil"/>
              <w:bottom w:val="single" w:sz="4" w:space="0" w:color="auto"/>
              <w:right w:val="single" w:sz="4" w:space="0" w:color="auto"/>
            </w:tcBorders>
          </w:tcPr>
          <w:p w:rsidR="00734F29" w:rsidRPr="0067300D" w:rsidRDefault="00734F29" w:rsidP="003511C2">
            <w:pPr>
              <w:jc w:val="center"/>
              <w:rPr>
                <w:b/>
                <w:bCs/>
                <w:sz w:val="24"/>
                <w:szCs w:val="24"/>
              </w:rPr>
            </w:pPr>
          </w:p>
        </w:tc>
        <w:tc>
          <w:tcPr>
            <w:tcW w:w="3000" w:type="dxa"/>
            <w:tcBorders>
              <w:top w:val="nil"/>
              <w:left w:val="nil"/>
              <w:bottom w:val="single" w:sz="4" w:space="0" w:color="auto"/>
              <w:right w:val="single" w:sz="4" w:space="0" w:color="auto"/>
            </w:tcBorders>
            <w:noWrap/>
            <w:vAlign w:val="bottom"/>
          </w:tcPr>
          <w:p w:rsidR="00734F29" w:rsidRPr="0067300D" w:rsidRDefault="00734F29" w:rsidP="003511C2">
            <w:pPr>
              <w:rPr>
                <w:sz w:val="24"/>
                <w:szCs w:val="24"/>
              </w:rPr>
            </w:pPr>
            <w:r w:rsidRPr="0067300D">
              <w:rPr>
                <w:sz w:val="24"/>
                <w:szCs w:val="24"/>
              </w:rPr>
              <w:t> </w:t>
            </w:r>
          </w:p>
        </w:tc>
      </w:tr>
      <w:tr w:rsidR="00734F29" w:rsidRPr="0067300D" w:rsidTr="003511C2">
        <w:trPr>
          <w:trHeight w:val="255"/>
        </w:trPr>
        <w:tc>
          <w:tcPr>
            <w:tcW w:w="4950" w:type="dxa"/>
            <w:tcBorders>
              <w:top w:val="nil"/>
              <w:left w:val="single" w:sz="4" w:space="0" w:color="auto"/>
              <w:bottom w:val="single" w:sz="4" w:space="0" w:color="auto"/>
              <w:right w:val="single" w:sz="4" w:space="0" w:color="auto"/>
            </w:tcBorders>
          </w:tcPr>
          <w:p w:rsidR="00734F29" w:rsidRPr="0067300D" w:rsidRDefault="00734F29" w:rsidP="003511C2">
            <w:pPr>
              <w:rPr>
                <w:b/>
                <w:bCs/>
                <w:sz w:val="24"/>
                <w:szCs w:val="24"/>
              </w:rPr>
            </w:pPr>
            <w:r w:rsidRPr="0067300D">
              <w:rPr>
                <w:b/>
                <w:bCs/>
                <w:sz w:val="24"/>
                <w:szCs w:val="24"/>
              </w:rPr>
              <w:t>Granty a transfery (300)</w:t>
            </w:r>
            <w:r w:rsidRPr="0067300D">
              <w:rPr>
                <w:b/>
                <w:bCs/>
                <w:sz w:val="24"/>
                <w:szCs w:val="24"/>
                <w:vertAlign w:val="superscript"/>
              </w:rPr>
              <w:t>1</w:t>
            </w:r>
          </w:p>
        </w:tc>
        <w:tc>
          <w:tcPr>
            <w:tcW w:w="1500" w:type="dxa"/>
            <w:tcBorders>
              <w:top w:val="nil"/>
              <w:left w:val="nil"/>
              <w:bottom w:val="single" w:sz="4" w:space="0" w:color="auto"/>
              <w:right w:val="single" w:sz="4" w:space="0" w:color="auto"/>
            </w:tcBorders>
          </w:tcPr>
          <w:p w:rsidR="00734F29" w:rsidRPr="0067300D" w:rsidRDefault="00734F29" w:rsidP="003511C2">
            <w:pPr>
              <w:jc w:val="center"/>
              <w:rPr>
                <w:b/>
                <w:bCs/>
                <w:sz w:val="24"/>
                <w:szCs w:val="24"/>
              </w:rPr>
            </w:pPr>
          </w:p>
        </w:tc>
        <w:tc>
          <w:tcPr>
            <w:tcW w:w="1500" w:type="dxa"/>
            <w:tcBorders>
              <w:top w:val="nil"/>
              <w:left w:val="nil"/>
              <w:bottom w:val="single" w:sz="4" w:space="0" w:color="auto"/>
              <w:right w:val="single" w:sz="4" w:space="0" w:color="auto"/>
            </w:tcBorders>
          </w:tcPr>
          <w:p w:rsidR="00734F29" w:rsidRPr="0067300D" w:rsidRDefault="00734F29" w:rsidP="003511C2">
            <w:pPr>
              <w:jc w:val="center"/>
              <w:rPr>
                <w:b/>
                <w:bCs/>
                <w:sz w:val="24"/>
                <w:szCs w:val="24"/>
              </w:rPr>
            </w:pPr>
          </w:p>
        </w:tc>
        <w:tc>
          <w:tcPr>
            <w:tcW w:w="1500" w:type="dxa"/>
            <w:tcBorders>
              <w:top w:val="nil"/>
              <w:left w:val="nil"/>
              <w:bottom w:val="single" w:sz="4" w:space="0" w:color="auto"/>
              <w:right w:val="single" w:sz="4" w:space="0" w:color="auto"/>
            </w:tcBorders>
          </w:tcPr>
          <w:p w:rsidR="00734F29" w:rsidRPr="0067300D" w:rsidRDefault="00734F29" w:rsidP="003511C2">
            <w:pPr>
              <w:jc w:val="center"/>
              <w:rPr>
                <w:b/>
                <w:bCs/>
                <w:sz w:val="24"/>
                <w:szCs w:val="24"/>
              </w:rPr>
            </w:pPr>
          </w:p>
        </w:tc>
        <w:tc>
          <w:tcPr>
            <w:tcW w:w="1500" w:type="dxa"/>
            <w:tcBorders>
              <w:top w:val="nil"/>
              <w:left w:val="nil"/>
              <w:bottom w:val="single" w:sz="4" w:space="0" w:color="auto"/>
              <w:right w:val="single" w:sz="4" w:space="0" w:color="auto"/>
            </w:tcBorders>
          </w:tcPr>
          <w:p w:rsidR="00734F29" w:rsidRPr="0067300D" w:rsidRDefault="00734F29" w:rsidP="003511C2">
            <w:pPr>
              <w:jc w:val="center"/>
              <w:rPr>
                <w:b/>
                <w:bCs/>
                <w:sz w:val="24"/>
                <w:szCs w:val="24"/>
              </w:rPr>
            </w:pPr>
          </w:p>
        </w:tc>
        <w:tc>
          <w:tcPr>
            <w:tcW w:w="3000" w:type="dxa"/>
            <w:tcBorders>
              <w:top w:val="nil"/>
              <w:left w:val="nil"/>
              <w:bottom w:val="single" w:sz="4" w:space="0" w:color="auto"/>
              <w:right w:val="single" w:sz="4" w:space="0" w:color="auto"/>
            </w:tcBorders>
            <w:noWrap/>
            <w:vAlign w:val="bottom"/>
          </w:tcPr>
          <w:p w:rsidR="00734F29" w:rsidRPr="0067300D" w:rsidRDefault="00734F29" w:rsidP="003511C2">
            <w:pPr>
              <w:rPr>
                <w:sz w:val="24"/>
                <w:szCs w:val="24"/>
              </w:rPr>
            </w:pPr>
            <w:r w:rsidRPr="0067300D">
              <w:rPr>
                <w:sz w:val="24"/>
                <w:szCs w:val="24"/>
              </w:rPr>
              <w:t> </w:t>
            </w:r>
          </w:p>
        </w:tc>
      </w:tr>
      <w:tr w:rsidR="00734F29" w:rsidRPr="0067300D" w:rsidTr="003511C2">
        <w:trPr>
          <w:trHeight w:val="255"/>
        </w:trPr>
        <w:tc>
          <w:tcPr>
            <w:tcW w:w="4950" w:type="dxa"/>
            <w:tcBorders>
              <w:top w:val="nil"/>
              <w:left w:val="single" w:sz="4" w:space="0" w:color="auto"/>
              <w:bottom w:val="single" w:sz="4" w:space="0" w:color="auto"/>
              <w:right w:val="single" w:sz="4" w:space="0" w:color="auto"/>
            </w:tcBorders>
          </w:tcPr>
          <w:p w:rsidR="00734F29" w:rsidRPr="0067300D" w:rsidRDefault="00734F29" w:rsidP="003511C2">
            <w:pPr>
              <w:rPr>
                <w:b/>
                <w:bCs/>
                <w:sz w:val="24"/>
                <w:szCs w:val="24"/>
              </w:rPr>
            </w:pPr>
            <w:r w:rsidRPr="0067300D">
              <w:rPr>
                <w:b/>
                <w:bCs/>
                <w:sz w:val="24"/>
                <w:szCs w:val="24"/>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734F29" w:rsidRPr="0067300D" w:rsidRDefault="00734F29" w:rsidP="003511C2">
            <w:pPr>
              <w:jc w:val="center"/>
              <w:rPr>
                <w:b/>
                <w:bCs/>
                <w:sz w:val="24"/>
                <w:szCs w:val="24"/>
              </w:rPr>
            </w:pPr>
            <w:r w:rsidRPr="0067300D">
              <w:rPr>
                <w:b/>
                <w:bCs/>
                <w:sz w:val="24"/>
                <w:szCs w:val="24"/>
              </w:rPr>
              <w:t> </w:t>
            </w:r>
          </w:p>
        </w:tc>
        <w:tc>
          <w:tcPr>
            <w:tcW w:w="1500" w:type="dxa"/>
            <w:tcBorders>
              <w:top w:val="nil"/>
              <w:left w:val="nil"/>
              <w:bottom w:val="single" w:sz="4" w:space="0" w:color="auto"/>
              <w:right w:val="single" w:sz="4" w:space="0" w:color="auto"/>
            </w:tcBorders>
            <w:shd w:val="clear" w:color="auto" w:fill="FFFF99"/>
          </w:tcPr>
          <w:p w:rsidR="00734F29" w:rsidRPr="0067300D" w:rsidRDefault="00734F29" w:rsidP="003511C2">
            <w:pPr>
              <w:jc w:val="center"/>
              <w:rPr>
                <w:b/>
                <w:bCs/>
                <w:sz w:val="24"/>
                <w:szCs w:val="24"/>
              </w:rPr>
            </w:pPr>
          </w:p>
        </w:tc>
        <w:tc>
          <w:tcPr>
            <w:tcW w:w="1500" w:type="dxa"/>
            <w:tcBorders>
              <w:top w:val="nil"/>
              <w:left w:val="nil"/>
              <w:bottom w:val="single" w:sz="4" w:space="0" w:color="auto"/>
              <w:right w:val="single" w:sz="4" w:space="0" w:color="auto"/>
            </w:tcBorders>
            <w:shd w:val="clear" w:color="auto" w:fill="FFFF99"/>
          </w:tcPr>
          <w:p w:rsidR="00734F29" w:rsidRPr="0067300D" w:rsidRDefault="00734F29" w:rsidP="003511C2">
            <w:pPr>
              <w:jc w:val="center"/>
              <w:rPr>
                <w:b/>
                <w:bCs/>
                <w:sz w:val="24"/>
                <w:szCs w:val="24"/>
              </w:rPr>
            </w:pPr>
          </w:p>
        </w:tc>
        <w:tc>
          <w:tcPr>
            <w:tcW w:w="1500" w:type="dxa"/>
            <w:tcBorders>
              <w:top w:val="nil"/>
              <w:left w:val="nil"/>
              <w:bottom w:val="single" w:sz="4" w:space="0" w:color="auto"/>
              <w:right w:val="single" w:sz="4" w:space="0" w:color="auto"/>
            </w:tcBorders>
            <w:shd w:val="clear" w:color="auto" w:fill="FFFF99"/>
          </w:tcPr>
          <w:p w:rsidR="00734F29" w:rsidRPr="0067300D" w:rsidRDefault="00734F29" w:rsidP="003511C2">
            <w:pPr>
              <w:jc w:val="center"/>
              <w:rPr>
                <w:b/>
                <w:bCs/>
                <w:sz w:val="24"/>
                <w:szCs w:val="24"/>
              </w:rPr>
            </w:pPr>
          </w:p>
        </w:tc>
        <w:tc>
          <w:tcPr>
            <w:tcW w:w="3000" w:type="dxa"/>
            <w:tcBorders>
              <w:top w:val="nil"/>
              <w:left w:val="nil"/>
              <w:bottom w:val="single" w:sz="4" w:space="0" w:color="auto"/>
              <w:right w:val="single" w:sz="4" w:space="0" w:color="auto"/>
            </w:tcBorders>
            <w:noWrap/>
            <w:vAlign w:val="bottom"/>
          </w:tcPr>
          <w:p w:rsidR="00734F29" w:rsidRPr="0067300D" w:rsidRDefault="00734F29" w:rsidP="003511C2">
            <w:pPr>
              <w:rPr>
                <w:sz w:val="24"/>
                <w:szCs w:val="24"/>
              </w:rPr>
            </w:pPr>
            <w:r w:rsidRPr="0067300D">
              <w:rPr>
                <w:sz w:val="24"/>
                <w:szCs w:val="24"/>
              </w:rPr>
              <w:t> </w:t>
            </w:r>
          </w:p>
        </w:tc>
      </w:tr>
      <w:tr w:rsidR="00734F29" w:rsidRPr="0067300D" w:rsidTr="003511C2">
        <w:trPr>
          <w:trHeight w:val="255"/>
        </w:trPr>
        <w:tc>
          <w:tcPr>
            <w:tcW w:w="4950" w:type="dxa"/>
            <w:tcBorders>
              <w:top w:val="nil"/>
              <w:left w:val="single" w:sz="4" w:space="0" w:color="auto"/>
              <w:bottom w:val="single" w:sz="4" w:space="0" w:color="auto"/>
              <w:right w:val="single" w:sz="4" w:space="0" w:color="auto"/>
            </w:tcBorders>
          </w:tcPr>
          <w:p w:rsidR="00734F29" w:rsidRPr="0067300D" w:rsidRDefault="00734F29" w:rsidP="003511C2">
            <w:pPr>
              <w:rPr>
                <w:b/>
                <w:bCs/>
                <w:sz w:val="24"/>
                <w:szCs w:val="24"/>
              </w:rPr>
            </w:pPr>
            <w:r w:rsidRPr="0067300D">
              <w:rPr>
                <w:b/>
                <w:bCs/>
                <w:sz w:val="24"/>
                <w:szCs w:val="24"/>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734F29" w:rsidRPr="0067300D" w:rsidRDefault="00734F29" w:rsidP="003511C2">
            <w:pPr>
              <w:jc w:val="center"/>
              <w:rPr>
                <w:b/>
                <w:bCs/>
                <w:sz w:val="24"/>
                <w:szCs w:val="24"/>
              </w:rPr>
            </w:pPr>
            <w:r w:rsidRPr="0067300D">
              <w:rPr>
                <w:b/>
                <w:bCs/>
                <w:sz w:val="24"/>
                <w:szCs w:val="24"/>
              </w:rPr>
              <w:t> </w:t>
            </w:r>
          </w:p>
        </w:tc>
        <w:tc>
          <w:tcPr>
            <w:tcW w:w="1500" w:type="dxa"/>
            <w:tcBorders>
              <w:top w:val="nil"/>
              <w:left w:val="nil"/>
              <w:bottom w:val="single" w:sz="4" w:space="0" w:color="auto"/>
              <w:right w:val="single" w:sz="4" w:space="0" w:color="auto"/>
            </w:tcBorders>
            <w:shd w:val="clear" w:color="auto" w:fill="FFFF99"/>
          </w:tcPr>
          <w:p w:rsidR="00734F29" w:rsidRPr="0067300D" w:rsidRDefault="00734F29" w:rsidP="003511C2">
            <w:pPr>
              <w:jc w:val="center"/>
              <w:rPr>
                <w:b/>
                <w:bCs/>
                <w:sz w:val="24"/>
                <w:szCs w:val="24"/>
              </w:rPr>
            </w:pPr>
          </w:p>
        </w:tc>
        <w:tc>
          <w:tcPr>
            <w:tcW w:w="1500" w:type="dxa"/>
            <w:tcBorders>
              <w:top w:val="nil"/>
              <w:left w:val="nil"/>
              <w:bottom w:val="single" w:sz="4" w:space="0" w:color="auto"/>
              <w:right w:val="single" w:sz="4" w:space="0" w:color="auto"/>
            </w:tcBorders>
            <w:shd w:val="clear" w:color="auto" w:fill="FFFF99"/>
          </w:tcPr>
          <w:p w:rsidR="00734F29" w:rsidRPr="0067300D" w:rsidRDefault="00734F29" w:rsidP="003511C2">
            <w:pPr>
              <w:jc w:val="center"/>
              <w:rPr>
                <w:b/>
                <w:bCs/>
                <w:sz w:val="24"/>
                <w:szCs w:val="24"/>
              </w:rPr>
            </w:pPr>
          </w:p>
        </w:tc>
        <w:tc>
          <w:tcPr>
            <w:tcW w:w="1500" w:type="dxa"/>
            <w:tcBorders>
              <w:top w:val="nil"/>
              <w:left w:val="nil"/>
              <w:bottom w:val="single" w:sz="4" w:space="0" w:color="auto"/>
              <w:right w:val="single" w:sz="4" w:space="0" w:color="auto"/>
            </w:tcBorders>
            <w:shd w:val="clear" w:color="auto" w:fill="FFFF99"/>
          </w:tcPr>
          <w:p w:rsidR="00734F29" w:rsidRPr="0067300D" w:rsidRDefault="00734F29" w:rsidP="003511C2">
            <w:pPr>
              <w:jc w:val="center"/>
              <w:rPr>
                <w:b/>
                <w:bCs/>
                <w:sz w:val="24"/>
                <w:szCs w:val="24"/>
              </w:rPr>
            </w:pPr>
          </w:p>
        </w:tc>
        <w:tc>
          <w:tcPr>
            <w:tcW w:w="3000" w:type="dxa"/>
            <w:tcBorders>
              <w:top w:val="nil"/>
              <w:left w:val="nil"/>
              <w:bottom w:val="single" w:sz="4" w:space="0" w:color="auto"/>
              <w:right w:val="single" w:sz="4" w:space="0" w:color="auto"/>
            </w:tcBorders>
            <w:noWrap/>
            <w:vAlign w:val="bottom"/>
          </w:tcPr>
          <w:p w:rsidR="00734F29" w:rsidRPr="0067300D" w:rsidRDefault="00734F29" w:rsidP="003511C2">
            <w:pPr>
              <w:rPr>
                <w:sz w:val="24"/>
                <w:szCs w:val="24"/>
              </w:rPr>
            </w:pPr>
            <w:r w:rsidRPr="0067300D">
              <w:rPr>
                <w:sz w:val="24"/>
                <w:szCs w:val="24"/>
              </w:rPr>
              <w:t> </w:t>
            </w:r>
          </w:p>
        </w:tc>
      </w:tr>
      <w:tr w:rsidR="00734F29" w:rsidRPr="0067300D" w:rsidTr="003511C2">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734F29" w:rsidRPr="0067300D" w:rsidRDefault="00734F29" w:rsidP="003511C2">
            <w:pPr>
              <w:rPr>
                <w:b/>
                <w:bCs/>
                <w:sz w:val="24"/>
                <w:szCs w:val="24"/>
              </w:rPr>
            </w:pPr>
            <w:r w:rsidRPr="0067300D">
              <w:rPr>
                <w:b/>
                <w:bCs/>
                <w:sz w:val="24"/>
                <w:szCs w:val="24"/>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734F29" w:rsidRPr="0067300D" w:rsidRDefault="00734F29" w:rsidP="003511C2">
            <w:pPr>
              <w:jc w:val="center"/>
              <w:rPr>
                <w:b/>
                <w:bCs/>
                <w:sz w:val="24"/>
                <w:szCs w:val="24"/>
              </w:rPr>
            </w:pPr>
            <w:r w:rsidRPr="0067300D">
              <w:rPr>
                <w:b/>
                <w:bCs/>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34F29" w:rsidRPr="0067300D" w:rsidRDefault="00734F29" w:rsidP="003511C2">
            <w:pPr>
              <w:jc w:val="center"/>
              <w:rPr>
                <w:sz w:val="24"/>
                <w:szCs w:val="24"/>
              </w:rPr>
            </w:pPr>
            <w:r w:rsidRPr="0067300D">
              <w:rPr>
                <w:b/>
                <w:bCs/>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34F29" w:rsidRPr="0067300D" w:rsidRDefault="00734F29" w:rsidP="003511C2">
            <w:pPr>
              <w:jc w:val="center"/>
              <w:rPr>
                <w:sz w:val="24"/>
                <w:szCs w:val="24"/>
              </w:rPr>
            </w:pPr>
            <w:r w:rsidRPr="0067300D">
              <w:rPr>
                <w:b/>
                <w:bCs/>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34F29" w:rsidRPr="0067300D" w:rsidRDefault="00734F29" w:rsidP="003511C2">
            <w:pPr>
              <w:jc w:val="center"/>
              <w:rPr>
                <w:sz w:val="24"/>
                <w:szCs w:val="24"/>
              </w:rPr>
            </w:pPr>
            <w:r w:rsidRPr="0067300D">
              <w:rPr>
                <w:b/>
                <w:bCs/>
                <w:sz w:val="24"/>
                <w:szCs w:val="24"/>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734F29" w:rsidRPr="0067300D" w:rsidRDefault="00734F29" w:rsidP="003511C2">
            <w:pPr>
              <w:rPr>
                <w:sz w:val="24"/>
                <w:szCs w:val="24"/>
              </w:rPr>
            </w:pPr>
            <w:r w:rsidRPr="0067300D">
              <w:rPr>
                <w:sz w:val="24"/>
                <w:szCs w:val="24"/>
              </w:rPr>
              <w:t> </w:t>
            </w:r>
          </w:p>
        </w:tc>
      </w:tr>
    </w:tbl>
    <w:p w:rsidR="00734F29" w:rsidRPr="0067300D" w:rsidRDefault="00734F29" w:rsidP="00734F29">
      <w:pPr>
        <w:tabs>
          <w:tab w:val="num" w:pos="1080"/>
        </w:tabs>
        <w:jc w:val="both"/>
        <w:rPr>
          <w:bCs/>
          <w:sz w:val="24"/>
          <w:szCs w:val="24"/>
        </w:rPr>
      </w:pPr>
      <w:r w:rsidRPr="0067300D">
        <w:rPr>
          <w:bCs/>
          <w:sz w:val="24"/>
          <w:szCs w:val="24"/>
        </w:rPr>
        <w:t>1 –  príjmy rozpísať až do položiek platnej ekonomickej klasifikácie</w:t>
      </w:r>
    </w:p>
    <w:p w:rsidR="00734F29" w:rsidRPr="0067300D" w:rsidRDefault="00734F29" w:rsidP="00734F29">
      <w:pPr>
        <w:tabs>
          <w:tab w:val="num" w:pos="1080"/>
        </w:tabs>
        <w:jc w:val="both"/>
        <w:rPr>
          <w:bCs/>
          <w:sz w:val="24"/>
          <w:szCs w:val="24"/>
        </w:rPr>
      </w:pPr>
    </w:p>
    <w:p w:rsidR="00734F29" w:rsidRPr="0067300D" w:rsidRDefault="00734F29" w:rsidP="00734F29">
      <w:pPr>
        <w:tabs>
          <w:tab w:val="num" w:pos="1080"/>
        </w:tabs>
        <w:jc w:val="both"/>
        <w:rPr>
          <w:b/>
          <w:bCs/>
          <w:sz w:val="24"/>
          <w:szCs w:val="24"/>
        </w:rPr>
      </w:pPr>
      <w:r w:rsidRPr="0067300D">
        <w:rPr>
          <w:b/>
          <w:bCs/>
          <w:sz w:val="24"/>
          <w:szCs w:val="24"/>
        </w:rPr>
        <w:t>Poznámka:</w:t>
      </w:r>
    </w:p>
    <w:p w:rsidR="00734F29" w:rsidRPr="0067300D" w:rsidRDefault="00734F29" w:rsidP="00734F29">
      <w:pPr>
        <w:tabs>
          <w:tab w:val="num" w:pos="1080"/>
        </w:tabs>
        <w:jc w:val="both"/>
        <w:rPr>
          <w:bCs/>
          <w:sz w:val="24"/>
          <w:szCs w:val="24"/>
        </w:rPr>
      </w:pPr>
      <w:r w:rsidRPr="0067300D">
        <w:rPr>
          <w:bCs/>
          <w:sz w:val="24"/>
          <w:szCs w:val="24"/>
        </w:rPr>
        <w:t>Ak sa vplyv týka viacerých subjektov verejnej správy, vypĺňa sa samostatná tabuľka za každý subjekt.</w:t>
      </w:r>
    </w:p>
    <w:p w:rsidR="00734F29" w:rsidRPr="0067300D" w:rsidRDefault="00734F29" w:rsidP="00734F29">
      <w:pPr>
        <w:tabs>
          <w:tab w:val="num" w:pos="1080"/>
        </w:tabs>
        <w:ind w:right="-578"/>
        <w:jc w:val="right"/>
        <w:rPr>
          <w:bCs/>
          <w:sz w:val="24"/>
          <w:szCs w:val="24"/>
        </w:rPr>
      </w:pPr>
    </w:p>
    <w:p w:rsidR="00734F29" w:rsidRPr="0067300D" w:rsidRDefault="00734F29" w:rsidP="00734F29">
      <w:pPr>
        <w:tabs>
          <w:tab w:val="num" w:pos="1080"/>
        </w:tabs>
        <w:ind w:right="-578"/>
        <w:jc w:val="right"/>
        <w:rPr>
          <w:bCs/>
          <w:sz w:val="24"/>
          <w:szCs w:val="24"/>
        </w:rPr>
      </w:pPr>
    </w:p>
    <w:p w:rsidR="00734F29" w:rsidRPr="0067300D" w:rsidRDefault="00734F29" w:rsidP="00734F29">
      <w:pPr>
        <w:tabs>
          <w:tab w:val="num" w:pos="1080"/>
        </w:tabs>
        <w:ind w:right="-578"/>
        <w:jc w:val="right"/>
        <w:rPr>
          <w:bCs/>
          <w:sz w:val="24"/>
          <w:szCs w:val="24"/>
        </w:rPr>
      </w:pPr>
    </w:p>
    <w:p w:rsidR="00734F29" w:rsidRPr="0067300D" w:rsidRDefault="00734F29" w:rsidP="00734F29">
      <w:pPr>
        <w:tabs>
          <w:tab w:val="num" w:pos="1080"/>
        </w:tabs>
        <w:ind w:right="-578"/>
        <w:jc w:val="right"/>
        <w:rPr>
          <w:bCs/>
          <w:sz w:val="24"/>
          <w:szCs w:val="24"/>
        </w:rPr>
      </w:pPr>
    </w:p>
    <w:p w:rsidR="00734F29" w:rsidRPr="0067300D" w:rsidRDefault="00734F29" w:rsidP="00734F29">
      <w:pPr>
        <w:tabs>
          <w:tab w:val="num" w:pos="1080"/>
        </w:tabs>
        <w:ind w:right="-578"/>
        <w:jc w:val="right"/>
        <w:rPr>
          <w:bCs/>
          <w:sz w:val="24"/>
          <w:szCs w:val="24"/>
        </w:rPr>
      </w:pPr>
    </w:p>
    <w:p w:rsidR="00734F29" w:rsidRPr="0067300D" w:rsidRDefault="00734F29" w:rsidP="00734F29">
      <w:pPr>
        <w:tabs>
          <w:tab w:val="num" w:pos="1080"/>
        </w:tabs>
        <w:ind w:right="-578"/>
        <w:jc w:val="right"/>
        <w:rPr>
          <w:bCs/>
          <w:sz w:val="24"/>
          <w:szCs w:val="24"/>
        </w:rPr>
      </w:pPr>
    </w:p>
    <w:p w:rsidR="00734F29" w:rsidRPr="0067300D" w:rsidRDefault="00734F29" w:rsidP="00734F29">
      <w:pPr>
        <w:tabs>
          <w:tab w:val="num" w:pos="1080"/>
        </w:tabs>
        <w:ind w:right="-578"/>
        <w:jc w:val="right"/>
        <w:rPr>
          <w:bCs/>
          <w:sz w:val="24"/>
          <w:szCs w:val="24"/>
        </w:rPr>
      </w:pPr>
    </w:p>
    <w:p w:rsidR="00734F29" w:rsidRPr="0067300D" w:rsidRDefault="00734F29" w:rsidP="00734F29">
      <w:pPr>
        <w:tabs>
          <w:tab w:val="num" w:pos="1080"/>
        </w:tabs>
        <w:ind w:right="-578"/>
        <w:jc w:val="right"/>
        <w:rPr>
          <w:bCs/>
          <w:sz w:val="24"/>
          <w:szCs w:val="24"/>
        </w:rPr>
      </w:pPr>
    </w:p>
    <w:p w:rsidR="00734F29" w:rsidRPr="0067300D" w:rsidRDefault="00734F29" w:rsidP="00734F29">
      <w:pPr>
        <w:tabs>
          <w:tab w:val="num" w:pos="1080"/>
        </w:tabs>
        <w:ind w:right="-578"/>
        <w:jc w:val="right"/>
        <w:rPr>
          <w:bCs/>
          <w:sz w:val="24"/>
          <w:szCs w:val="24"/>
        </w:rPr>
      </w:pPr>
    </w:p>
    <w:p w:rsidR="00734F29" w:rsidRPr="0067300D" w:rsidRDefault="00734F29" w:rsidP="00734F29">
      <w:pPr>
        <w:tabs>
          <w:tab w:val="num" w:pos="1080"/>
        </w:tabs>
        <w:ind w:right="-578"/>
        <w:jc w:val="right"/>
        <w:rPr>
          <w:bCs/>
          <w:sz w:val="24"/>
          <w:szCs w:val="24"/>
        </w:rPr>
      </w:pPr>
    </w:p>
    <w:p w:rsidR="00734F29" w:rsidRPr="0067300D" w:rsidRDefault="00734F29" w:rsidP="00734F29">
      <w:pPr>
        <w:tabs>
          <w:tab w:val="num" w:pos="1080"/>
        </w:tabs>
        <w:ind w:right="-578"/>
        <w:jc w:val="right"/>
        <w:rPr>
          <w:bCs/>
          <w:sz w:val="24"/>
          <w:szCs w:val="24"/>
        </w:rPr>
      </w:pPr>
    </w:p>
    <w:p w:rsidR="00734F29" w:rsidRPr="0067300D" w:rsidRDefault="00734F29" w:rsidP="00734F29">
      <w:pPr>
        <w:tabs>
          <w:tab w:val="num" w:pos="1080"/>
        </w:tabs>
        <w:ind w:right="-578"/>
        <w:jc w:val="right"/>
        <w:rPr>
          <w:bCs/>
          <w:sz w:val="24"/>
          <w:szCs w:val="24"/>
        </w:rPr>
      </w:pPr>
    </w:p>
    <w:p w:rsidR="00734F29" w:rsidRPr="0067300D" w:rsidRDefault="00734F29" w:rsidP="00734F29">
      <w:pPr>
        <w:tabs>
          <w:tab w:val="num" w:pos="1080"/>
        </w:tabs>
        <w:ind w:right="-578"/>
        <w:jc w:val="right"/>
        <w:rPr>
          <w:bCs/>
          <w:sz w:val="24"/>
          <w:szCs w:val="24"/>
        </w:rPr>
      </w:pPr>
    </w:p>
    <w:p w:rsidR="00734F29" w:rsidRPr="0067300D" w:rsidRDefault="00734F29" w:rsidP="00734F29">
      <w:pPr>
        <w:tabs>
          <w:tab w:val="num" w:pos="1080"/>
        </w:tabs>
        <w:ind w:right="-578"/>
        <w:jc w:val="right"/>
        <w:rPr>
          <w:bCs/>
          <w:sz w:val="24"/>
          <w:szCs w:val="24"/>
        </w:rPr>
      </w:pPr>
    </w:p>
    <w:p w:rsidR="00734F29" w:rsidRPr="0067300D" w:rsidRDefault="00734F29" w:rsidP="00734F29">
      <w:pPr>
        <w:tabs>
          <w:tab w:val="num" w:pos="1080"/>
        </w:tabs>
        <w:ind w:right="-578"/>
        <w:jc w:val="right"/>
        <w:rPr>
          <w:bCs/>
          <w:sz w:val="24"/>
          <w:szCs w:val="24"/>
        </w:rPr>
      </w:pPr>
    </w:p>
    <w:p w:rsidR="00734F29" w:rsidRPr="0067300D" w:rsidRDefault="00734F29" w:rsidP="00734F29">
      <w:pPr>
        <w:tabs>
          <w:tab w:val="num" w:pos="1080"/>
        </w:tabs>
        <w:ind w:right="-578"/>
        <w:jc w:val="right"/>
        <w:rPr>
          <w:bCs/>
          <w:sz w:val="24"/>
          <w:szCs w:val="24"/>
        </w:rPr>
      </w:pPr>
    </w:p>
    <w:p w:rsidR="00734F29" w:rsidRPr="0067300D" w:rsidRDefault="00734F29" w:rsidP="00734F29">
      <w:pPr>
        <w:tabs>
          <w:tab w:val="num" w:pos="1080"/>
        </w:tabs>
        <w:ind w:right="-578"/>
        <w:jc w:val="right"/>
        <w:rPr>
          <w:bCs/>
          <w:sz w:val="24"/>
          <w:szCs w:val="24"/>
        </w:rPr>
      </w:pPr>
    </w:p>
    <w:p w:rsidR="00734F29" w:rsidRPr="0067300D" w:rsidRDefault="00734F29" w:rsidP="00734F29">
      <w:pPr>
        <w:tabs>
          <w:tab w:val="num" w:pos="1080"/>
        </w:tabs>
        <w:ind w:right="-578"/>
        <w:jc w:val="right"/>
        <w:rPr>
          <w:bCs/>
          <w:sz w:val="24"/>
          <w:szCs w:val="24"/>
        </w:rPr>
      </w:pPr>
    </w:p>
    <w:p w:rsidR="00734F29" w:rsidRPr="0067300D" w:rsidRDefault="00734F29" w:rsidP="00734F29">
      <w:pPr>
        <w:tabs>
          <w:tab w:val="num" w:pos="1080"/>
        </w:tabs>
        <w:ind w:right="-578"/>
        <w:jc w:val="right"/>
        <w:rPr>
          <w:bCs/>
          <w:sz w:val="24"/>
          <w:szCs w:val="24"/>
        </w:rPr>
      </w:pPr>
    </w:p>
    <w:p w:rsidR="00734F29" w:rsidRPr="0067300D" w:rsidRDefault="00734F29" w:rsidP="00734F29">
      <w:pPr>
        <w:tabs>
          <w:tab w:val="num" w:pos="1080"/>
        </w:tabs>
        <w:ind w:right="-32"/>
        <w:jc w:val="right"/>
        <w:rPr>
          <w:bCs/>
          <w:sz w:val="24"/>
          <w:szCs w:val="24"/>
        </w:rPr>
      </w:pPr>
      <w:r w:rsidRPr="0067300D">
        <w:rPr>
          <w:bCs/>
          <w:sz w:val="24"/>
          <w:szCs w:val="24"/>
        </w:rPr>
        <w:t xml:space="preserve">Tabuľka č. 4 </w:t>
      </w:r>
    </w:p>
    <w:p w:rsidR="00734F29" w:rsidRPr="0067300D" w:rsidRDefault="00734F29" w:rsidP="00734F29">
      <w:pPr>
        <w:tabs>
          <w:tab w:val="num" w:pos="1080"/>
        </w:tabs>
        <w:jc w:val="both"/>
        <w:rPr>
          <w:bCs/>
          <w:sz w:val="24"/>
          <w:szCs w:val="24"/>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34F29" w:rsidRPr="0067300D" w:rsidTr="003511C2">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34F29" w:rsidRPr="0067300D" w:rsidRDefault="00734F29" w:rsidP="003511C2">
            <w:pPr>
              <w:jc w:val="center"/>
              <w:rPr>
                <w:b/>
                <w:bCs/>
                <w:sz w:val="24"/>
                <w:szCs w:val="24"/>
              </w:rPr>
            </w:pPr>
            <w:r w:rsidRPr="0067300D">
              <w:rPr>
                <w:b/>
                <w:bCs/>
                <w:sz w:val="24"/>
                <w:szCs w:val="24"/>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34F29" w:rsidRPr="0067300D" w:rsidRDefault="00734F29" w:rsidP="003511C2">
            <w:pPr>
              <w:jc w:val="center"/>
              <w:rPr>
                <w:b/>
                <w:bCs/>
                <w:sz w:val="24"/>
                <w:szCs w:val="24"/>
              </w:rPr>
            </w:pPr>
            <w:r w:rsidRPr="0067300D">
              <w:rPr>
                <w:b/>
                <w:bCs/>
                <w:sz w:val="24"/>
                <w:szCs w:val="24"/>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34F29" w:rsidRPr="0067300D" w:rsidRDefault="00734F29" w:rsidP="003511C2">
            <w:pPr>
              <w:jc w:val="center"/>
              <w:rPr>
                <w:b/>
                <w:bCs/>
                <w:sz w:val="24"/>
                <w:szCs w:val="24"/>
              </w:rPr>
            </w:pPr>
            <w:r w:rsidRPr="0067300D">
              <w:rPr>
                <w:b/>
                <w:bCs/>
                <w:sz w:val="24"/>
                <w:szCs w:val="24"/>
              </w:rPr>
              <w:t>poznámka</w:t>
            </w:r>
          </w:p>
        </w:tc>
      </w:tr>
      <w:tr w:rsidR="00734F29" w:rsidRPr="0067300D" w:rsidTr="003511C2">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34F29" w:rsidRPr="0067300D" w:rsidRDefault="00734F29" w:rsidP="003511C2">
            <w:pPr>
              <w:rPr>
                <w:b/>
                <w:bCs/>
                <w:color w:val="FFFFFF"/>
                <w:sz w:val="24"/>
                <w:szCs w:val="24"/>
              </w:rPr>
            </w:pPr>
          </w:p>
        </w:tc>
        <w:tc>
          <w:tcPr>
            <w:tcW w:w="1540" w:type="dxa"/>
            <w:tcBorders>
              <w:top w:val="nil"/>
              <w:left w:val="nil"/>
              <w:bottom w:val="single" w:sz="4" w:space="0" w:color="auto"/>
              <w:right w:val="single" w:sz="4" w:space="0" w:color="auto"/>
            </w:tcBorders>
            <w:shd w:val="clear" w:color="auto" w:fill="BFBFBF" w:themeFill="background1" w:themeFillShade="BF"/>
          </w:tcPr>
          <w:p w:rsidR="00734F29" w:rsidRPr="0067300D" w:rsidRDefault="00734F29" w:rsidP="003511C2">
            <w:pPr>
              <w:jc w:val="center"/>
              <w:rPr>
                <w:b/>
                <w:bCs/>
                <w:sz w:val="24"/>
                <w:szCs w:val="24"/>
              </w:rPr>
            </w:pPr>
            <w:r w:rsidRPr="0067300D">
              <w:rPr>
                <w:b/>
                <w:bCs/>
                <w:sz w:val="24"/>
                <w:szCs w:val="24"/>
              </w:rPr>
              <w:t>2019</w:t>
            </w:r>
          </w:p>
        </w:tc>
        <w:tc>
          <w:tcPr>
            <w:tcW w:w="1540" w:type="dxa"/>
            <w:tcBorders>
              <w:top w:val="nil"/>
              <w:left w:val="nil"/>
              <w:bottom w:val="single" w:sz="4" w:space="0" w:color="auto"/>
              <w:right w:val="single" w:sz="4" w:space="0" w:color="auto"/>
            </w:tcBorders>
            <w:shd w:val="clear" w:color="auto" w:fill="BFBFBF" w:themeFill="background1" w:themeFillShade="BF"/>
          </w:tcPr>
          <w:p w:rsidR="00734F29" w:rsidRPr="0067300D" w:rsidRDefault="00734F29" w:rsidP="003511C2">
            <w:pPr>
              <w:jc w:val="center"/>
              <w:rPr>
                <w:b/>
                <w:bCs/>
                <w:sz w:val="24"/>
                <w:szCs w:val="24"/>
              </w:rPr>
            </w:pPr>
            <w:r w:rsidRPr="0067300D">
              <w:rPr>
                <w:b/>
                <w:bCs/>
                <w:sz w:val="24"/>
                <w:szCs w:val="24"/>
              </w:rPr>
              <w:t>2020</w:t>
            </w:r>
          </w:p>
        </w:tc>
        <w:tc>
          <w:tcPr>
            <w:tcW w:w="1540" w:type="dxa"/>
            <w:tcBorders>
              <w:top w:val="nil"/>
              <w:left w:val="nil"/>
              <w:bottom w:val="single" w:sz="4" w:space="0" w:color="auto"/>
              <w:right w:val="single" w:sz="4" w:space="0" w:color="auto"/>
            </w:tcBorders>
            <w:shd w:val="clear" w:color="auto" w:fill="BFBFBF" w:themeFill="background1" w:themeFillShade="BF"/>
          </w:tcPr>
          <w:p w:rsidR="00734F29" w:rsidRPr="0067300D" w:rsidRDefault="00734F29" w:rsidP="003511C2">
            <w:pPr>
              <w:jc w:val="center"/>
              <w:rPr>
                <w:b/>
                <w:bCs/>
                <w:sz w:val="24"/>
                <w:szCs w:val="24"/>
              </w:rPr>
            </w:pPr>
            <w:r w:rsidRPr="0067300D">
              <w:rPr>
                <w:b/>
                <w:bCs/>
                <w:sz w:val="24"/>
                <w:szCs w:val="24"/>
              </w:rPr>
              <w:t>2021</w:t>
            </w:r>
          </w:p>
        </w:tc>
        <w:tc>
          <w:tcPr>
            <w:tcW w:w="1540" w:type="dxa"/>
            <w:tcBorders>
              <w:top w:val="nil"/>
              <w:left w:val="nil"/>
              <w:bottom w:val="single" w:sz="4" w:space="0" w:color="auto"/>
              <w:right w:val="single" w:sz="4" w:space="0" w:color="auto"/>
            </w:tcBorders>
            <w:shd w:val="clear" w:color="auto" w:fill="BFBFBF" w:themeFill="background1" w:themeFillShade="BF"/>
          </w:tcPr>
          <w:p w:rsidR="00734F29" w:rsidRPr="0067300D" w:rsidRDefault="00734F29" w:rsidP="003511C2">
            <w:pPr>
              <w:jc w:val="center"/>
              <w:rPr>
                <w:b/>
                <w:bCs/>
                <w:sz w:val="24"/>
                <w:szCs w:val="24"/>
              </w:rPr>
            </w:pPr>
            <w:r w:rsidRPr="0067300D">
              <w:rPr>
                <w:b/>
                <w:bCs/>
                <w:sz w:val="24"/>
                <w:szCs w:val="24"/>
              </w:rPr>
              <w:t>2022</w:t>
            </w:r>
          </w:p>
        </w:tc>
        <w:tc>
          <w:tcPr>
            <w:tcW w:w="2220" w:type="dxa"/>
            <w:vMerge/>
            <w:tcBorders>
              <w:top w:val="single" w:sz="4" w:space="0" w:color="auto"/>
              <w:left w:val="single" w:sz="4" w:space="0" w:color="auto"/>
              <w:bottom w:val="single" w:sz="4" w:space="0" w:color="auto"/>
              <w:right w:val="single" w:sz="4" w:space="0" w:color="auto"/>
            </w:tcBorders>
            <w:vAlign w:val="center"/>
          </w:tcPr>
          <w:p w:rsidR="00734F29" w:rsidRPr="0067300D" w:rsidRDefault="00734F29" w:rsidP="003511C2">
            <w:pPr>
              <w:rPr>
                <w:b/>
                <w:bCs/>
                <w:color w:val="FFFFFF"/>
                <w:sz w:val="24"/>
                <w:szCs w:val="24"/>
              </w:rPr>
            </w:pPr>
          </w:p>
        </w:tc>
      </w:tr>
      <w:tr w:rsidR="00734F29" w:rsidRPr="0067300D" w:rsidTr="003511C2">
        <w:trPr>
          <w:trHeight w:val="255"/>
        </w:trPr>
        <w:tc>
          <w:tcPr>
            <w:tcW w:w="7070" w:type="dxa"/>
            <w:tcBorders>
              <w:top w:val="nil"/>
              <w:left w:val="single" w:sz="4" w:space="0" w:color="auto"/>
              <w:bottom w:val="single" w:sz="4" w:space="0" w:color="auto"/>
              <w:right w:val="single" w:sz="4" w:space="0" w:color="auto"/>
            </w:tcBorders>
          </w:tcPr>
          <w:p w:rsidR="00734F29" w:rsidRPr="0067300D" w:rsidRDefault="00734F29" w:rsidP="003511C2">
            <w:pPr>
              <w:rPr>
                <w:b/>
                <w:bCs/>
                <w:sz w:val="24"/>
                <w:szCs w:val="24"/>
              </w:rPr>
            </w:pPr>
            <w:r w:rsidRPr="0067300D">
              <w:rPr>
                <w:b/>
                <w:bCs/>
                <w:sz w:val="24"/>
                <w:szCs w:val="24"/>
              </w:rPr>
              <w:t>Bežné výdavky (600)</w:t>
            </w:r>
          </w:p>
        </w:tc>
        <w:tc>
          <w:tcPr>
            <w:tcW w:w="1540" w:type="dxa"/>
            <w:tcBorders>
              <w:top w:val="nil"/>
              <w:left w:val="nil"/>
              <w:bottom w:val="single" w:sz="4" w:space="0" w:color="auto"/>
              <w:right w:val="single" w:sz="4" w:space="0" w:color="auto"/>
            </w:tcBorders>
          </w:tcPr>
          <w:p w:rsidR="00734F29" w:rsidRPr="0067300D" w:rsidRDefault="00734F29" w:rsidP="003511C2">
            <w:pPr>
              <w:jc w:val="center"/>
              <w:rPr>
                <w:b/>
                <w:bCs/>
                <w:sz w:val="24"/>
                <w:szCs w:val="24"/>
              </w:rPr>
            </w:pPr>
          </w:p>
        </w:tc>
        <w:tc>
          <w:tcPr>
            <w:tcW w:w="1540" w:type="dxa"/>
            <w:tcBorders>
              <w:top w:val="nil"/>
              <w:left w:val="nil"/>
              <w:bottom w:val="single" w:sz="4" w:space="0" w:color="auto"/>
              <w:right w:val="single" w:sz="4" w:space="0" w:color="auto"/>
            </w:tcBorders>
          </w:tcPr>
          <w:p w:rsidR="00734F29" w:rsidRPr="0067300D" w:rsidRDefault="00734F29" w:rsidP="003511C2">
            <w:pPr>
              <w:jc w:val="center"/>
              <w:rPr>
                <w:b/>
                <w:bCs/>
                <w:sz w:val="24"/>
                <w:szCs w:val="24"/>
              </w:rPr>
            </w:pPr>
          </w:p>
        </w:tc>
        <w:tc>
          <w:tcPr>
            <w:tcW w:w="1540" w:type="dxa"/>
            <w:tcBorders>
              <w:top w:val="nil"/>
              <w:left w:val="nil"/>
              <w:bottom w:val="single" w:sz="4" w:space="0" w:color="auto"/>
              <w:right w:val="single" w:sz="4" w:space="0" w:color="auto"/>
            </w:tcBorders>
          </w:tcPr>
          <w:p w:rsidR="00734F29" w:rsidRPr="0067300D" w:rsidRDefault="00734F29" w:rsidP="003511C2">
            <w:pPr>
              <w:jc w:val="center"/>
              <w:rPr>
                <w:b/>
                <w:bCs/>
                <w:sz w:val="24"/>
                <w:szCs w:val="24"/>
              </w:rPr>
            </w:pPr>
          </w:p>
        </w:tc>
        <w:tc>
          <w:tcPr>
            <w:tcW w:w="1540" w:type="dxa"/>
            <w:tcBorders>
              <w:top w:val="nil"/>
              <w:left w:val="nil"/>
              <w:bottom w:val="single" w:sz="4" w:space="0" w:color="auto"/>
              <w:right w:val="single" w:sz="4" w:space="0" w:color="auto"/>
            </w:tcBorders>
          </w:tcPr>
          <w:p w:rsidR="00734F29" w:rsidRPr="0067300D" w:rsidRDefault="00734F29" w:rsidP="003511C2">
            <w:pPr>
              <w:jc w:val="center"/>
              <w:rPr>
                <w:b/>
                <w:bCs/>
                <w:sz w:val="24"/>
                <w:szCs w:val="24"/>
              </w:rPr>
            </w:pPr>
          </w:p>
        </w:tc>
        <w:tc>
          <w:tcPr>
            <w:tcW w:w="2220" w:type="dxa"/>
            <w:tcBorders>
              <w:top w:val="nil"/>
              <w:left w:val="nil"/>
              <w:bottom w:val="single" w:sz="4" w:space="0" w:color="auto"/>
              <w:right w:val="single" w:sz="4" w:space="0" w:color="auto"/>
            </w:tcBorders>
            <w:noWrap/>
            <w:vAlign w:val="bottom"/>
          </w:tcPr>
          <w:p w:rsidR="00734F29" w:rsidRPr="0067300D" w:rsidRDefault="00734F29" w:rsidP="003511C2">
            <w:pPr>
              <w:rPr>
                <w:sz w:val="24"/>
                <w:szCs w:val="24"/>
              </w:rPr>
            </w:pPr>
            <w:r w:rsidRPr="0067300D">
              <w:rPr>
                <w:sz w:val="24"/>
                <w:szCs w:val="24"/>
              </w:rPr>
              <w:t> </w:t>
            </w:r>
          </w:p>
        </w:tc>
      </w:tr>
      <w:tr w:rsidR="00734F29" w:rsidRPr="0067300D" w:rsidTr="003511C2">
        <w:trPr>
          <w:trHeight w:val="255"/>
        </w:trPr>
        <w:tc>
          <w:tcPr>
            <w:tcW w:w="7070" w:type="dxa"/>
            <w:tcBorders>
              <w:top w:val="nil"/>
              <w:left w:val="single" w:sz="4" w:space="0" w:color="auto"/>
              <w:bottom w:val="single" w:sz="4" w:space="0" w:color="auto"/>
              <w:right w:val="single" w:sz="4" w:space="0" w:color="auto"/>
            </w:tcBorders>
          </w:tcPr>
          <w:p w:rsidR="00734F29" w:rsidRPr="0067300D" w:rsidRDefault="00734F29" w:rsidP="003511C2">
            <w:pPr>
              <w:rPr>
                <w:sz w:val="24"/>
                <w:szCs w:val="24"/>
              </w:rPr>
            </w:pPr>
            <w:r w:rsidRPr="0067300D">
              <w:rPr>
                <w:sz w:val="24"/>
                <w:szCs w:val="24"/>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734F29" w:rsidRPr="0067300D" w:rsidRDefault="00734F29" w:rsidP="003511C2">
            <w:pPr>
              <w:jc w:val="center"/>
              <w:rPr>
                <w:sz w:val="24"/>
                <w:szCs w:val="24"/>
              </w:rPr>
            </w:pPr>
          </w:p>
        </w:tc>
        <w:tc>
          <w:tcPr>
            <w:tcW w:w="1540" w:type="dxa"/>
            <w:tcBorders>
              <w:top w:val="nil"/>
              <w:left w:val="nil"/>
              <w:bottom w:val="single" w:sz="4" w:space="0" w:color="auto"/>
              <w:right w:val="single" w:sz="4" w:space="0" w:color="auto"/>
            </w:tcBorders>
          </w:tcPr>
          <w:p w:rsidR="00734F29" w:rsidRPr="0067300D" w:rsidRDefault="00734F29" w:rsidP="003511C2">
            <w:pPr>
              <w:jc w:val="center"/>
              <w:rPr>
                <w:sz w:val="24"/>
                <w:szCs w:val="24"/>
              </w:rPr>
            </w:pPr>
          </w:p>
        </w:tc>
        <w:tc>
          <w:tcPr>
            <w:tcW w:w="1540" w:type="dxa"/>
            <w:tcBorders>
              <w:top w:val="nil"/>
              <w:left w:val="nil"/>
              <w:bottom w:val="single" w:sz="4" w:space="0" w:color="auto"/>
              <w:right w:val="single" w:sz="4" w:space="0" w:color="auto"/>
            </w:tcBorders>
          </w:tcPr>
          <w:p w:rsidR="00734F29" w:rsidRPr="0067300D" w:rsidRDefault="00734F29" w:rsidP="003511C2">
            <w:pPr>
              <w:jc w:val="center"/>
              <w:rPr>
                <w:sz w:val="24"/>
                <w:szCs w:val="24"/>
              </w:rPr>
            </w:pPr>
          </w:p>
        </w:tc>
        <w:tc>
          <w:tcPr>
            <w:tcW w:w="1540" w:type="dxa"/>
            <w:tcBorders>
              <w:top w:val="nil"/>
              <w:left w:val="nil"/>
              <w:bottom w:val="single" w:sz="4" w:space="0" w:color="auto"/>
              <w:right w:val="single" w:sz="4" w:space="0" w:color="auto"/>
            </w:tcBorders>
          </w:tcPr>
          <w:p w:rsidR="00734F29" w:rsidRPr="0067300D" w:rsidRDefault="00734F29" w:rsidP="003511C2">
            <w:pPr>
              <w:jc w:val="center"/>
              <w:rPr>
                <w:sz w:val="24"/>
                <w:szCs w:val="24"/>
              </w:rPr>
            </w:pPr>
          </w:p>
        </w:tc>
        <w:tc>
          <w:tcPr>
            <w:tcW w:w="2220" w:type="dxa"/>
            <w:tcBorders>
              <w:top w:val="nil"/>
              <w:left w:val="nil"/>
              <w:bottom w:val="single" w:sz="4" w:space="0" w:color="auto"/>
              <w:right w:val="single" w:sz="4" w:space="0" w:color="auto"/>
            </w:tcBorders>
            <w:noWrap/>
            <w:vAlign w:val="bottom"/>
          </w:tcPr>
          <w:p w:rsidR="00734F29" w:rsidRPr="0067300D" w:rsidRDefault="00734F29" w:rsidP="003511C2">
            <w:pPr>
              <w:rPr>
                <w:sz w:val="24"/>
                <w:szCs w:val="24"/>
              </w:rPr>
            </w:pPr>
            <w:r w:rsidRPr="0067300D">
              <w:rPr>
                <w:sz w:val="24"/>
                <w:szCs w:val="24"/>
              </w:rPr>
              <w:t> </w:t>
            </w:r>
          </w:p>
        </w:tc>
      </w:tr>
      <w:tr w:rsidR="00734F29" w:rsidRPr="0067300D" w:rsidTr="003511C2">
        <w:trPr>
          <w:trHeight w:val="255"/>
        </w:trPr>
        <w:tc>
          <w:tcPr>
            <w:tcW w:w="7070" w:type="dxa"/>
            <w:tcBorders>
              <w:top w:val="nil"/>
              <w:left w:val="single" w:sz="4" w:space="0" w:color="auto"/>
              <w:bottom w:val="single" w:sz="4" w:space="0" w:color="auto"/>
              <w:right w:val="single" w:sz="4" w:space="0" w:color="auto"/>
            </w:tcBorders>
          </w:tcPr>
          <w:p w:rsidR="00734F29" w:rsidRPr="0067300D" w:rsidRDefault="00734F29" w:rsidP="003511C2">
            <w:pPr>
              <w:rPr>
                <w:sz w:val="24"/>
                <w:szCs w:val="24"/>
                <w:vertAlign w:val="superscript"/>
              </w:rPr>
            </w:pPr>
            <w:r w:rsidRPr="0067300D">
              <w:rPr>
                <w:sz w:val="24"/>
                <w:szCs w:val="24"/>
              </w:rPr>
              <w:t xml:space="preserve">  Poistné a príspevok do poisťovní (620)</w:t>
            </w:r>
          </w:p>
        </w:tc>
        <w:tc>
          <w:tcPr>
            <w:tcW w:w="1540" w:type="dxa"/>
            <w:tcBorders>
              <w:top w:val="nil"/>
              <w:left w:val="nil"/>
              <w:bottom w:val="single" w:sz="4" w:space="0" w:color="auto"/>
              <w:right w:val="single" w:sz="4" w:space="0" w:color="auto"/>
            </w:tcBorders>
          </w:tcPr>
          <w:p w:rsidR="00734F29" w:rsidRPr="0067300D" w:rsidRDefault="00734F29" w:rsidP="003511C2">
            <w:pPr>
              <w:jc w:val="center"/>
              <w:rPr>
                <w:sz w:val="24"/>
                <w:szCs w:val="24"/>
              </w:rPr>
            </w:pPr>
          </w:p>
        </w:tc>
        <w:tc>
          <w:tcPr>
            <w:tcW w:w="1540" w:type="dxa"/>
            <w:tcBorders>
              <w:top w:val="nil"/>
              <w:left w:val="nil"/>
              <w:bottom w:val="single" w:sz="4" w:space="0" w:color="auto"/>
              <w:right w:val="single" w:sz="4" w:space="0" w:color="auto"/>
            </w:tcBorders>
          </w:tcPr>
          <w:p w:rsidR="00734F29" w:rsidRPr="0067300D" w:rsidRDefault="00734F29" w:rsidP="003511C2">
            <w:pPr>
              <w:jc w:val="center"/>
              <w:rPr>
                <w:sz w:val="24"/>
                <w:szCs w:val="24"/>
              </w:rPr>
            </w:pPr>
          </w:p>
        </w:tc>
        <w:tc>
          <w:tcPr>
            <w:tcW w:w="1540" w:type="dxa"/>
            <w:tcBorders>
              <w:top w:val="nil"/>
              <w:left w:val="nil"/>
              <w:bottom w:val="single" w:sz="4" w:space="0" w:color="auto"/>
              <w:right w:val="single" w:sz="4" w:space="0" w:color="auto"/>
            </w:tcBorders>
          </w:tcPr>
          <w:p w:rsidR="00734F29" w:rsidRPr="0067300D" w:rsidRDefault="00734F29" w:rsidP="003511C2">
            <w:pPr>
              <w:jc w:val="center"/>
              <w:rPr>
                <w:sz w:val="24"/>
                <w:szCs w:val="24"/>
              </w:rPr>
            </w:pPr>
          </w:p>
        </w:tc>
        <w:tc>
          <w:tcPr>
            <w:tcW w:w="1540" w:type="dxa"/>
            <w:tcBorders>
              <w:top w:val="nil"/>
              <w:left w:val="nil"/>
              <w:bottom w:val="single" w:sz="4" w:space="0" w:color="auto"/>
              <w:right w:val="single" w:sz="4" w:space="0" w:color="auto"/>
            </w:tcBorders>
          </w:tcPr>
          <w:p w:rsidR="00734F29" w:rsidRPr="0067300D" w:rsidRDefault="00734F29" w:rsidP="003511C2">
            <w:pPr>
              <w:jc w:val="center"/>
              <w:rPr>
                <w:sz w:val="24"/>
                <w:szCs w:val="24"/>
              </w:rPr>
            </w:pPr>
          </w:p>
        </w:tc>
        <w:tc>
          <w:tcPr>
            <w:tcW w:w="2220" w:type="dxa"/>
            <w:tcBorders>
              <w:top w:val="nil"/>
              <w:left w:val="nil"/>
              <w:bottom w:val="single" w:sz="4" w:space="0" w:color="auto"/>
              <w:right w:val="single" w:sz="4" w:space="0" w:color="auto"/>
            </w:tcBorders>
            <w:noWrap/>
            <w:vAlign w:val="bottom"/>
          </w:tcPr>
          <w:p w:rsidR="00734F29" w:rsidRPr="0067300D" w:rsidRDefault="00734F29" w:rsidP="003511C2">
            <w:pPr>
              <w:rPr>
                <w:sz w:val="24"/>
                <w:szCs w:val="24"/>
              </w:rPr>
            </w:pPr>
            <w:r w:rsidRPr="0067300D">
              <w:rPr>
                <w:sz w:val="24"/>
                <w:szCs w:val="24"/>
              </w:rPr>
              <w:t> </w:t>
            </w:r>
          </w:p>
        </w:tc>
      </w:tr>
      <w:tr w:rsidR="00734F29" w:rsidRPr="0067300D" w:rsidTr="003511C2">
        <w:trPr>
          <w:trHeight w:val="255"/>
        </w:trPr>
        <w:tc>
          <w:tcPr>
            <w:tcW w:w="7070" w:type="dxa"/>
            <w:tcBorders>
              <w:top w:val="nil"/>
              <w:left w:val="single" w:sz="4" w:space="0" w:color="auto"/>
              <w:bottom w:val="single" w:sz="4" w:space="0" w:color="auto"/>
              <w:right w:val="single" w:sz="4" w:space="0" w:color="auto"/>
            </w:tcBorders>
          </w:tcPr>
          <w:p w:rsidR="00734F29" w:rsidRPr="0067300D" w:rsidRDefault="00734F29" w:rsidP="003511C2">
            <w:pPr>
              <w:rPr>
                <w:sz w:val="24"/>
                <w:szCs w:val="24"/>
                <w:vertAlign w:val="superscript"/>
              </w:rPr>
            </w:pPr>
            <w:r w:rsidRPr="0067300D">
              <w:rPr>
                <w:sz w:val="24"/>
                <w:szCs w:val="24"/>
              </w:rPr>
              <w:t xml:space="preserve">  Tovary a služby (630)</w:t>
            </w:r>
            <w:r w:rsidRPr="0067300D">
              <w:rPr>
                <w:sz w:val="24"/>
                <w:szCs w:val="24"/>
                <w:vertAlign w:val="superscript"/>
              </w:rPr>
              <w:t>2</w:t>
            </w:r>
          </w:p>
        </w:tc>
        <w:tc>
          <w:tcPr>
            <w:tcW w:w="1540" w:type="dxa"/>
            <w:tcBorders>
              <w:top w:val="nil"/>
              <w:left w:val="nil"/>
              <w:bottom w:val="single" w:sz="4" w:space="0" w:color="auto"/>
              <w:right w:val="single" w:sz="4" w:space="0" w:color="auto"/>
            </w:tcBorders>
          </w:tcPr>
          <w:p w:rsidR="00734F29" w:rsidRPr="0067300D" w:rsidRDefault="00734F29" w:rsidP="003511C2">
            <w:pPr>
              <w:jc w:val="center"/>
              <w:rPr>
                <w:sz w:val="24"/>
                <w:szCs w:val="24"/>
              </w:rPr>
            </w:pPr>
          </w:p>
        </w:tc>
        <w:tc>
          <w:tcPr>
            <w:tcW w:w="1540" w:type="dxa"/>
            <w:tcBorders>
              <w:top w:val="nil"/>
              <w:left w:val="nil"/>
              <w:bottom w:val="single" w:sz="4" w:space="0" w:color="auto"/>
              <w:right w:val="single" w:sz="4" w:space="0" w:color="auto"/>
            </w:tcBorders>
          </w:tcPr>
          <w:p w:rsidR="00734F29" w:rsidRPr="0067300D" w:rsidRDefault="00734F29" w:rsidP="003511C2">
            <w:pPr>
              <w:jc w:val="center"/>
              <w:rPr>
                <w:sz w:val="24"/>
                <w:szCs w:val="24"/>
              </w:rPr>
            </w:pPr>
          </w:p>
        </w:tc>
        <w:tc>
          <w:tcPr>
            <w:tcW w:w="1540" w:type="dxa"/>
            <w:tcBorders>
              <w:top w:val="nil"/>
              <w:left w:val="nil"/>
              <w:bottom w:val="single" w:sz="4" w:space="0" w:color="auto"/>
              <w:right w:val="single" w:sz="4" w:space="0" w:color="auto"/>
            </w:tcBorders>
          </w:tcPr>
          <w:p w:rsidR="00734F29" w:rsidRPr="0067300D" w:rsidRDefault="00734F29" w:rsidP="003511C2">
            <w:pPr>
              <w:jc w:val="center"/>
              <w:rPr>
                <w:sz w:val="24"/>
                <w:szCs w:val="24"/>
              </w:rPr>
            </w:pPr>
          </w:p>
        </w:tc>
        <w:tc>
          <w:tcPr>
            <w:tcW w:w="1540" w:type="dxa"/>
            <w:tcBorders>
              <w:top w:val="nil"/>
              <w:left w:val="nil"/>
              <w:bottom w:val="single" w:sz="4" w:space="0" w:color="auto"/>
              <w:right w:val="single" w:sz="4" w:space="0" w:color="auto"/>
            </w:tcBorders>
          </w:tcPr>
          <w:p w:rsidR="00734F29" w:rsidRPr="0067300D" w:rsidRDefault="00734F29" w:rsidP="003511C2">
            <w:pPr>
              <w:jc w:val="center"/>
              <w:rPr>
                <w:sz w:val="24"/>
                <w:szCs w:val="24"/>
              </w:rPr>
            </w:pPr>
          </w:p>
        </w:tc>
        <w:tc>
          <w:tcPr>
            <w:tcW w:w="2220" w:type="dxa"/>
            <w:tcBorders>
              <w:top w:val="nil"/>
              <w:left w:val="nil"/>
              <w:bottom w:val="single" w:sz="4" w:space="0" w:color="auto"/>
              <w:right w:val="single" w:sz="4" w:space="0" w:color="auto"/>
            </w:tcBorders>
            <w:noWrap/>
            <w:vAlign w:val="bottom"/>
          </w:tcPr>
          <w:p w:rsidR="00734F29" w:rsidRPr="0067300D" w:rsidRDefault="00734F29" w:rsidP="003511C2">
            <w:pPr>
              <w:rPr>
                <w:sz w:val="24"/>
                <w:szCs w:val="24"/>
              </w:rPr>
            </w:pPr>
            <w:r w:rsidRPr="0067300D">
              <w:rPr>
                <w:sz w:val="24"/>
                <w:szCs w:val="24"/>
              </w:rPr>
              <w:t> </w:t>
            </w:r>
          </w:p>
        </w:tc>
      </w:tr>
      <w:tr w:rsidR="00734F29" w:rsidRPr="0067300D" w:rsidTr="003511C2">
        <w:trPr>
          <w:trHeight w:val="255"/>
        </w:trPr>
        <w:tc>
          <w:tcPr>
            <w:tcW w:w="7070" w:type="dxa"/>
            <w:tcBorders>
              <w:top w:val="nil"/>
              <w:left w:val="single" w:sz="4" w:space="0" w:color="auto"/>
              <w:bottom w:val="single" w:sz="4" w:space="0" w:color="auto"/>
              <w:right w:val="single" w:sz="4" w:space="0" w:color="auto"/>
            </w:tcBorders>
          </w:tcPr>
          <w:p w:rsidR="00734F29" w:rsidRPr="0067300D" w:rsidRDefault="00734F29" w:rsidP="003511C2">
            <w:pPr>
              <w:rPr>
                <w:sz w:val="24"/>
                <w:szCs w:val="24"/>
              </w:rPr>
            </w:pPr>
            <w:r w:rsidRPr="0067300D">
              <w:rPr>
                <w:sz w:val="24"/>
                <w:szCs w:val="24"/>
              </w:rPr>
              <w:t xml:space="preserve">  Bežné transfery (640)</w:t>
            </w:r>
            <w:r w:rsidRPr="0067300D">
              <w:rPr>
                <w:sz w:val="24"/>
                <w:szCs w:val="24"/>
                <w:vertAlign w:val="superscript"/>
              </w:rPr>
              <w:t>2</w:t>
            </w:r>
          </w:p>
        </w:tc>
        <w:tc>
          <w:tcPr>
            <w:tcW w:w="1540" w:type="dxa"/>
            <w:tcBorders>
              <w:top w:val="nil"/>
              <w:left w:val="nil"/>
              <w:bottom w:val="single" w:sz="4" w:space="0" w:color="auto"/>
              <w:right w:val="single" w:sz="4" w:space="0" w:color="auto"/>
            </w:tcBorders>
          </w:tcPr>
          <w:p w:rsidR="00734F29" w:rsidRPr="0067300D" w:rsidRDefault="00734F29" w:rsidP="003511C2">
            <w:pPr>
              <w:jc w:val="center"/>
              <w:rPr>
                <w:sz w:val="24"/>
                <w:szCs w:val="24"/>
              </w:rPr>
            </w:pPr>
          </w:p>
        </w:tc>
        <w:tc>
          <w:tcPr>
            <w:tcW w:w="1540" w:type="dxa"/>
            <w:tcBorders>
              <w:top w:val="nil"/>
              <w:left w:val="nil"/>
              <w:bottom w:val="single" w:sz="4" w:space="0" w:color="auto"/>
              <w:right w:val="single" w:sz="4" w:space="0" w:color="auto"/>
            </w:tcBorders>
          </w:tcPr>
          <w:p w:rsidR="00734F29" w:rsidRPr="0067300D" w:rsidRDefault="00734F29" w:rsidP="003511C2">
            <w:pPr>
              <w:jc w:val="center"/>
              <w:rPr>
                <w:sz w:val="24"/>
                <w:szCs w:val="24"/>
              </w:rPr>
            </w:pPr>
          </w:p>
        </w:tc>
        <w:tc>
          <w:tcPr>
            <w:tcW w:w="1540" w:type="dxa"/>
            <w:tcBorders>
              <w:top w:val="nil"/>
              <w:left w:val="nil"/>
              <w:bottom w:val="single" w:sz="4" w:space="0" w:color="auto"/>
              <w:right w:val="single" w:sz="4" w:space="0" w:color="auto"/>
            </w:tcBorders>
          </w:tcPr>
          <w:p w:rsidR="00734F29" w:rsidRPr="0067300D" w:rsidRDefault="00734F29" w:rsidP="003511C2">
            <w:pPr>
              <w:jc w:val="center"/>
              <w:rPr>
                <w:sz w:val="24"/>
                <w:szCs w:val="24"/>
              </w:rPr>
            </w:pPr>
          </w:p>
        </w:tc>
        <w:tc>
          <w:tcPr>
            <w:tcW w:w="1540" w:type="dxa"/>
            <w:tcBorders>
              <w:top w:val="nil"/>
              <w:left w:val="nil"/>
              <w:bottom w:val="single" w:sz="4" w:space="0" w:color="auto"/>
              <w:right w:val="single" w:sz="4" w:space="0" w:color="auto"/>
            </w:tcBorders>
          </w:tcPr>
          <w:p w:rsidR="00734F29" w:rsidRPr="0067300D" w:rsidRDefault="00734F29" w:rsidP="003511C2">
            <w:pPr>
              <w:jc w:val="center"/>
              <w:rPr>
                <w:sz w:val="24"/>
                <w:szCs w:val="24"/>
              </w:rPr>
            </w:pPr>
          </w:p>
        </w:tc>
        <w:tc>
          <w:tcPr>
            <w:tcW w:w="2220" w:type="dxa"/>
            <w:tcBorders>
              <w:top w:val="nil"/>
              <w:left w:val="nil"/>
              <w:bottom w:val="single" w:sz="4" w:space="0" w:color="auto"/>
              <w:right w:val="single" w:sz="4" w:space="0" w:color="auto"/>
            </w:tcBorders>
            <w:noWrap/>
            <w:vAlign w:val="bottom"/>
          </w:tcPr>
          <w:p w:rsidR="00734F29" w:rsidRPr="0067300D" w:rsidRDefault="00734F29" w:rsidP="003511C2">
            <w:pPr>
              <w:rPr>
                <w:sz w:val="24"/>
                <w:szCs w:val="24"/>
              </w:rPr>
            </w:pPr>
            <w:r w:rsidRPr="0067300D">
              <w:rPr>
                <w:sz w:val="24"/>
                <w:szCs w:val="24"/>
              </w:rPr>
              <w:t> </w:t>
            </w:r>
          </w:p>
        </w:tc>
      </w:tr>
      <w:tr w:rsidR="00734F29" w:rsidRPr="0067300D" w:rsidTr="003511C2">
        <w:trPr>
          <w:trHeight w:val="255"/>
        </w:trPr>
        <w:tc>
          <w:tcPr>
            <w:tcW w:w="7070" w:type="dxa"/>
            <w:tcBorders>
              <w:top w:val="nil"/>
              <w:left w:val="single" w:sz="4" w:space="0" w:color="auto"/>
              <w:bottom w:val="single" w:sz="4" w:space="0" w:color="auto"/>
              <w:right w:val="single" w:sz="4" w:space="0" w:color="auto"/>
            </w:tcBorders>
            <w:vAlign w:val="center"/>
          </w:tcPr>
          <w:p w:rsidR="00734F29" w:rsidRPr="0067300D" w:rsidRDefault="00734F29" w:rsidP="003511C2">
            <w:pPr>
              <w:rPr>
                <w:sz w:val="24"/>
                <w:szCs w:val="24"/>
              </w:rPr>
            </w:pPr>
            <w:r w:rsidRPr="0067300D">
              <w:rPr>
                <w:sz w:val="24"/>
                <w:szCs w:val="24"/>
              </w:rPr>
              <w:t xml:space="preserve">  Splácanie úrokov a ostatné platby súvisiace s  úverom, pôžičkou, návratnou finančnou výpomocou a finančným prenájmom (650)</w:t>
            </w:r>
            <w:r w:rsidRPr="0067300D">
              <w:rPr>
                <w:sz w:val="24"/>
                <w:szCs w:val="24"/>
                <w:vertAlign w:val="superscript"/>
              </w:rPr>
              <w:t>2</w:t>
            </w:r>
          </w:p>
        </w:tc>
        <w:tc>
          <w:tcPr>
            <w:tcW w:w="1540" w:type="dxa"/>
            <w:tcBorders>
              <w:top w:val="nil"/>
              <w:left w:val="nil"/>
              <w:bottom w:val="single" w:sz="4" w:space="0" w:color="auto"/>
              <w:right w:val="single" w:sz="4" w:space="0" w:color="auto"/>
            </w:tcBorders>
          </w:tcPr>
          <w:p w:rsidR="00734F29" w:rsidRPr="0067300D" w:rsidRDefault="00734F29" w:rsidP="003511C2">
            <w:pPr>
              <w:jc w:val="center"/>
              <w:rPr>
                <w:sz w:val="24"/>
                <w:szCs w:val="24"/>
              </w:rPr>
            </w:pPr>
          </w:p>
        </w:tc>
        <w:tc>
          <w:tcPr>
            <w:tcW w:w="1540" w:type="dxa"/>
            <w:tcBorders>
              <w:top w:val="nil"/>
              <w:left w:val="nil"/>
              <w:bottom w:val="single" w:sz="4" w:space="0" w:color="auto"/>
              <w:right w:val="single" w:sz="4" w:space="0" w:color="auto"/>
            </w:tcBorders>
          </w:tcPr>
          <w:p w:rsidR="00734F29" w:rsidRPr="0067300D" w:rsidRDefault="00734F29" w:rsidP="003511C2">
            <w:pPr>
              <w:jc w:val="center"/>
              <w:rPr>
                <w:sz w:val="24"/>
                <w:szCs w:val="24"/>
              </w:rPr>
            </w:pPr>
          </w:p>
        </w:tc>
        <w:tc>
          <w:tcPr>
            <w:tcW w:w="1540" w:type="dxa"/>
            <w:tcBorders>
              <w:top w:val="nil"/>
              <w:left w:val="nil"/>
              <w:bottom w:val="single" w:sz="4" w:space="0" w:color="auto"/>
              <w:right w:val="single" w:sz="4" w:space="0" w:color="auto"/>
            </w:tcBorders>
          </w:tcPr>
          <w:p w:rsidR="00734F29" w:rsidRPr="0067300D" w:rsidRDefault="00734F29" w:rsidP="003511C2">
            <w:pPr>
              <w:jc w:val="center"/>
              <w:rPr>
                <w:sz w:val="24"/>
                <w:szCs w:val="24"/>
              </w:rPr>
            </w:pPr>
          </w:p>
        </w:tc>
        <w:tc>
          <w:tcPr>
            <w:tcW w:w="1540" w:type="dxa"/>
            <w:tcBorders>
              <w:top w:val="nil"/>
              <w:left w:val="nil"/>
              <w:bottom w:val="single" w:sz="4" w:space="0" w:color="auto"/>
              <w:right w:val="single" w:sz="4" w:space="0" w:color="auto"/>
            </w:tcBorders>
          </w:tcPr>
          <w:p w:rsidR="00734F29" w:rsidRPr="0067300D" w:rsidRDefault="00734F29" w:rsidP="003511C2">
            <w:pPr>
              <w:jc w:val="center"/>
              <w:rPr>
                <w:sz w:val="24"/>
                <w:szCs w:val="24"/>
              </w:rPr>
            </w:pPr>
          </w:p>
        </w:tc>
        <w:tc>
          <w:tcPr>
            <w:tcW w:w="2220" w:type="dxa"/>
            <w:tcBorders>
              <w:top w:val="nil"/>
              <w:left w:val="nil"/>
              <w:bottom w:val="single" w:sz="4" w:space="0" w:color="auto"/>
              <w:right w:val="single" w:sz="4" w:space="0" w:color="auto"/>
            </w:tcBorders>
            <w:noWrap/>
            <w:vAlign w:val="bottom"/>
          </w:tcPr>
          <w:p w:rsidR="00734F29" w:rsidRPr="0067300D" w:rsidRDefault="00734F29" w:rsidP="003511C2">
            <w:pPr>
              <w:rPr>
                <w:sz w:val="24"/>
                <w:szCs w:val="24"/>
              </w:rPr>
            </w:pPr>
          </w:p>
        </w:tc>
      </w:tr>
      <w:tr w:rsidR="00734F29" w:rsidRPr="0067300D" w:rsidTr="003511C2">
        <w:trPr>
          <w:trHeight w:val="255"/>
        </w:trPr>
        <w:tc>
          <w:tcPr>
            <w:tcW w:w="7070" w:type="dxa"/>
            <w:tcBorders>
              <w:top w:val="nil"/>
              <w:left w:val="single" w:sz="4" w:space="0" w:color="auto"/>
              <w:bottom w:val="single" w:sz="4" w:space="0" w:color="auto"/>
              <w:right w:val="single" w:sz="4" w:space="0" w:color="auto"/>
            </w:tcBorders>
          </w:tcPr>
          <w:p w:rsidR="00734F29" w:rsidRPr="0067300D" w:rsidRDefault="00734F29" w:rsidP="003511C2">
            <w:pPr>
              <w:rPr>
                <w:b/>
                <w:bCs/>
                <w:sz w:val="24"/>
                <w:szCs w:val="24"/>
              </w:rPr>
            </w:pPr>
            <w:r w:rsidRPr="0067300D">
              <w:rPr>
                <w:b/>
                <w:bCs/>
                <w:sz w:val="24"/>
                <w:szCs w:val="24"/>
              </w:rPr>
              <w:t>Kapitálové výdavky (700)</w:t>
            </w:r>
          </w:p>
        </w:tc>
        <w:tc>
          <w:tcPr>
            <w:tcW w:w="1540" w:type="dxa"/>
            <w:tcBorders>
              <w:top w:val="nil"/>
              <w:left w:val="nil"/>
              <w:bottom w:val="single" w:sz="4" w:space="0" w:color="auto"/>
              <w:right w:val="single" w:sz="4" w:space="0" w:color="auto"/>
            </w:tcBorders>
          </w:tcPr>
          <w:p w:rsidR="00734F29" w:rsidRPr="00AA1B90" w:rsidRDefault="00AA1B90" w:rsidP="003511C2">
            <w:pPr>
              <w:jc w:val="center"/>
              <w:rPr>
                <w:b/>
                <w:bCs/>
                <w:color w:val="000000" w:themeColor="text1"/>
                <w:sz w:val="24"/>
                <w:szCs w:val="24"/>
              </w:rPr>
            </w:pPr>
            <w:r w:rsidRPr="00AA1B90">
              <w:rPr>
                <w:b/>
                <w:bCs/>
                <w:color w:val="000000" w:themeColor="text1"/>
                <w:sz w:val="24"/>
                <w:szCs w:val="24"/>
              </w:rPr>
              <w:t>1 559 676</w:t>
            </w:r>
          </w:p>
        </w:tc>
        <w:tc>
          <w:tcPr>
            <w:tcW w:w="1540" w:type="dxa"/>
            <w:tcBorders>
              <w:top w:val="nil"/>
              <w:left w:val="nil"/>
              <w:bottom w:val="single" w:sz="4" w:space="0" w:color="auto"/>
              <w:right w:val="single" w:sz="4" w:space="0" w:color="auto"/>
            </w:tcBorders>
          </w:tcPr>
          <w:p w:rsidR="00734F29" w:rsidRPr="0067300D" w:rsidRDefault="00734F29" w:rsidP="003511C2">
            <w:pPr>
              <w:jc w:val="center"/>
              <w:rPr>
                <w:b/>
                <w:bCs/>
                <w:sz w:val="24"/>
                <w:szCs w:val="24"/>
              </w:rPr>
            </w:pPr>
          </w:p>
        </w:tc>
        <w:tc>
          <w:tcPr>
            <w:tcW w:w="1540" w:type="dxa"/>
            <w:tcBorders>
              <w:top w:val="nil"/>
              <w:left w:val="nil"/>
              <w:bottom w:val="single" w:sz="4" w:space="0" w:color="auto"/>
              <w:right w:val="single" w:sz="4" w:space="0" w:color="auto"/>
            </w:tcBorders>
          </w:tcPr>
          <w:p w:rsidR="00734F29" w:rsidRPr="0067300D" w:rsidRDefault="00734F29" w:rsidP="003511C2">
            <w:pPr>
              <w:jc w:val="center"/>
              <w:rPr>
                <w:b/>
                <w:bCs/>
                <w:sz w:val="24"/>
                <w:szCs w:val="24"/>
              </w:rPr>
            </w:pPr>
          </w:p>
        </w:tc>
        <w:tc>
          <w:tcPr>
            <w:tcW w:w="1540" w:type="dxa"/>
            <w:tcBorders>
              <w:top w:val="nil"/>
              <w:left w:val="nil"/>
              <w:bottom w:val="single" w:sz="4" w:space="0" w:color="auto"/>
              <w:right w:val="single" w:sz="4" w:space="0" w:color="auto"/>
            </w:tcBorders>
          </w:tcPr>
          <w:p w:rsidR="00734F29" w:rsidRPr="0067300D" w:rsidRDefault="00734F29" w:rsidP="003511C2">
            <w:pPr>
              <w:jc w:val="center"/>
              <w:rPr>
                <w:b/>
                <w:bCs/>
                <w:sz w:val="24"/>
                <w:szCs w:val="24"/>
              </w:rPr>
            </w:pPr>
          </w:p>
        </w:tc>
        <w:tc>
          <w:tcPr>
            <w:tcW w:w="2220" w:type="dxa"/>
            <w:tcBorders>
              <w:top w:val="nil"/>
              <w:left w:val="nil"/>
              <w:bottom w:val="single" w:sz="4" w:space="0" w:color="auto"/>
              <w:right w:val="single" w:sz="4" w:space="0" w:color="auto"/>
            </w:tcBorders>
            <w:noWrap/>
            <w:vAlign w:val="bottom"/>
          </w:tcPr>
          <w:p w:rsidR="00734F29" w:rsidRPr="0067300D" w:rsidRDefault="00734F29" w:rsidP="003511C2">
            <w:pPr>
              <w:rPr>
                <w:sz w:val="24"/>
                <w:szCs w:val="24"/>
              </w:rPr>
            </w:pPr>
            <w:r w:rsidRPr="0067300D">
              <w:rPr>
                <w:sz w:val="24"/>
                <w:szCs w:val="24"/>
              </w:rPr>
              <w:t> </w:t>
            </w:r>
          </w:p>
        </w:tc>
      </w:tr>
      <w:tr w:rsidR="00734F29" w:rsidRPr="0067300D" w:rsidTr="003511C2">
        <w:trPr>
          <w:trHeight w:val="255"/>
        </w:trPr>
        <w:tc>
          <w:tcPr>
            <w:tcW w:w="7070" w:type="dxa"/>
            <w:tcBorders>
              <w:top w:val="nil"/>
              <w:left w:val="single" w:sz="4" w:space="0" w:color="auto"/>
              <w:bottom w:val="single" w:sz="4" w:space="0" w:color="auto"/>
              <w:right w:val="single" w:sz="4" w:space="0" w:color="auto"/>
            </w:tcBorders>
          </w:tcPr>
          <w:p w:rsidR="00734F29" w:rsidRPr="0067300D" w:rsidRDefault="00734F29" w:rsidP="003511C2">
            <w:pPr>
              <w:rPr>
                <w:sz w:val="24"/>
                <w:szCs w:val="24"/>
                <w:vertAlign w:val="superscript"/>
              </w:rPr>
            </w:pPr>
            <w:r w:rsidRPr="0067300D">
              <w:rPr>
                <w:sz w:val="24"/>
                <w:szCs w:val="24"/>
              </w:rPr>
              <w:t xml:space="preserve">  Obstarávanie kapitálových aktív (718006)</w:t>
            </w:r>
            <w:r w:rsidRPr="0067300D">
              <w:rPr>
                <w:sz w:val="24"/>
                <w:szCs w:val="24"/>
                <w:vertAlign w:val="superscript"/>
              </w:rPr>
              <w:t>2</w:t>
            </w:r>
          </w:p>
        </w:tc>
        <w:tc>
          <w:tcPr>
            <w:tcW w:w="1540" w:type="dxa"/>
            <w:tcBorders>
              <w:top w:val="nil"/>
              <w:left w:val="nil"/>
              <w:bottom w:val="single" w:sz="4" w:space="0" w:color="auto"/>
              <w:right w:val="single" w:sz="4" w:space="0" w:color="auto"/>
            </w:tcBorders>
          </w:tcPr>
          <w:p w:rsidR="00734F29" w:rsidRPr="0067300D" w:rsidRDefault="00AA1B90" w:rsidP="003511C2">
            <w:pPr>
              <w:jc w:val="center"/>
              <w:rPr>
                <w:color w:val="000000" w:themeColor="text1"/>
                <w:sz w:val="24"/>
                <w:szCs w:val="24"/>
              </w:rPr>
            </w:pPr>
            <w:r w:rsidRPr="0067300D">
              <w:rPr>
                <w:bCs/>
                <w:color w:val="000000" w:themeColor="text1"/>
                <w:sz w:val="24"/>
                <w:szCs w:val="24"/>
              </w:rPr>
              <w:t xml:space="preserve">1 </w:t>
            </w:r>
            <w:r>
              <w:rPr>
                <w:bCs/>
                <w:color w:val="000000" w:themeColor="text1"/>
                <w:sz w:val="24"/>
                <w:szCs w:val="24"/>
              </w:rPr>
              <w:t>559</w:t>
            </w:r>
            <w:r w:rsidRPr="0067300D">
              <w:rPr>
                <w:bCs/>
                <w:color w:val="000000" w:themeColor="text1"/>
                <w:sz w:val="24"/>
                <w:szCs w:val="24"/>
              </w:rPr>
              <w:t xml:space="preserve"> </w:t>
            </w:r>
            <w:r>
              <w:rPr>
                <w:bCs/>
                <w:color w:val="000000" w:themeColor="text1"/>
                <w:sz w:val="24"/>
                <w:szCs w:val="24"/>
              </w:rPr>
              <w:t>676</w:t>
            </w:r>
          </w:p>
        </w:tc>
        <w:tc>
          <w:tcPr>
            <w:tcW w:w="1540" w:type="dxa"/>
            <w:tcBorders>
              <w:top w:val="nil"/>
              <w:left w:val="nil"/>
              <w:bottom w:val="single" w:sz="4" w:space="0" w:color="auto"/>
              <w:right w:val="single" w:sz="4" w:space="0" w:color="auto"/>
            </w:tcBorders>
          </w:tcPr>
          <w:p w:rsidR="00734F29" w:rsidRPr="0067300D" w:rsidRDefault="00734F29" w:rsidP="003511C2">
            <w:pPr>
              <w:jc w:val="center"/>
              <w:rPr>
                <w:sz w:val="24"/>
                <w:szCs w:val="24"/>
              </w:rPr>
            </w:pPr>
          </w:p>
        </w:tc>
        <w:tc>
          <w:tcPr>
            <w:tcW w:w="1540" w:type="dxa"/>
            <w:tcBorders>
              <w:top w:val="nil"/>
              <w:left w:val="nil"/>
              <w:bottom w:val="single" w:sz="4" w:space="0" w:color="auto"/>
              <w:right w:val="single" w:sz="4" w:space="0" w:color="auto"/>
            </w:tcBorders>
          </w:tcPr>
          <w:p w:rsidR="00734F29" w:rsidRPr="0067300D" w:rsidRDefault="00734F29" w:rsidP="003511C2">
            <w:pPr>
              <w:jc w:val="center"/>
              <w:rPr>
                <w:sz w:val="24"/>
                <w:szCs w:val="24"/>
              </w:rPr>
            </w:pPr>
          </w:p>
        </w:tc>
        <w:tc>
          <w:tcPr>
            <w:tcW w:w="1540" w:type="dxa"/>
            <w:tcBorders>
              <w:top w:val="nil"/>
              <w:left w:val="nil"/>
              <w:bottom w:val="single" w:sz="4" w:space="0" w:color="auto"/>
              <w:right w:val="single" w:sz="4" w:space="0" w:color="auto"/>
            </w:tcBorders>
          </w:tcPr>
          <w:p w:rsidR="00734F29" w:rsidRPr="0067300D" w:rsidRDefault="00734F29" w:rsidP="003511C2">
            <w:pPr>
              <w:jc w:val="center"/>
              <w:rPr>
                <w:sz w:val="24"/>
                <w:szCs w:val="24"/>
              </w:rPr>
            </w:pPr>
          </w:p>
        </w:tc>
        <w:tc>
          <w:tcPr>
            <w:tcW w:w="2220" w:type="dxa"/>
            <w:tcBorders>
              <w:top w:val="nil"/>
              <w:left w:val="nil"/>
              <w:bottom w:val="single" w:sz="4" w:space="0" w:color="auto"/>
              <w:right w:val="single" w:sz="4" w:space="0" w:color="auto"/>
            </w:tcBorders>
            <w:noWrap/>
            <w:vAlign w:val="bottom"/>
          </w:tcPr>
          <w:p w:rsidR="00734F29" w:rsidRPr="0067300D" w:rsidRDefault="00734F29" w:rsidP="003511C2">
            <w:pPr>
              <w:rPr>
                <w:sz w:val="24"/>
                <w:szCs w:val="24"/>
              </w:rPr>
            </w:pPr>
            <w:r w:rsidRPr="0067300D">
              <w:rPr>
                <w:sz w:val="24"/>
                <w:szCs w:val="24"/>
              </w:rPr>
              <w:t> </w:t>
            </w:r>
          </w:p>
        </w:tc>
      </w:tr>
      <w:tr w:rsidR="00734F29" w:rsidRPr="0067300D" w:rsidTr="003511C2">
        <w:trPr>
          <w:trHeight w:val="255"/>
        </w:trPr>
        <w:tc>
          <w:tcPr>
            <w:tcW w:w="7070" w:type="dxa"/>
            <w:tcBorders>
              <w:top w:val="nil"/>
              <w:left w:val="single" w:sz="4" w:space="0" w:color="auto"/>
              <w:bottom w:val="single" w:sz="4" w:space="0" w:color="auto"/>
              <w:right w:val="single" w:sz="4" w:space="0" w:color="auto"/>
            </w:tcBorders>
          </w:tcPr>
          <w:p w:rsidR="00734F29" w:rsidRPr="0067300D" w:rsidRDefault="00734F29" w:rsidP="003511C2">
            <w:pPr>
              <w:rPr>
                <w:sz w:val="24"/>
                <w:szCs w:val="24"/>
              </w:rPr>
            </w:pPr>
            <w:r w:rsidRPr="0067300D">
              <w:rPr>
                <w:sz w:val="24"/>
                <w:szCs w:val="24"/>
              </w:rPr>
              <w:t xml:space="preserve">  Kapitálové transfery (720)</w:t>
            </w:r>
            <w:r w:rsidRPr="0067300D">
              <w:rPr>
                <w:sz w:val="24"/>
                <w:szCs w:val="24"/>
                <w:vertAlign w:val="superscript"/>
              </w:rPr>
              <w:t>2</w:t>
            </w:r>
          </w:p>
        </w:tc>
        <w:tc>
          <w:tcPr>
            <w:tcW w:w="1540" w:type="dxa"/>
            <w:tcBorders>
              <w:top w:val="nil"/>
              <w:left w:val="nil"/>
              <w:bottom w:val="single" w:sz="4" w:space="0" w:color="auto"/>
              <w:right w:val="single" w:sz="4" w:space="0" w:color="auto"/>
            </w:tcBorders>
          </w:tcPr>
          <w:p w:rsidR="00734F29" w:rsidRPr="0067300D" w:rsidRDefault="00734F29" w:rsidP="003511C2">
            <w:pPr>
              <w:jc w:val="center"/>
              <w:rPr>
                <w:color w:val="000000" w:themeColor="text1"/>
                <w:sz w:val="24"/>
                <w:szCs w:val="24"/>
              </w:rPr>
            </w:pPr>
          </w:p>
        </w:tc>
        <w:tc>
          <w:tcPr>
            <w:tcW w:w="1540" w:type="dxa"/>
            <w:tcBorders>
              <w:top w:val="nil"/>
              <w:left w:val="nil"/>
              <w:bottom w:val="single" w:sz="4" w:space="0" w:color="auto"/>
              <w:right w:val="single" w:sz="4" w:space="0" w:color="auto"/>
            </w:tcBorders>
          </w:tcPr>
          <w:p w:rsidR="00734F29" w:rsidRPr="0067300D" w:rsidRDefault="00734F29" w:rsidP="003511C2">
            <w:pPr>
              <w:jc w:val="center"/>
              <w:rPr>
                <w:sz w:val="24"/>
                <w:szCs w:val="24"/>
              </w:rPr>
            </w:pPr>
          </w:p>
        </w:tc>
        <w:tc>
          <w:tcPr>
            <w:tcW w:w="1540" w:type="dxa"/>
            <w:tcBorders>
              <w:top w:val="nil"/>
              <w:left w:val="nil"/>
              <w:bottom w:val="single" w:sz="4" w:space="0" w:color="auto"/>
              <w:right w:val="single" w:sz="4" w:space="0" w:color="auto"/>
            </w:tcBorders>
          </w:tcPr>
          <w:p w:rsidR="00734F29" w:rsidRPr="0067300D" w:rsidRDefault="00734F29" w:rsidP="003511C2">
            <w:pPr>
              <w:jc w:val="center"/>
              <w:rPr>
                <w:sz w:val="24"/>
                <w:szCs w:val="24"/>
              </w:rPr>
            </w:pPr>
          </w:p>
        </w:tc>
        <w:tc>
          <w:tcPr>
            <w:tcW w:w="1540" w:type="dxa"/>
            <w:tcBorders>
              <w:top w:val="nil"/>
              <w:left w:val="nil"/>
              <w:bottom w:val="single" w:sz="4" w:space="0" w:color="auto"/>
              <w:right w:val="single" w:sz="4" w:space="0" w:color="auto"/>
            </w:tcBorders>
          </w:tcPr>
          <w:p w:rsidR="00734F29" w:rsidRPr="0067300D" w:rsidRDefault="00734F29" w:rsidP="003511C2">
            <w:pPr>
              <w:jc w:val="center"/>
              <w:rPr>
                <w:sz w:val="24"/>
                <w:szCs w:val="24"/>
              </w:rPr>
            </w:pPr>
          </w:p>
        </w:tc>
        <w:tc>
          <w:tcPr>
            <w:tcW w:w="2220" w:type="dxa"/>
            <w:tcBorders>
              <w:top w:val="nil"/>
              <w:left w:val="nil"/>
              <w:bottom w:val="single" w:sz="4" w:space="0" w:color="auto"/>
              <w:right w:val="single" w:sz="4" w:space="0" w:color="auto"/>
            </w:tcBorders>
            <w:noWrap/>
            <w:vAlign w:val="bottom"/>
          </w:tcPr>
          <w:p w:rsidR="00734F29" w:rsidRPr="0067300D" w:rsidRDefault="00734F29" w:rsidP="003511C2">
            <w:pPr>
              <w:rPr>
                <w:sz w:val="24"/>
                <w:szCs w:val="24"/>
              </w:rPr>
            </w:pPr>
            <w:r w:rsidRPr="0067300D">
              <w:rPr>
                <w:sz w:val="24"/>
                <w:szCs w:val="24"/>
              </w:rPr>
              <w:t> </w:t>
            </w:r>
          </w:p>
        </w:tc>
      </w:tr>
      <w:tr w:rsidR="00734F29" w:rsidRPr="0067300D" w:rsidTr="003511C2">
        <w:trPr>
          <w:trHeight w:val="255"/>
        </w:trPr>
        <w:tc>
          <w:tcPr>
            <w:tcW w:w="7070" w:type="dxa"/>
            <w:tcBorders>
              <w:top w:val="nil"/>
              <w:left w:val="single" w:sz="4" w:space="0" w:color="auto"/>
              <w:bottom w:val="single" w:sz="4" w:space="0" w:color="auto"/>
              <w:right w:val="single" w:sz="4" w:space="0" w:color="auto"/>
            </w:tcBorders>
          </w:tcPr>
          <w:p w:rsidR="00734F29" w:rsidRPr="0067300D" w:rsidRDefault="00734F29" w:rsidP="003511C2">
            <w:pPr>
              <w:rPr>
                <w:b/>
                <w:bCs/>
                <w:sz w:val="24"/>
                <w:szCs w:val="24"/>
              </w:rPr>
            </w:pPr>
            <w:r w:rsidRPr="0067300D">
              <w:rPr>
                <w:b/>
                <w:bCs/>
                <w:sz w:val="24"/>
                <w:szCs w:val="24"/>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734F29" w:rsidRPr="0067300D" w:rsidRDefault="00734F29" w:rsidP="003511C2">
            <w:pPr>
              <w:jc w:val="center"/>
              <w:rPr>
                <w:b/>
                <w:bCs/>
                <w:color w:val="000000" w:themeColor="text1"/>
                <w:sz w:val="24"/>
                <w:szCs w:val="24"/>
              </w:rPr>
            </w:pPr>
            <w:r w:rsidRPr="0067300D">
              <w:rPr>
                <w:b/>
                <w:bCs/>
                <w:color w:val="000000" w:themeColor="text1"/>
                <w:sz w:val="24"/>
                <w:szCs w:val="24"/>
              </w:rPr>
              <w:t> </w:t>
            </w:r>
          </w:p>
        </w:tc>
        <w:tc>
          <w:tcPr>
            <w:tcW w:w="1540" w:type="dxa"/>
            <w:tcBorders>
              <w:top w:val="nil"/>
              <w:left w:val="nil"/>
              <w:bottom w:val="single" w:sz="4" w:space="0" w:color="auto"/>
              <w:right w:val="single" w:sz="4" w:space="0" w:color="auto"/>
            </w:tcBorders>
            <w:shd w:val="clear" w:color="auto" w:fill="FFFF99"/>
          </w:tcPr>
          <w:p w:rsidR="00734F29" w:rsidRPr="0067300D" w:rsidRDefault="00734F29" w:rsidP="003511C2">
            <w:pPr>
              <w:jc w:val="center"/>
              <w:rPr>
                <w:b/>
                <w:bCs/>
                <w:sz w:val="24"/>
                <w:szCs w:val="24"/>
              </w:rPr>
            </w:pPr>
            <w:r w:rsidRPr="0067300D">
              <w:rPr>
                <w:b/>
                <w:bCs/>
                <w:sz w:val="24"/>
                <w:szCs w:val="24"/>
              </w:rPr>
              <w:t> </w:t>
            </w:r>
          </w:p>
        </w:tc>
        <w:tc>
          <w:tcPr>
            <w:tcW w:w="1540" w:type="dxa"/>
            <w:tcBorders>
              <w:top w:val="nil"/>
              <w:left w:val="nil"/>
              <w:bottom w:val="single" w:sz="4" w:space="0" w:color="auto"/>
              <w:right w:val="single" w:sz="4" w:space="0" w:color="auto"/>
            </w:tcBorders>
            <w:shd w:val="clear" w:color="auto" w:fill="FFFF99"/>
          </w:tcPr>
          <w:p w:rsidR="00734F29" w:rsidRPr="0067300D" w:rsidRDefault="00734F29" w:rsidP="003511C2">
            <w:pPr>
              <w:jc w:val="center"/>
              <w:rPr>
                <w:b/>
                <w:bCs/>
                <w:sz w:val="24"/>
                <w:szCs w:val="24"/>
              </w:rPr>
            </w:pPr>
            <w:r w:rsidRPr="0067300D">
              <w:rPr>
                <w:b/>
                <w:bCs/>
                <w:sz w:val="24"/>
                <w:szCs w:val="24"/>
              </w:rPr>
              <w:t> </w:t>
            </w:r>
          </w:p>
        </w:tc>
        <w:tc>
          <w:tcPr>
            <w:tcW w:w="1540" w:type="dxa"/>
            <w:tcBorders>
              <w:top w:val="nil"/>
              <w:left w:val="nil"/>
              <w:bottom w:val="single" w:sz="4" w:space="0" w:color="auto"/>
              <w:right w:val="single" w:sz="4" w:space="0" w:color="auto"/>
            </w:tcBorders>
            <w:shd w:val="clear" w:color="auto" w:fill="FFFF99"/>
          </w:tcPr>
          <w:p w:rsidR="00734F29" w:rsidRPr="0067300D" w:rsidRDefault="00734F29" w:rsidP="003511C2">
            <w:pPr>
              <w:jc w:val="center"/>
              <w:rPr>
                <w:b/>
                <w:bCs/>
                <w:sz w:val="24"/>
                <w:szCs w:val="24"/>
              </w:rPr>
            </w:pPr>
            <w:r w:rsidRPr="0067300D">
              <w:rPr>
                <w:b/>
                <w:bCs/>
                <w:sz w:val="24"/>
                <w:szCs w:val="24"/>
              </w:rPr>
              <w:t> </w:t>
            </w:r>
          </w:p>
        </w:tc>
        <w:tc>
          <w:tcPr>
            <w:tcW w:w="2220" w:type="dxa"/>
            <w:tcBorders>
              <w:top w:val="nil"/>
              <w:left w:val="nil"/>
              <w:bottom w:val="single" w:sz="4" w:space="0" w:color="auto"/>
              <w:right w:val="single" w:sz="4" w:space="0" w:color="auto"/>
            </w:tcBorders>
            <w:noWrap/>
            <w:vAlign w:val="bottom"/>
          </w:tcPr>
          <w:p w:rsidR="00734F29" w:rsidRPr="0067300D" w:rsidRDefault="00734F29" w:rsidP="003511C2">
            <w:pPr>
              <w:rPr>
                <w:sz w:val="24"/>
                <w:szCs w:val="24"/>
              </w:rPr>
            </w:pPr>
            <w:r w:rsidRPr="0067300D">
              <w:rPr>
                <w:sz w:val="24"/>
                <w:szCs w:val="24"/>
              </w:rPr>
              <w:t> </w:t>
            </w:r>
          </w:p>
        </w:tc>
      </w:tr>
      <w:tr w:rsidR="00734F29" w:rsidRPr="0067300D" w:rsidTr="003511C2">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4F29" w:rsidRPr="0067300D" w:rsidRDefault="00734F29" w:rsidP="003511C2">
            <w:pPr>
              <w:rPr>
                <w:b/>
                <w:bCs/>
                <w:sz w:val="24"/>
                <w:szCs w:val="24"/>
              </w:rPr>
            </w:pPr>
            <w:r w:rsidRPr="0067300D">
              <w:rPr>
                <w:b/>
                <w:bCs/>
                <w:sz w:val="24"/>
                <w:szCs w:val="24"/>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34F29" w:rsidRPr="00AA1B90" w:rsidRDefault="00AA1B90" w:rsidP="003511C2">
            <w:pPr>
              <w:jc w:val="center"/>
              <w:rPr>
                <w:b/>
                <w:bCs/>
                <w:color w:val="000000" w:themeColor="text1"/>
                <w:sz w:val="24"/>
                <w:szCs w:val="24"/>
              </w:rPr>
            </w:pPr>
            <w:r w:rsidRPr="00AA1B90">
              <w:rPr>
                <w:b/>
                <w:bCs/>
                <w:color w:val="000000" w:themeColor="text1"/>
                <w:sz w:val="24"/>
                <w:szCs w:val="24"/>
              </w:rPr>
              <w:t>1 559 676</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34F29" w:rsidRPr="0067300D" w:rsidRDefault="00734F29" w:rsidP="003511C2">
            <w:pPr>
              <w:jc w:val="center"/>
              <w:rPr>
                <w:b/>
                <w:bCs/>
                <w:sz w:val="24"/>
                <w:szCs w:val="24"/>
              </w:rPr>
            </w:pPr>
            <w:r w:rsidRPr="0067300D">
              <w:rPr>
                <w:b/>
                <w:bCs/>
                <w:sz w:val="24"/>
                <w:szCs w:val="24"/>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34F29" w:rsidRPr="0067300D" w:rsidRDefault="00734F29" w:rsidP="003511C2">
            <w:pPr>
              <w:jc w:val="center"/>
              <w:rPr>
                <w:b/>
                <w:bCs/>
                <w:sz w:val="24"/>
                <w:szCs w:val="24"/>
              </w:rPr>
            </w:pPr>
            <w:r w:rsidRPr="0067300D">
              <w:rPr>
                <w:b/>
                <w:bCs/>
                <w:sz w:val="24"/>
                <w:szCs w:val="24"/>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34F29" w:rsidRPr="0067300D" w:rsidRDefault="00734F29" w:rsidP="003511C2">
            <w:pPr>
              <w:jc w:val="center"/>
              <w:rPr>
                <w:b/>
                <w:bCs/>
                <w:sz w:val="24"/>
                <w:szCs w:val="24"/>
              </w:rPr>
            </w:pPr>
            <w:r w:rsidRPr="0067300D">
              <w:rPr>
                <w:b/>
                <w:bCs/>
                <w:sz w:val="24"/>
                <w:szCs w:val="24"/>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734F29" w:rsidRPr="0067300D" w:rsidRDefault="00734F29" w:rsidP="003511C2">
            <w:pPr>
              <w:rPr>
                <w:sz w:val="24"/>
                <w:szCs w:val="24"/>
              </w:rPr>
            </w:pPr>
            <w:r w:rsidRPr="0067300D">
              <w:rPr>
                <w:sz w:val="24"/>
                <w:szCs w:val="24"/>
              </w:rPr>
              <w:t> </w:t>
            </w:r>
          </w:p>
        </w:tc>
      </w:tr>
    </w:tbl>
    <w:p w:rsidR="00734F29" w:rsidRPr="0067300D" w:rsidRDefault="00734F29" w:rsidP="00734F29">
      <w:pPr>
        <w:tabs>
          <w:tab w:val="num" w:pos="1080"/>
        </w:tabs>
        <w:ind w:left="-900"/>
        <w:jc w:val="both"/>
        <w:rPr>
          <w:bCs/>
          <w:sz w:val="24"/>
          <w:szCs w:val="24"/>
        </w:rPr>
      </w:pPr>
      <w:r w:rsidRPr="0067300D">
        <w:rPr>
          <w:bCs/>
          <w:sz w:val="24"/>
          <w:szCs w:val="24"/>
        </w:rPr>
        <w:t xml:space="preserve">  2 –  výdavky rozpísať až do položiek platnej ekonomickej klasifikácie</w:t>
      </w:r>
    </w:p>
    <w:p w:rsidR="00734F29" w:rsidRPr="0067300D" w:rsidRDefault="00734F29" w:rsidP="00734F29">
      <w:pPr>
        <w:tabs>
          <w:tab w:val="num" w:pos="1080"/>
        </w:tabs>
        <w:ind w:left="-900"/>
        <w:jc w:val="both"/>
        <w:rPr>
          <w:bCs/>
          <w:sz w:val="24"/>
          <w:szCs w:val="24"/>
        </w:rPr>
      </w:pPr>
    </w:p>
    <w:p w:rsidR="00734F29" w:rsidRPr="0067300D" w:rsidRDefault="00734F29" w:rsidP="00734F29">
      <w:pPr>
        <w:tabs>
          <w:tab w:val="num" w:pos="1080"/>
        </w:tabs>
        <w:ind w:left="-900"/>
        <w:jc w:val="both"/>
        <w:rPr>
          <w:b/>
          <w:bCs/>
          <w:sz w:val="24"/>
          <w:szCs w:val="24"/>
        </w:rPr>
      </w:pPr>
      <w:r w:rsidRPr="0067300D">
        <w:rPr>
          <w:b/>
          <w:bCs/>
          <w:sz w:val="24"/>
          <w:szCs w:val="24"/>
        </w:rPr>
        <w:t xml:space="preserve">  Poznámka:</w:t>
      </w:r>
    </w:p>
    <w:p w:rsidR="002607F7" w:rsidRDefault="00734F29" w:rsidP="00734F29">
      <w:r w:rsidRPr="0067300D">
        <w:rPr>
          <w:bCs/>
          <w:sz w:val="24"/>
          <w:szCs w:val="24"/>
        </w:rPr>
        <w:t xml:space="preserve">  Ak sa vplyv týka viacerých subjektov verejnej správy, vypĺňa sa samostatná tabuľka za každý subjekt.</w:t>
      </w:r>
    </w:p>
    <w:sectPr w:rsidR="002607F7" w:rsidSect="00734F2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68F" w:rsidRDefault="00BF268F">
      <w:r>
        <w:separator/>
      </w:r>
    </w:p>
  </w:endnote>
  <w:endnote w:type="continuationSeparator" w:id="0">
    <w:p w:rsidR="00BF268F" w:rsidRDefault="00BF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50" w:rsidRDefault="00734F2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393B50" w:rsidRDefault="00BF268F">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50" w:rsidRDefault="00BF268F">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50" w:rsidRDefault="00734F29">
    <w:pPr>
      <w:pStyle w:val="Pta"/>
      <w:jc w:val="right"/>
    </w:pPr>
    <w:r>
      <w:rPr>
        <w:noProof/>
      </w:rPr>
      <w:fldChar w:fldCharType="begin"/>
    </w:r>
    <w:r>
      <w:rPr>
        <w:noProof/>
      </w:rPr>
      <w:instrText>PAGE   \* MERGEFORMAT</w:instrText>
    </w:r>
    <w:r>
      <w:rPr>
        <w:noProof/>
      </w:rPr>
      <w:fldChar w:fldCharType="separate"/>
    </w:r>
    <w:r>
      <w:rPr>
        <w:noProof/>
      </w:rPr>
      <w:t>0</w:t>
    </w:r>
    <w:r>
      <w:rPr>
        <w:noProof/>
      </w:rPr>
      <w:fldChar w:fldCharType="end"/>
    </w:r>
  </w:p>
  <w:p w:rsidR="00393B50" w:rsidRDefault="00BF268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68F" w:rsidRDefault="00BF268F">
      <w:r>
        <w:separator/>
      </w:r>
    </w:p>
  </w:footnote>
  <w:footnote w:type="continuationSeparator" w:id="0">
    <w:p w:rsidR="00BF268F" w:rsidRDefault="00BF2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50" w:rsidRDefault="00734F29" w:rsidP="008719E2">
    <w:pPr>
      <w:pStyle w:val="Hlavika"/>
      <w:jc w:val="right"/>
      <w:rPr>
        <w:sz w:val="24"/>
        <w:szCs w:val="24"/>
      </w:rPr>
    </w:pPr>
    <w:r>
      <w:rPr>
        <w:sz w:val="24"/>
        <w:szCs w:val="24"/>
      </w:rPr>
      <w:t>Príloha č. 2</w:t>
    </w:r>
  </w:p>
  <w:p w:rsidR="00393B50" w:rsidRPr="00EB59C8" w:rsidRDefault="00BF268F" w:rsidP="008719E2">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50" w:rsidRPr="000A15AE" w:rsidRDefault="00734F29" w:rsidP="008719E2">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9F4801"/>
    <w:multiLevelType w:val="hybridMultilevel"/>
    <w:tmpl w:val="E3C493A2"/>
    <w:lvl w:ilvl="0" w:tplc="2CF4F216">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0A"/>
    <w:rsid w:val="00065050"/>
    <w:rsid w:val="00225A2E"/>
    <w:rsid w:val="002607F7"/>
    <w:rsid w:val="002F5486"/>
    <w:rsid w:val="003B0DB2"/>
    <w:rsid w:val="0053040A"/>
    <w:rsid w:val="005A1D26"/>
    <w:rsid w:val="005B5393"/>
    <w:rsid w:val="00734F29"/>
    <w:rsid w:val="007921C8"/>
    <w:rsid w:val="00A535CA"/>
    <w:rsid w:val="00AA1B90"/>
    <w:rsid w:val="00AF1DAD"/>
    <w:rsid w:val="00BF268F"/>
    <w:rsid w:val="00C577D9"/>
    <w:rsid w:val="00F86F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FD27F-9302-443C-B1D4-DEBD61C1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34F29"/>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34F29"/>
    <w:pPr>
      <w:spacing w:after="200" w:line="276" w:lineRule="auto"/>
      <w:ind w:left="720"/>
      <w:contextualSpacing/>
    </w:pPr>
    <w:rPr>
      <w:rFonts w:asciiTheme="minorHAnsi" w:hAnsiTheme="minorHAnsi"/>
      <w:sz w:val="22"/>
      <w:szCs w:val="22"/>
      <w:lang w:eastAsia="en-US"/>
    </w:rPr>
  </w:style>
  <w:style w:type="paragraph" w:styleId="Pta">
    <w:name w:val="footer"/>
    <w:basedOn w:val="Normlny"/>
    <w:link w:val="PtaChar"/>
    <w:uiPriority w:val="99"/>
    <w:unhideWhenUsed/>
    <w:rsid w:val="00734F29"/>
    <w:pPr>
      <w:tabs>
        <w:tab w:val="center" w:pos="4536"/>
        <w:tab w:val="right" w:pos="9072"/>
      </w:tabs>
    </w:pPr>
  </w:style>
  <w:style w:type="character" w:customStyle="1" w:styleId="PtaChar">
    <w:name w:val="Päta Char"/>
    <w:basedOn w:val="Predvolenpsmoodseku"/>
    <w:link w:val="Pta"/>
    <w:uiPriority w:val="99"/>
    <w:rsid w:val="00734F29"/>
    <w:rPr>
      <w:rFonts w:ascii="Times New Roman" w:eastAsia="Times New Roman" w:hAnsi="Times New Roman" w:cs="Times New Roman"/>
      <w:sz w:val="20"/>
      <w:szCs w:val="20"/>
      <w:lang w:eastAsia="sk-SK"/>
    </w:rPr>
  </w:style>
  <w:style w:type="paragraph" w:styleId="Hlavika">
    <w:name w:val="header"/>
    <w:basedOn w:val="Normlny"/>
    <w:link w:val="HlavikaChar"/>
    <w:uiPriority w:val="99"/>
    <w:unhideWhenUsed/>
    <w:rsid w:val="00734F29"/>
    <w:pPr>
      <w:tabs>
        <w:tab w:val="center" w:pos="4536"/>
        <w:tab w:val="right" w:pos="9072"/>
      </w:tabs>
    </w:pPr>
  </w:style>
  <w:style w:type="character" w:customStyle="1" w:styleId="HlavikaChar">
    <w:name w:val="Hlavička Char"/>
    <w:basedOn w:val="Predvolenpsmoodseku"/>
    <w:link w:val="Hlavika"/>
    <w:uiPriority w:val="99"/>
    <w:rsid w:val="00734F29"/>
    <w:rPr>
      <w:rFonts w:ascii="Times New Roman" w:eastAsia="Times New Roman" w:hAnsi="Times New Roman" w:cs="Times New Roman"/>
      <w:sz w:val="20"/>
      <w:szCs w:val="20"/>
      <w:lang w:eastAsia="sk-SK"/>
    </w:rPr>
  </w:style>
  <w:style w:type="character" w:styleId="Zstupntext">
    <w:name w:val="Placeholder Text"/>
    <w:basedOn w:val="Predvolenpsmoodseku"/>
    <w:uiPriority w:val="99"/>
    <w:semiHidden/>
    <w:rsid w:val="00734F29"/>
    <w:rPr>
      <w:rFonts w:ascii="Times New Roman" w:hAnsi="Times New Roman" w:cs="Times New Roman"/>
      <w:color w:val="808080"/>
    </w:rPr>
  </w:style>
  <w:style w:type="character" w:styleId="slostrany">
    <w:name w:val="page number"/>
    <w:basedOn w:val="Predvolenpsmoodseku"/>
    <w:uiPriority w:val="99"/>
    <w:rsid w:val="00734F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978</Words>
  <Characters>5575</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Miklos Milos</dc:creator>
  <cp:keywords/>
  <dc:description/>
  <cp:lastModifiedBy>Jablonkova Zdenka</cp:lastModifiedBy>
  <cp:revision>2</cp:revision>
  <dcterms:created xsi:type="dcterms:W3CDTF">2019-07-08T06:39:00Z</dcterms:created>
  <dcterms:modified xsi:type="dcterms:W3CDTF">2019-07-08T06:39:00Z</dcterms:modified>
</cp:coreProperties>
</file>