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91" w:rsidRPr="00181470" w:rsidRDefault="00ED6F91" w:rsidP="00B648DC">
      <w:pPr>
        <w:pStyle w:val="Nzov"/>
      </w:pPr>
      <w:r w:rsidRPr="00181470">
        <w:t>DOLOŽKA ZLUČITEĽNOSTI</w:t>
      </w:r>
    </w:p>
    <w:p w:rsidR="00EB633F" w:rsidRPr="00181470" w:rsidRDefault="00EB633F" w:rsidP="00B648DC">
      <w:pPr>
        <w:pStyle w:val="Zkladntext0"/>
        <w:pBdr>
          <w:bottom w:val="single" w:sz="12" w:space="1" w:color="auto"/>
        </w:pBdr>
        <w:jc w:val="center"/>
        <w:rPr>
          <w:b/>
          <w:bCs/>
          <w:szCs w:val="24"/>
        </w:rPr>
      </w:pPr>
    </w:p>
    <w:p w:rsidR="00ED6F91" w:rsidRPr="00181470" w:rsidRDefault="00B550E2" w:rsidP="00B648DC">
      <w:pPr>
        <w:pStyle w:val="Zkladntext0"/>
        <w:pBdr>
          <w:bottom w:val="single" w:sz="12" w:space="1" w:color="auto"/>
        </w:pBdr>
        <w:jc w:val="center"/>
        <w:rPr>
          <w:b/>
          <w:bCs/>
          <w:szCs w:val="24"/>
        </w:rPr>
      </w:pPr>
      <w:r w:rsidRPr="00181470">
        <w:rPr>
          <w:b/>
          <w:bCs/>
          <w:szCs w:val="24"/>
        </w:rPr>
        <w:t xml:space="preserve">návrhu </w:t>
      </w:r>
      <w:r w:rsidRPr="00181470">
        <w:rPr>
          <w:b/>
          <w:szCs w:val="24"/>
        </w:rPr>
        <w:t xml:space="preserve">zákona, ktorým sa mení a dopĺňa zákon č. 222/2004 Z. z. o dani z pridanej hodnoty v znení neskorších predpisov </w:t>
      </w:r>
      <w:r w:rsidR="001664F5" w:rsidRPr="00181470">
        <w:rPr>
          <w:b/>
          <w:bCs/>
          <w:szCs w:val="24"/>
        </w:rPr>
        <w:t>s</w:t>
      </w:r>
      <w:r w:rsidR="00ED6F91" w:rsidRPr="00181470">
        <w:rPr>
          <w:b/>
          <w:bCs/>
          <w:szCs w:val="24"/>
        </w:rPr>
        <w:t> právom Európskej únie</w:t>
      </w:r>
    </w:p>
    <w:p w:rsidR="00EB633F" w:rsidRPr="00181470" w:rsidRDefault="00EB633F" w:rsidP="00B648DC">
      <w:pPr>
        <w:pStyle w:val="Zkladntext0"/>
        <w:pBdr>
          <w:bottom w:val="single" w:sz="12" w:space="1" w:color="auto"/>
        </w:pBdr>
        <w:jc w:val="center"/>
        <w:rPr>
          <w:b/>
          <w:bCs/>
          <w:szCs w:val="24"/>
        </w:rPr>
      </w:pPr>
    </w:p>
    <w:p w:rsidR="007A4ABF" w:rsidRPr="00181470" w:rsidRDefault="007A4ABF" w:rsidP="00B648DC">
      <w:pPr>
        <w:pStyle w:val="Zkladntext0"/>
        <w:jc w:val="both"/>
        <w:rPr>
          <w:szCs w:val="24"/>
        </w:rPr>
      </w:pPr>
    </w:p>
    <w:p w:rsidR="00ED6F91" w:rsidRPr="00181470" w:rsidRDefault="00ED6F91" w:rsidP="00B648DC">
      <w:pPr>
        <w:jc w:val="center"/>
        <w:rPr>
          <w:rFonts w:ascii="Times New Roman" w:hAnsi="Times New Roman" w:cs="Times New Roman"/>
          <w:b/>
          <w:bCs/>
        </w:rPr>
      </w:pPr>
    </w:p>
    <w:p w:rsidR="00ED6F91" w:rsidRPr="00181470" w:rsidRDefault="00AB1CCC" w:rsidP="00B648D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81470">
        <w:rPr>
          <w:rFonts w:ascii="Times New Roman" w:hAnsi="Times New Roman" w:cs="Times New Roman"/>
          <w:b/>
          <w:bCs/>
        </w:rPr>
        <w:t>Navrhovateľ</w:t>
      </w:r>
      <w:r w:rsidR="00F7772C" w:rsidRPr="00181470">
        <w:rPr>
          <w:rFonts w:ascii="Times New Roman" w:hAnsi="Times New Roman" w:cs="Times New Roman"/>
          <w:b/>
          <w:bCs/>
        </w:rPr>
        <w:t xml:space="preserve"> </w:t>
      </w:r>
      <w:r w:rsidR="00ED6F91" w:rsidRPr="00181470">
        <w:rPr>
          <w:rFonts w:ascii="Times New Roman" w:hAnsi="Times New Roman" w:cs="Times New Roman"/>
          <w:b/>
          <w:bCs/>
        </w:rPr>
        <w:t>zákona:</w:t>
      </w:r>
    </w:p>
    <w:p w:rsidR="00B648DC" w:rsidRDefault="009643F5" w:rsidP="00B648DC">
      <w:pP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Ministerstvo financií Slovenskej republiky</w:t>
      </w:r>
      <w:r w:rsidR="00ED6F91" w:rsidRPr="00181470">
        <w:rPr>
          <w:rFonts w:ascii="Times New Roman" w:hAnsi="Times New Roman" w:cs="Times New Roman"/>
        </w:rPr>
        <w:t xml:space="preserve">. </w:t>
      </w:r>
    </w:p>
    <w:p w:rsidR="00B648DC" w:rsidRPr="00B648DC" w:rsidRDefault="00B648DC" w:rsidP="00B648DC">
      <w:pPr>
        <w:ind w:firstLine="425"/>
        <w:jc w:val="both"/>
        <w:rPr>
          <w:rFonts w:ascii="Times New Roman" w:hAnsi="Times New Roman" w:cs="Times New Roman"/>
        </w:rPr>
      </w:pPr>
    </w:p>
    <w:p w:rsidR="00ED6F91" w:rsidRPr="00181470" w:rsidRDefault="00ED6F91" w:rsidP="00B648DC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181470">
        <w:rPr>
          <w:rFonts w:ascii="Times New Roman" w:hAnsi="Times New Roman" w:cs="Times New Roman"/>
          <w:b/>
          <w:bCs/>
        </w:rPr>
        <w:t>Názov návrhu zákona:</w:t>
      </w:r>
    </w:p>
    <w:p w:rsidR="00ED6F91" w:rsidRPr="00181470" w:rsidRDefault="00B550E2" w:rsidP="00B648DC">
      <w:pPr>
        <w:pStyle w:val="Zkladntext0"/>
        <w:ind w:left="426"/>
        <w:jc w:val="both"/>
        <w:rPr>
          <w:szCs w:val="24"/>
        </w:rPr>
      </w:pPr>
      <w:r w:rsidRPr="00181470">
        <w:rPr>
          <w:szCs w:val="24"/>
        </w:rPr>
        <w:t>Návrh zákona, ktorým sa mení a dopĺňa zákon č. 222/2004 Z. z. o dani z pridanej hodno</w:t>
      </w:r>
      <w:r w:rsidR="009E1AF9" w:rsidRPr="00181470">
        <w:rPr>
          <w:szCs w:val="24"/>
        </w:rPr>
        <w:t>ty v znení neskorších predpisov</w:t>
      </w:r>
      <w:r w:rsidR="00ED6F91" w:rsidRPr="00181470">
        <w:rPr>
          <w:szCs w:val="24"/>
        </w:rPr>
        <w:t>.</w:t>
      </w:r>
    </w:p>
    <w:p w:rsidR="00ED6F91" w:rsidRPr="00181470" w:rsidRDefault="00ED6F91" w:rsidP="00B648DC">
      <w:pPr>
        <w:jc w:val="both"/>
        <w:rPr>
          <w:rFonts w:ascii="Times New Roman" w:hAnsi="Times New Roman" w:cs="Times New Roman"/>
          <w:bCs/>
        </w:rPr>
      </w:pPr>
    </w:p>
    <w:p w:rsidR="009F1C17" w:rsidRPr="001C19A1" w:rsidRDefault="00ED6F91" w:rsidP="00B648DC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181470">
        <w:rPr>
          <w:rFonts w:ascii="Times New Roman" w:hAnsi="Times New Roman" w:cs="Times New Roman"/>
          <w:b/>
          <w:bCs/>
        </w:rPr>
        <w:t>Pr</w:t>
      </w:r>
      <w:r w:rsidR="00B32AF9" w:rsidRPr="00181470">
        <w:rPr>
          <w:rFonts w:ascii="Times New Roman" w:hAnsi="Times New Roman" w:cs="Times New Roman"/>
          <w:b/>
          <w:bCs/>
        </w:rPr>
        <w:t xml:space="preserve">edmet návrhu zákona </w:t>
      </w:r>
      <w:r w:rsidR="006B206F" w:rsidRPr="00181470">
        <w:rPr>
          <w:rFonts w:ascii="Times New Roman" w:hAnsi="Times New Roman" w:cs="Times New Roman"/>
          <w:b/>
        </w:rPr>
        <w:t xml:space="preserve">je </w:t>
      </w:r>
      <w:r w:rsidR="009F1C17" w:rsidRPr="00181470">
        <w:rPr>
          <w:rFonts w:ascii="Times New Roman" w:hAnsi="Times New Roman" w:cs="Times New Roman"/>
          <w:b/>
        </w:rPr>
        <w:t>upraven</w:t>
      </w:r>
      <w:r w:rsidR="00B32AF9" w:rsidRPr="00181470">
        <w:rPr>
          <w:rFonts w:ascii="Times New Roman" w:hAnsi="Times New Roman" w:cs="Times New Roman"/>
          <w:b/>
        </w:rPr>
        <w:t>ý</w:t>
      </w:r>
      <w:r w:rsidR="009F1C17" w:rsidRPr="00181470">
        <w:rPr>
          <w:rFonts w:ascii="Times New Roman" w:hAnsi="Times New Roman" w:cs="Times New Roman"/>
          <w:b/>
        </w:rPr>
        <w:t xml:space="preserve"> v práve Európskej únie:</w:t>
      </w:r>
    </w:p>
    <w:p w:rsidR="001C19A1" w:rsidRPr="00181470" w:rsidRDefault="001C19A1" w:rsidP="001C19A1">
      <w:pPr>
        <w:ind w:left="425"/>
        <w:jc w:val="both"/>
        <w:rPr>
          <w:rFonts w:ascii="Times New Roman" w:hAnsi="Times New Roman" w:cs="Times New Roman"/>
          <w:b/>
          <w:bCs/>
        </w:rPr>
      </w:pPr>
    </w:p>
    <w:p w:rsidR="00ED6F91" w:rsidRDefault="005D34AF" w:rsidP="00B648DC">
      <w:pPr>
        <w:pStyle w:val="Zkladntext"/>
        <w:numPr>
          <w:ilvl w:val="1"/>
          <w:numId w:val="1"/>
        </w:numPr>
        <w:tabs>
          <w:tab w:val="left" w:pos="709"/>
          <w:tab w:val="left" w:pos="851"/>
        </w:tabs>
        <w:spacing w:after="0"/>
        <w:rPr>
          <w:b/>
          <w:bCs/>
          <w:iCs/>
        </w:rPr>
      </w:pPr>
      <w:r w:rsidRPr="00181470">
        <w:rPr>
          <w:b/>
          <w:bCs/>
          <w:iCs/>
        </w:rPr>
        <w:t>P</w:t>
      </w:r>
      <w:r w:rsidR="00ED6F91" w:rsidRPr="00181470">
        <w:rPr>
          <w:b/>
          <w:bCs/>
          <w:iCs/>
        </w:rPr>
        <w:t>rimárn</w:t>
      </w:r>
      <w:r w:rsidRPr="00181470">
        <w:rPr>
          <w:b/>
          <w:bCs/>
          <w:iCs/>
        </w:rPr>
        <w:t>e</w:t>
      </w:r>
      <w:r w:rsidR="00ED6F91" w:rsidRPr="00181470">
        <w:rPr>
          <w:b/>
          <w:bCs/>
          <w:iCs/>
        </w:rPr>
        <w:t xml:space="preserve"> práv</w:t>
      </w:r>
      <w:r w:rsidRPr="00181470">
        <w:rPr>
          <w:b/>
          <w:bCs/>
          <w:iCs/>
        </w:rPr>
        <w:t>o</w:t>
      </w:r>
      <w:r w:rsidR="00ED6F91" w:rsidRPr="00181470">
        <w:rPr>
          <w:b/>
          <w:bCs/>
          <w:iCs/>
        </w:rPr>
        <w:t xml:space="preserve">: </w:t>
      </w:r>
    </w:p>
    <w:p w:rsidR="002D26AA" w:rsidRPr="00181470" w:rsidRDefault="002D26AA" w:rsidP="002D26AA">
      <w:pPr>
        <w:pStyle w:val="Zkladntext"/>
        <w:tabs>
          <w:tab w:val="left" w:pos="709"/>
          <w:tab w:val="left" w:pos="851"/>
        </w:tabs>
        <w:spacing w:after="0"/>
        <w:ind w:left="850"/>
        <w:rPr>
          <w:b/>
          <w:bCs/>
          <w:iCs/>
        </w:rPr>
      </w:pPr>
    </w:p>
    <w:p w:rsidR="00F45BD2" w:rsidRDefault="00293A0E" w:rsidP="00B648DC">
      <w:pPr>
        <w:pStyle w:val="Zkladntext"/>
        <w:numPr>
          <w:ilvl w:val="0"/>
          <w:numId w:val="3"/>
        </w:numPr>
        <w:tabs>
          <w:tab w:val="clear" w:pos="900"/>
          <w:tab w:val="num" w:pos="851"/>
        </w:tabs>
        <w:spacing w:after="0"/>
        <w:ind w:left="896" w:hanging="329"/>
      </w:pPr>
      <w:r w:rsidRPr="00181470">
        <w:t xml:space="preserve">čl. </w:t>
      </w:r>
      <w:r w:rsidR="009F1C17" w:rsidRPr="00181470">
        <w:t>11</w:t>
      </w:r>
      <w:r w:rsidRPr="00181470">
        <w:t xml:space="preserve">0 až </w:t>
      </w:r>
      <w:r w:rsidR="009F1C17" w:rsidRPr="00181470">
        <w:t>11</w:t>
      </w:r>
      <w:r w:rsidRPr="00181470">
        <w:t>3</w:t>
      </w:r>
      <w:r w:rsidR="005D3AB9" w:rsidRPr="00181470">
        <w:t>, čl. 349 a 355 ods. 1</w:t>
      </w:r>
      <w:r w:rsidRPr="00181470">
        <w:t xml:space="preserve"> </w:t>
      </w:r>
      <w:r w:rsidR="00ED6F91" w:rsidRPr="00181470">
        <w:t>Zmluv</w:t>
      </w:r>
      <w:r w:rsidRPr="00181470">
        <w:t>y</w:t>
      </w:r>
      <w:r w:rsidR="00ED6F91" w:rsidRPr="00181470">
        <w:t xml:space="preserve"> o </w:t>
      </w:r>
      <w:r w:rsidR="009F1C17" w:rsidRPr="00181470">
        <w:t>fungova</w:t>
      </w:r>
      <w:r w:rsidR="00ED6F91" w:rsidRPr="00181470">
        <w:t>ní Európske</w:t>
      </w:r>
      <w:r w:rsidR="009F1C17" w:rsidRPr="00181470">
        <w:t>j</w:t>
      </w:r>
      <w:r w:rsidR="00ED6F91" w:rsidRPr="00181470">
        <w:t xml:space="preserve"> </w:t>
      </w:r>
      <w:r w:rsidR="00A07632" w:rsidRPr="00181470">
        <w:t>únie</w:t>
      </w:r>
      <w:r w:rsidR="00F45BD2" w:rsidRPr="00181470">
        <w:t>.</w:t>
      </w:r>
    </w:p>
    <w:p w:rsidR="002D26AA" w:rsidRPr="00181470" w:rsidRDefault="002D26AA" w:rsidP="002D26AA">
      <w:pPr>
        <w:pStyle w:val="Zkladntext"/>
        <w:spacing w:after="0"/>
        <w:ind w:left="896"/>
      </w:pPr>
    </w:p>
    <w:p w:rsidR="003A7AE4" w:rsidRPr="00181470" w:rsidRDefault="003A7AE4" w:rsidP="002D26AA">
      <w:pPr>
        <w:pStyle w:val="Zarkazkladnhotextu"/>
        <w:numPr>
          <w:ilvl w:val="1"/>
          <w:numId w:val="1"/>
        </w:numPr>
      </w:pPr>
      <w:r w:rsidRPr="002D26AA">
        <w:rPr>
          <w:b/>
          <w:bCs/>
          <w:iCs/>
        </w:rPr>
        <w:t>Sekundárne právo</w:t>
      </w:r>
      <w:r w:rsidR="003E3DB6" w:rsidRPr="002D26AA">
        <w:rPr>
          <w:b/>
          <w:bCs/>
          <w:iCs/>
        </w:rPr>
        <w:t>:</w:t>
      </w:r>
    </w:p>
    <w:p w:rsidR="00925F9D" w:rsidRPr="00181470" w:rsidRDefault="00925F9D" w:rsidP="00B648DC">
      <w:pPr>
        <w:pStyle w:val="Zarkazkladnhotextu"/>
        <w:ind w:left="850" w:firstLine="0"/>
      </w:pPr>
    </w:p>
    <w:p w:rsidR="003D6923" w:rsidRPr="00181470" w:rsidRDefault="003D6923" w:rsidP="00B648DC">
      <w:pPr>
        <w:pStyle w:val="Odsekzoznamu"/>
        <w:numPr>
          <w:ilvl w:val="0"/>
          <w:numId w:val="3"/>
        </w:numPr>
        <w:ind w:right="-115"/>
        <w:jc w:val="both"/>
      </w:pPr>
      <w:r w:rsidRPr="00181470">
        <w:t xml:space="preserve">smernica Rady (EÚ) 2019/475 z 18. februára 2019, ktorou sa menia smernice 2006/112/ES a 2008/118/ES, pokiaľ ide o začlenenie talianskej obce </w:t>
      </w:r>
      <w:proofErr w:type="spellStart"/>
      <w:r w:rsidRPr="00181470">
        <w:t>Campione</w:t>
      </w:r>
      <w:proofErr w:type="spellEnd"/>
      <w:r w:rsidRPr="00181470">
        <w:t xml:space="preserve"> </w:t>
      </w:r>
      <w:proofErr w:type="spellStart"/>
      <w:r w:rsidRPr="00181470">
        <w:t>d´ltalia</w:t>
      </w:r>
      <w:proofErr w:type="spellEnd"/>
      <w:r w:rsidRPr="00181470">
        <w:t xml:space="preserve"> a talianskych vôd jazera </w:t>
      </w:r>
      <w:proofErr w:type="spellStart"/>
      <w:r w:rsidRPr="00181470">
        <w:t>Lugano</w:t>
      </w:r>
      <w:proofErr w:type="spellEnd"/>
      <w:r w:rsidRPr="00181470">
        <w:t xml:space="preserve"> do colného územia Únie a do územnej pôsobnosti smernice 2008/118/ES (Ú. v. EÚ L 83, 25. 3. 2019),</w:t>
      </w:r>
      <w:r w:rsidR="002D26AA">
        <w:t xml:space="preserve"> gestor: MF SR,</w:t>
      </w:r>
    </w:p>
    <w:p w:rsidR="003D6923" w:rsidRPr="00181470" w:rsidRDefault="003D6923" w:rsidP="00B648DC">
      <w:pPr>
        <w:pStyle w:val="Odsekzoznamu"/>
        <w:shd w:val="clear" w:color="auto" w:fill="FFFFFF"/>
        <w:ind w:left="900" w:right="-150"/>
        <w:jc w:val="both"/>
      </w:pPr>
    </w:p>
    <w:p w:rsidR="008203E4" w:rsidRPr="00181470" w:rsidRDefault="008203E4" w:rsidP="002D26AA">
      <w:pPr>
        <w:pStyle w:val="Odsekzoznamu"/>
        <w:numPr>
          <w:ilvl w:val="0"/>
          <w:numId w:val="3"/>
        </w:numPr>
        <w:ind w:right="-115"/>
        <w:jc w:val="both"/>
      </w:pPr>
      <w:r w:rsidRPr="00181470">
        <w:t xml:space="preserve">smernica Rady (EÚ) 2018/1910 zo 4. decembra 2018, ktorou sa mení smernica 2006/112/ES, pokiaľ ide o harmonizáciu a zjednodušenie určitých pravidiel v systéme dane z pridanej hodnoty pre zdaňovanie obchodu medzi členskými štátmi (Ú. </w:t>
      </w:r>
      <w:r w:rsidR="00925F9D" w:rsidRPr="00181470">
        <w:t>v</w:t>
      </w:r>
      <w:r w:rsidRPr="00181470">
        <w:t>. EÚ L 311, 7. 12. 2018)</w:t>
      </w:r>
      <w:r w:rsidR="00B32AF9" w:rsidRPr="00181470">
        <w:t>, gestor: MF SR,</w:t>
      </w:r>
      <w:r w:rsidR="002D26AA" w:rsidRPr="002D26AA">
        <w:t xml:space="preserve"> </w:t>
      </w:r>
      <w:r w:rsidR="002D26AA">
        <w:t>gestor: MF SR,</w:t>
      </w:r>
    </w:p>
    <w:p w:rsidR="00640B06" w:rsidRPr="00181470" w:rsidRDefault="00640B06" w:rsidP="00B648DC">
      <w:pPr>
        <w:pStyle w:val="Odsekzoznamu"/>
        <w:shd w:val="clear" w:color="auto" w:fill="FFFFFF"/>
        <w:ind w:left="900" w:right="-150"/>
        <w:jc w:val="both"/>
      </w:pPr>
    </w:p>
    <w:p w:rsidR="003D6923" w:rsidRPr="00181470" w:rsidRDefault="00640B06" w:rsidP="00B648DC">
      <w:pPr>
        <w:pStyle w:val="Odsekzoznamu"/>
        <w:numPr>
          <w:ilvl w:val="0"/>
          <w:numId w:val="3"/>
        </w:numPr>
        <w:shd w:val="clear" w:color="auto" w:fill="FFFFFF"/>
        <w:ind w:right="-115"/>
        <w:jc w:val="both"/>
      </w:pPr>
      <w:r w:rsidRPr="00181470">
        <w:t>s</w:t>
      </w:r>
      <w:r w:rsidR="003D6923" w:rsidRPr="00181470">
        <w:t>mernica Rady 2006/112/ES z  28. novembra 2006 o spoločnom systéme dane z pridanej hodnoty (</w:t>
      </w:r>
      <w:r w:rsidR="003D6923" w:rsidRPr="00181470">
        <w:rPr>
          <w:rStyle w:val="Zvraznenie"/>
          <w:i w:val="0"/>
        </w:rPr>
        <w:t>Ú. v. EÚ L 347, 11.12.2006) v platnom znení</w:t>
      </w:r>
      <w:r w:rsidR="003D6923" w:rsidRPr="00181470">
        <w:rPr>
          <w:rStyle w:val="Zvraznenie"/>
        </w:rPr>
        <w:t xml:space="preserve">, </w:t>
      </w:r>
      <w:r w:rsidR="003D6923" w:rsidRPr="00181470">
        <w:t>gestor: MF SR,</w:t>
      </w:r>
    </w:p>
    <w:p w:rsidR="003D6923" w:rsidRPr="00181470" w:rsidRDefault="003D6923" w:rsidP="00B648DC">
      <w:pPr>
        <w:pStyle w:val="Odsekzoznamu"/>
        <w:ind w:left="900"/>
        <w:jc w:val="both"/>
      </w:pPr>
    </w:p>
    <w:p w:rsidR="00421D37" w:rsidRDefault="00925F9D" w:rsidP="00B648DC">
      <w:pPr>
        <w:pStyle w:val="Odsekzoznamu"/>
        <w:numPr>
          <w:ilvl w:val="0"/>
          <w:numId w:val="3"/>
        </w:numPr>
        <w:shd w:val="clear" w:color="auto" w:fill="FFFFFF"/>
        <w:ind w:right="-115"/>
        <w:jc w:val="both"/>
      </w:pPr>
      <w:r w:rsidRPr="00181470">
        <w:t>vykonávacie nariadenie Rady (EÚ) 2018/1912 zo 4. decembra 2018, ktorým sa mení vykonávacie nariadenie (EÚ) č. 282/2011, pokiaľ ide o určité oslobodenia od dane pri transakciách v rámci Spoločenstva (Ú. v. EÚ L 311, 7. 12. 2018)</w:t>
      </w:r>
      <w:r w:rsidR="002D26AA">
        <w:t>, gestor: MF SR</w:t>
      </w:r>
      <w:r w:rsidR="00B648DC">
        <w:t>.</w:t>
      </w:r>
    </w:p>
    <w:p w:rsidR="00B648DC" w:rsidRPr="00181470" w:rsidRDefault="00B648DC" w:rsidP="00B648DC">
      <w:pPr>
        <w:pStyle w:val="Odsekzoznamu"/>
        <w:shd w:val="clear" w:color="auto" w:fill="FFFFFF"/>
        <w:ind w:left="900" w:right="-115"/>
        <w:jc w:val="both"/>
      </w:pPr>
    </w:p>
    <w:p w:rsidR="008203E4" w:rsidRPr="00181470" w:rsidRDefault="008203E4" w:rsidP="00B648DC">
      <w:pPr>
        <w:pStyle w:val="Odsekzoznamu"/>
        <w:numPr>
          <w:ilvl w:val="0"/>
          <w:numId w:val="3"/>
        </w:numPr>
        <w:shd w:val="clear" w:color="auto" w:fill="FFFFFF"/>
        <w:ind w:right="-150"/>
        <w:jc w:val="both"/>
        <w:rPr>
          <w:vanish/>
        </w:rPr>
      </w:pPr>
      <w:r w:rsidRPr="00181470">
        <w:rPr>
          <w:vanish/>
        </w:rPr>
        <w:t>Smernica Rady (EÚ) 2018/1910 zo 4. decembra 2018, ktorou sa mení smernica 2006/112/ES, pokiaľ ide o harmonizáciu a zjednodušenie určitých pravidiel v systéme dane z pridanej hodnoty pre zdaňovanie obchodu medzi členskými štátmi</w:t>
      </w:r>
    </w:p>
    <w:p w:rsidR="00CC3ADA" w:rsidRDefault="0098563A" w:rsidP="001C19A1">
      <w:pPr>
        <w:pStyle w:val="Zkladntext"/>
        <w:spacing w:after="0"/>
        <w:ind w:firstLine="540"/>
        <w:jc w:val="both"/>
        <w:rPr>
          <w:b/>
        </w:rPr>
      </w:pPr>
      <w:r>
        <w:rPr>
          <w:b/>
        </w:rPr>
        <w:t xml:space="preserve">c)    </w:t>
      </w:r>
      <w:r w:rsidR="00CE4115" w:rsidRPr="00181470">
        <w:rPr>
          <w:b/>
        </w:rPr>
        <w:t>J</w:t>
      </w:r>
      <w:r w:rsidR="002865EC" w:rsidRPr="00181470">
        <w:rPr>
          <w:b/>
        </w:rPr>
        <w:t>udikatúr</w:t>
      </w:r>
      <w:r w:rsidR="00CE4115" w:rsidRPr="00181470">
        <w:rPr>
          <w:b/>
        </w:rPr>
        <w:t>a</w:t>
      </w:r>
      <w:r w:rsidR="002865EC" w:rsidRPr="00181470">
        <w:rPr>
          <w:b/>
        </w:rPr>
        <w:t xml:space="preserve"> Súdneho dvora Európsk</w:t>
      </w:r>
      <w:r w:rsidR="00B55479" w:rsidRPr="00181470">
        <w:rPr>
          <w:b/>
        </w:rPr>
        <w:t>ej</w:t>
      </w:r>
      <w:r w:rsidR="002865EC" w:rsidRPr="00181470">
        <w:rPr>
          <w:b/>
        </w:rPr>
        <w:t xml:space="preserve"> </w:t>
      </w:r>
      <w:r w:rsidR="00B55479" w:rsidRPr="00181470">
        <w:rPr>
          <w:b/>
        </w:rPr>
        <w:t>únie</w:t>
      </w:r>
      <w:r w:rsidR="00CE4115" w:rsidRPr="00181470">
        <w:rPr>
          <w:b/>
        </w:rPr>
        <w:t>:</w:t>
      </w:r>
    </w:p>
    <w:p w:rsidR="00B648DC" w:rsidRDefault="00B648DC" w:rsidP="00B648DC">
      <w:pPr>
        <w:pStyle w:val="Zkladntext"/>
        <w:spacing w:after="0"/>
        <w:ind w:left="850"/>
        <w:jc w:val="both"/>
        <w:rPr>
          <w:b/>
        </w:rPr>
      </w:pPr>
    </w:p>
    <w:p w:rsidR="00603ED7" w:rsidRDefault="00603ED7" w:rsidP="0098563A">
      <w:pPr>
        <w:pStyle w:val="Zkladntext"/>
        <w:spacing w:after="0"/>
        <w:ind w:left="850"/>
        <w:jc w:val="both"/>
      </w:pPr>
      <w:r w:rsidRPr="00603ED7">
        <w:t xml:space="preserve">- </w:t>
      </w:r>
      <w:r w:rsidR="00496CBB">
        <w:t>rozsudok</w:t>
      </w:r>
      <w:r w:rsidR="00496CBB" w:rsidRPr="00603ED7">
        <w:t xml:space="preserve"> </w:t>
      </w:r>
      <w:r>
        <w:t xml:space="preserve">Súdneho dvora v spojených veciach C - 322/99 a C - 323/99 Daňový úrad </w:t>
      </w:r>
      <w:proofErr w:type="spellStart"/>
      <w:r>
        <w:t>Burgdorf</w:t>
      </w:r>
      <w:proofErr w:type="spellEnd"/>
      <w:r>
        <w:t xml:space="preserve"> </w:t>
      </w:r>
      <w:r w:rsidR="00275CD7">
        <w:t xml:space="preserve">proti </w:t>
      </w:r>
      <w:proofErr w:type="spellStart"/>
      <w:r>
        <w:t>Hans-Georg</w:t>
      </w:r>
      <w:proofErr w:type="spellEnd"/>
      <w:r>
        <w:t xml:space="preserve"> Fischer a Daňový úrad </w:t>
      </w:r>
      <w:proofErr w:type="spellStart"/>
      <w:r>
        <w:t>Duseldorf-Mettmann</w:t>
      </w:r>
      <w:proofErr w:type="spellEnd"/>
      <w:r>
        <w:t xml:space="preserve"> </w:t>
      </w:r>
      <w:r w:rsidR="00672B49">
        <w:t>proti</w:t>
      </w:r>
      <w:r>
        <w:t xml:space="preserve"> Klaus </w:t>
      </w:r>
      <w:proofErr w:type="spellStart"/>
      <w:r>
        <w:t>Brandenstein</w:t>
      </w:r>
      <w:proofErr w:type="spellEnd"/>
      <w:r w:rsidR="00496CBB">
        <w:t xml:space="preserve"> [2001]</w:t>
      </w:r>
      <w:r>
        <w:t>,</w:t>
      </w:r>
    </w:p>
    <w:p w:rsidR="00603ED7" w:rsidRDefault="00603ED7" w:rsidP="0098563A">
      <w:pPr>
        <w:pStyle w:val="Zkladntext"/>
        <w:spacing w:after="0"/>
        <w:ind w:left="850"/>
        <w:jc w:val="both"/>
      </w:pPr>
    </w:p>
    <w:p w:rsidR="00603ED7" w:rsidRDefault="00496CBB" w:rsidP="0098563A">
      <w:pPr>
        <w:pStyle w:val="Zkladntext"/>
        <w:spacing w:after="0"/>
        <w:ind w:left="850"/>
        <w:jc w:val="both"/>
      </w:pPr>
      <w:r>
        <w:t>Výrok rozsudku</w:t>
      </w:r>
      <w:r w:rsidR="00603ED7">
        <w:t>:</w:t>
      </w:r>
    </w:p>
    <w:p w:rsidR="00603ED7" w:rsidRDefault="00603ED7" w:rsidP="0098563A">
      <w:pPr>
        <w:pStyle w:val="Zkladntext"/>
        <w:spacing w:after="0"/>
        <w:ind w:left="850"/>
        <w:jc w:val="both"/>
      </w:pPr>
    </w:p>
    <w:p w:rsidR="00AD5A62" w:rsidRPr="0098563A" w:rsidRDefault="00496CBB" w:rsidP="0098563A">
      <w:pPr>
        <w:pStyle w:val="Normlnywebov"/>
        <w:tabs>
          <w:tab w:val="left" w:pos="9072"/>
        </w:tabs>
        <w:spacing w:before="0" w:after="0"/>
        <w:ind w:left="851" w:right="26"/>
        <w:jc w:val="both"/>
        <w:rPr>
          <w:sz w:val="24"/>
          <w:szCs w:val="24"/>
          <w:lang w:eastAsia="cs-CZ"/>
        </w:rPr>
      </w:pPr>
      <w:r w:rsidRPr="0098563A">
        <w:rPr>
          <w:sz w:val="24"/>
          <w:szCs w:val="24"/>
          <w:lang w:eastAsia="cs-CZ"/>
        </w:rPr>
        <w:t>„</w:t>
      </w:r>
      <w:r w:rsidR="00275CD7" w:rsidRPr="0098563A">
        <w:rPr>
          <w:sz w:val="24"/>
          <w:szCs w:val="24"/>
          <w:lang w:eastAsia="cs-CZ"/>
        </w:rPr>
        <w:t>1. Keď</w:t>
      </w:r>
      <w:r w:rsidR="007D047F" w:rsidRPr="0098563A">
        <w:rPr>
          <w:sz w:val="24"/>
          <w:szCs w:val="24"/>
          <w:lang w:eastAsia="cs-CZ"/>
        </w:rPr>
        <w:t xml:space="preserve"> zdaniteľná </w:t>
      </w:r>
      <w:r w:rsidR="00275CD7" w:rsidRPr="0098563A">
        <w:rPr>
          <w:sz w:val="24"/>
          <w:szCs w:val="24"/>
          <w:lang w:eastAsia="cs-CZ"/>
        </w:rPr>
        <w:t xml:space="preserve">osoba </w:t>
      </w:r>
      <w:r w:rsidR="007D047F" w:rsidRPr="0098563A">
        <w:rPr>
          <w:sz w:val="24"/>
          <w:szCs w:val="24"/>
          <w:lang w:eastAsia="cs-CZ"/>
        </w:rPr>
        <w:t>použije tovar na</w:t>
      </w:r>
      <w:r w:rsidR="00275CD7" w:rsidRPr="0098563A">
        <w:rPr>
          <w:sz w:val="24"/>
          <w:szCs w:val="24"/>
          <w:lang w:eastAsia="cs-CZ"/>
        </w:rPr>
        <w:t xml:space="preserve"> </w:t>
      </w:r>
      <w:r w:rsidR="007D047F" w:rsidRPr="0098563A">
        <w:rPr>
          <w:sz w:val="24"/>
          <w:szCs w:val="24"/>
          <w:lang w:eastAsia="cs-CZ"/>
        </w:rPr>
        <w:t xml:space="preserve">iné </w:t>
      </w:r>
      <w:r w:rsidR="00275CD7" w:rsidRPr="0098563A">
        <w:rPr>
          <w:sz w:val="24"/>
          <w:szCs w:val="24"/>
          <w:lang w:eastAsia="cs-CZ"/>
        </w:rPr>
        <w:t xml:space="preserve">účely ako </w:t>
      </w:r>
      <w:r w:rsidR="007D047F" w:rsidRPr="0098563A">
        <w:rPr>
          <w:sz w:val="24"/>
          <w:szCs w:val="24"/>
          <w:lang w:eastAsia="cs-CZ"/>
        </w:rPr>
        <w:t xml:space="preserve">účely jej podnikania </w:t>
      </w:r>
      <w:r w:rsidR="00275CD7" w:rsidRPr="0098563A">
        <w:rPr>
          <w:sz w:val="24"/>
          <w:szCs w:val="24"/>
          <w:lang w:eastAsia="cs-CZ"/>
        </w:rPr>
        <w:t xml:space="preserve">(v tomto prípade </w:t>
      </w:r>
      <w:r w:rsidR="00AD5A62" w:rsidRPr="0098563A">
        <w:rPr>
          <w:sz w:val="24"/>
          <w:szCs w:val="24"/>
          <w:lang w:eastAsia="cs-CZ"/>
        </w:rPr>
        <w:t xml:space="preserve">motorové </w:t>
      </w:r>
      <w:r w:rsidR="00275CD7" w:rsidRPr="0098563A">
        <w:rPr>
          <w:sz w:val="24"/>
          <w:szCs w:val="24"/>
          <w:lang w:eastAsia="cs-CZ"/>
        </w:rPr>
        <w:t>vozidlo)</w:t>
      </w:r>
      <w:r w:rsidR="007D047F" w:rsidRPr="0098563A">
        <w:rPr>
          <w:sz w:val="24"/>
          <w:szCs w:val="24"/>
          <w:lang w:eastAsia="cs-CZ"/>
        </w:rPr>
        <w:t>, pri nadobudnutí ktor</w:t>
      </w:r>
      <w:r w:rsidR="00442492" w:rsidRPr="0098563A">
        <w:rPr>
          <w:sz w:val="24"/>
          <w:szCs w:val="24"/>
          <w:lang w:eastAsia="cs-CZ"/>
        </w:rPr>
        <w:t>ého</w:t>
      </w:r>
      <w:r w:rsidR="00AD5A62" w:rsidRPr="0098563A">
        <w:rPr>
          <w:sz w:val="24"/>
          <w:szCs w:val="24"/>
          <w:lang w:eastAsia="cs-CZ"/>
        </w:rPr>
        <w:t xml:space="preserve"> daň z pridanej hodnoty</w:t>
      </w:r>
      <w:r w:rsidR="007D047F" w:rsidRPr="0098563A">
        <w:rPr>
          <w:sz w:val="24"/>
          <w:szCs w:val="24"/>
          <w:lang w:eastAsia="cs-CZ"/>
        </w:rPr>
        <w:t xml:space="preserve"> nebola odpočítateľná a na ktor</w:t>
      </w:r>
      <w:r w:rsidR="00442492" w:rsidRPr="0098563A">
        <w:rPr>
          <w:sz w:val="24"/>
          <w:szCs w:val="24"/>
          <w:lang w:eastAsia="cs-CZ"/>
        </w:rPr>
        <w:t>om</w:t>
      </w:r>
      <w:r w:rsidR="007D047F" w:rsidRPr="0098563A">
        <w:rPr>
          <w:sz w:val="24"/>
          <w:szCs w:val="24"/>
          <w:lang w:eastAsia="cs-CZ"/>
        </w:rPr>
        <w:t xml:space="preserve"> </w:t>
      </w:r>
      <w:r w:rsidR="00087337" w:rsidRPr="0098563A">
        <w:rPr>
          <w:sz w:val="24"/>
          <w:szCs w:val="24"/>
          <w:lang w:eastAsia="cs-CZ"/>
        </w:rPr>
        <w:t xml:space="preserve">bola </w:t>
      </w:r>
      <w:r w:rsidR="007D047F" w:rsidRPr="0098563A">
        <w:rPr>
          <w:sz w:val="24"/>
          <w:szCs w:val="24"/>
          <w:lang w:eastAsia="cs-CZ"/>
        </w:rPr>
        <w:t>po</w:t>
      </w:r>
      <w:r w:rsidR="00442492" w:rsidRPr="0098563A">
        <w:rPr>
          <w:sz w:val="24"/>
          <w:szCs w:val="24"/>
          <w:lang w:eastAsia="cs-CZ"/>
        </w:rPr>
        <w:t xml:space="preserve"> jeho nadobudnutí</w:t>
      </w:r>
      <w:r w:rsidR="007D047F" w:rsidRPr="0098563A">
        <w:rPr>
          <w:sz w:val="24"/>
          <w:szCs w:val="24"/>
          <w:lang w:eastAsia="cs-CZ"/>
        </w:rPr>
        <w:t xml:space="preserve"> </w:t>
      </w:r>
      <w:r w:rsidR="00442492" w:rsidRPr="0098563A">
        <w:rPr>
          <w:sz w:val="24"/>
          <w:szCs w:val="24"/>
          <w:lang w:eastAsia="cs-CZ"/>
        </w:rPr>
        <w:t>vykonaná práca</w:t>
      </w:r>
      <w:r w:rsidR="00121C8D" w:rsidRPr="0098563A">
        <w:rPr>
          <w:sz w:val="24"/>
          <w:szCs w:val="24"/>
          <w:lang w:eastAsia="cs-CZ"/>
        </w:rPr>
        <w:t>,</w:t>
      </w:r>
      <w:r w:rsidR="00442492" w:rsidRPr="0098563A">
        <w:rPr>
          <w:sz w:val="24"/>
          <w:szCs w:val="24"/>
          <w:lang w:eastAsia="cs-CZ"/>
        </w:rPr>
        <w:t xml:space="preserve"> z ktorej bolo možné odpočítať daň z pridanej hodnoty</w:t>
      </w:r>
      <w:r w:rsidR="00275CD7" w:rsidRPr="0098563A">
        <w:rPr>
          <w:sz w:val="24"/>
          <w:szCs w:val="24"/>
          <w:lang w:eastAsia="cs-CZ"/>
        </w:rPr>
        <w:t xml:space="preserve">, </w:t>
      </w:r>
      <w:r w:rsidR="00442492" w:rsidRPr="0098563A">
        <w:rPr>
          <w:sz w:val="24"/>
          <w:szCs w:val="24"/>
          <w:lang w:eastAsia="cs-CZ"/>
        </w:rPr>
        <w:t xml:space="preserve">splatná </w:t>
      </w:r>
      <w:r w:rsidR="00275CD7" w:rsidRPr="0098563A">
        <w:rPr>
          <w:sz w:val="24"/>
          <w:szCs w:val="24"/>
          <w:lang w:eastAsia="cs-CZ"/>
        </w:rPr>
        <w:t xml:space="preserve">daň z pridanej hodnoty </w:t>
      </w:r>
      <w:r w:rsidR="00442492" w:rsidRPr="0098563A">
        <w:rPr>
          <w:sz w:val="24"/>
          <w:szCs w:val="24"/>
          <w:lang w:eastAsia="cs-CZ"/>
        </w:rPr>
        <w:t xml:space="preserve">podľa </w:t>
      </w:r>
      <w:r w:rsidR="00275CD7" w:rsidRPr="0098563A">
        <w:rPr>
          <w:sz w:val="24"/>
          <w:szCs w:val="24"/>
          <w:lang w:eastAsia="cs-CZ"/>
        </w:rPr>
        <w:t xml:space="preserve">článku 5 odseku 6, </w:t>
      </w:r>
      <w:r w:rsidR="00442492" w:rsidRPr="0098563A">
        <w:rPr>
          <w:sz w:val="24"/>
          <w:szCs w:val="24"/>
          <w:lang w:eastAsia="cs-CZ"/>
        </w:rPr>
        <w:t>Š</w:t>
      </w:r>
      <w:r w:rsidR="00275CD7" w:rsidRPr="0098563A">
        <w:rPr>
          <w:sz w:val="24"/>
          <w:szCs w:val="24"/>
          <w:lang w:eastAsia="cs-CZ"/>
        </w:rPr>
        <w:t xml:space="preserve">iestej smernice </w:t>
      </w:r>
      <w:r w:rsidR="00442492" w:rsidRPr="0098563A">
        <w:rPr>
          <w:sz w:val="24"/>
          <w:szCs w:val="24"/>
          <w:lang w:eastAsia="cs-CZ"/>
        </w:rPr>
        <w:t xml:space="preserve">Rady </w:t>
      </w:r>
      <w:r w:rsidR="00275CD7" w:rsidRPr="0098563A">
        <w:rPr>
          <w:sz w:val="24"/>
          <w:szCs w:val="24"/>
          <w:lang w:eastAsia="cs-CZ"/>
        </w:rPr>
        <w:t xml:space="preserve">77/388/EHS Rady, zo 17. mája 1977 o zosúladení právnych </w:t>
      </w:r>
      <w:r w:rsidR="00275CD7" w:rsidRPr="0098563A">
        <w:rPr>
          <w:sz w:val="24"/>
          <w:szCs w:val="24"/>
          <w:lang w:eastAsia="cs-CZ"/>
        </w:rPr>
        <w:lastRenderedPageBreak/>
        <w:t xml:space="preserve">predpisov členských štátov týkajúcich sa dan z obratu – Spoločný systém dane z pridanej hodnoty: jednotný základ jej stanovenia, sa týka </w:t>
      </w:r>
      <w:r w:rsidR="00442492" w:rsidRPr="0098563A">
        <w:rPr>
          <w:sz w:val="24"/>
          <w:szCs w:val="24"/>
          <w:lang w:eastAsia="cs-CZ"/>
        </w:rPr>
        <w:t xml:space="preserve">výlučne </w:t>
      </w:r>
      <w:r w:rsidR="00275CD7" w:rsidRPr="0098563A">
        <w:rPr>
          <w:sz w:val="24"/>
          <w:szCs w:val="24"/>
          <w:lang w:eastAsia="cs-CZ"/>
        </w:rPr>
        <w:t>"súčastí</w:t>
      </w:r>
      <w:r w:rsidR="00442492" w:rsidRPr="0098563A">
        <w:rPr>
          <w:sz w:val="24"/>
          <w:szCs w:val="24"/>
          <w:lang w:eastAsia="cs-CZ"/>
        </w:rPr>
        <w:t>“</w:t>
      </w:r>
      <w:r w:rsidR="00275CD7" w:rsidRPr="0098563A">
        <w:rPr>
          <w:sz w:val="24"/>
          <w:szCs w:val="24"/>
          <w:lang w:eastAsia="cs-CZ"/>
        </w:rPr>
        <w:t xml:space="preserve"> tovaru</w:t>
      </w:r>
      <w:r w:rsidR="00442492" w:rsidRPr="0098563A">
        <w:rPr>
          <w:sz w:val="24"/>
          <w:szCs w:val="24"/>
          <w:lang w:eastAsia="cs-CZ"/>
        </w:rPr>
        <w:t>, v </w:t>
      </w:r>
      <w:r w:rsidR="00AD5A62" w:rsidRPr="0098563A">
        <w:rPr>
          <w:sz w:val="24"/>
          <w:szCs w:val="24"/>
          <w:lang w:eastAsia="cs-CZ"/>
        </w:rPr>
        <w:t>súvislosti</w:t>
      </w:r>
      <w:r w:rsidR="00442492" w:rsidRPr="0098563A">
        <w:rPr>
          <w:sz w:val="24"/>
          <w:szCs w:val="24"/>
          <w:lang w:eastAsia="cs-CZ"/>
        </w:rPr>
        <w:t xml:space="preserve"> s ktorými existovalo právo na odpočítanie</w:t>
      </w:r>
      <w:r w:rsidR="00275CD7" w:rsidRPr="0098563A">
        <w:rPr>
          <w:sz w:val="24"/>
          <w:szCs w:val="24"/>
          <w:lang w:eastAsia="cs-CZ"/>
        </w:rPr>
        <w:t>,</w:t>
      </w:r>
      <w:r w:rsidR="00442492" w:rsidRPr="0098563A">
        <w:rPr>
          <w:sz w:val="24"/>
          <w:szCs w:val="24"/>
          <w:lang w:eastAsia="cs-CZ"/>
        </w:rPr>
        <w:t xml:space="preserve"> konkrétne</w:t>
      </w:r>
      <w:r w:rsidR="00275CD7" w:rsidRPr="0098563A">
        <w:rPr>
          <w:sz w:val="24"/>
          <w:szCs w:val="24"/>
          <w:lang w:eastAsia="cs-CZ"/>
        </w:rPr>
        <w:t xml:space="preserve"> súčastí, ktoré definitívne stratili </w:t>
      </w:r>
      <w:r w:rsidR="00442492" w:rsidRPr="0098563A">
        <w:rPr>
          <w:sz w:val="24"/>
          <w:szCs w:val="24"/>
          <w:lang w:eastAsia="cs-CZ"/>
        </w:rPr>
        <w:t xml:space="preserve">ich </w:t>
      </w:r>
      <w:r w:rsidR="00275CD7" w:rsidRPr="0098563A">
        <w:rPr>
          <w:sz w:val="24"/>
          <w:szCs w:val="24"/>
          <w:lang w:eastAsia="cs-CZ"/>
        </w:rPr>
        <w:t xml:space="preserve">fyzické a ekonomické </w:t>
      </w:r>
      <w:r w:rsidR="00442492" w:rsidRPr="0098563A">
        <w:rPr>
          <w:sz w:val="24"/>
          <w:szCs w:val="24"/>
          <w:lang w:eastAsia="cs-CZ"/>
        </w:rPr>
        <w:t>osobitosti</w:t>
      </w:r>
      <w:r w:rsidR="00087337" w:rsidRPr="0098563A">
        <w:rPr>
          <w:sz w:val="24"/>
          <w:szCs w:val="24"/>
          <w:lang w:eastAsia="cs-CZ"/>
        </w:rPr>
        <w:t xml:space="preserve"> </w:t>
      </w:r>
      <w:r w:rsidR="00121C8D" w:rsidRPr="0098563A">
        <w:rPr>
          <w:sz w:val="24"/>
          <w:szCs w:val="24"/>
          <w:lang w:eastAsia="cs-CZ"/>
        </w:rPr>
        <w:t xml:space="preserve">po ich </w:t>
      </w:r>
      <w:r w:rsidR="00AD5A62" w:rsidRPr="0098563A">
        <w:rPr>
          <w:sz w:val="24"/>
          <w:szCs w:val="24"/>
          <w:lang w:eastAsia="cs-CZ"/>
        </w:rPr>
        <w:t>včlenen</w:t>
      </w:r>
      <w:r w:rsidR="00121C8D" w:rsidRPr="0098563A">
        <w:rPr>
          <w:sz w:val="24"/>
          <w:szCs w:val="24"/>
          <w:lang w:eastAsia="cs-CZ"/>
        </w:rPr>
        <w:t>í</w:t>
      </w:r>
      <w:r w:rsidR="00AD5A62" w:rsidRPr="0098563A">
        <w:rPr>
          <w:sz w:val="24"/>
          <w:szCs w:val="24"/>
          <w:lang w:eastAsia="cs-CZ"/>
        </w:rPr>
        <w:t xml:space="preserve"> </w:t>
      </w:r>
      <w:r w:rsidR="00275CD7" w:rsidRPr="0098563A">
        <w:rPr>
          <w:sz w:val="24"/>
          <w:szCs w:val="24"/>
          <w:lang w:eastAsia="cs-CZ"/>
        </w:rPr>
        <w:t>do vozidla</w:t>
      </w:r>
      <w:r w:rsidR="00087337" w:rsidRPr="0098563A">
        <w:rPr>
          <w:sz w:val="24"/>
          <w:szCs w:val="24"/>
          <w:lang w:eastAsia="cs-CZ"/>
        </w:rPr>
        <w:t>,</w:t>
      </w:r>
      <w:r w:rsidR="00AD5A62" w:rsidRPr="0098563A">
        <w:rPr>
          <w:sz w:val="24"/>
          <w:szCs w:val="24"/>
          <w:lang w:eastAsia="cs-CZ"/>
        </w:rPr>
        <w:t xml:space="preserve"> </w:t>
      </w:r>
      <w:r w:rsidR="00275CD7" w:rsidRPr="0098563A">
        <w:rPr>
          <w:sz w:val="24"/>
          <w:szCs w:val="24"/>
          <w:lang w:eastAsia="cs-CZ"/>
        </w:rPr>
        <w:t xml:space="preserve">po </w:t>
      </w:r>
      <w:r w:rsidR="00087337" w:rsidRPr="0098563A">
        <w:rPr>
          <w:sz w:val="24"/>
          <w:szCs w:val="24"/>
          <w:lang w:eastAsia="cs-CZ"/>
        </w:rPr>
        <w:t xml:space="preserve">jeho </w:t>
      </w:r>
      <w:r w:rsidR="00AD5A62" w:rsidRPr="0098563A">
        <w:rPr>
          <w:sz w:val="24"/>
          <w:szCs w:val="24"/>
          <w:lang w:eastAsia="cs-CZ"/>
        </w:rPr>
        <w:t>kúpe</w:t>
      </w:r>
      <w:r w:rsidR="00275CD7" w:rsidRPr="0098563A">
        <w:rPr>
          <w:sz w:val="24"/>
          <w:szCs w:val="24"/>
          <w:lang w:eastAsia="cs-CZ"/>
        </w:rPr>
        <w:t xml:space="preserve">, </w:t>
      </w:r>
      <w:r w:rsidR="00087337" w:rsidRPr="0098563A">
        <w:rPr>
          <w:sz w:val="24"/>
          <w:szCs w:val="24"/>
          <w:lang w:eastAsia="cs-CZ"/>
        </w:rPr>
        <w:t xml:space="preserve">v dôsledku transakcií </w:t>
      </w:r>
      <w:r w:rsidR="00AD5A62" w:rsidRPr="0098563A">
        <w:rPr>
          <w:sz w:val="24"/>
          <w:szCs w:val="24"/>
          <w:lang w:eastAsia="cs-CZ"/>
        </w:rPr>
        <w:t xml:space="preserve">zahŕňajúcich </w:t>
      </w:r>
      <w:r w:rsidR="00275CD7" w:rsidRPr="0098563A">
        <w:rPr>
          <w:sz w:val="24"/>
          <w:szCs w:val="24"/>
          <w:lang w:eastAsia="cs-CZ"/>
        </w:rPr>
        <w:t>dodan</w:t>
      </w:r>
      <w:r w:rsidR="00AD5A62" w:rsidRPr="0098563A">
        <w:rPr>
          <w:sz w:val="24"/>
          <w:szCs w:val="24"/>
          <w:lang w:eastAsia="cs-CZ"/>
        </w:rPr>
        <w:t>ia</w:t>
      </w:r>
      <w:r w:rsidR="00275CD7" w:rsidRPr="0098563A">
        <w:rPr>
          <w:sz w:val="24"/>
          <w:szCs w:val="24"/>
          <w:lang w:eastAsia="cs-CZ"/>
        </w:rPr>
        <w:t xml:space="preserve"> tovar</w:t>
      </w:r>
      <w:r w:rsidR="00AD5A62" w:rsidRPr="0098563A">
        <w:rPr>
          <w:sz w:val="24"/>
          <w:szCs w:val="24"/>
          <w:lang w:eastAsia="cs-CZ"/>
        </w:rPr>
        <w:t>ov</w:t>
      </w:r>
      <w:r w:rsidR="00275CD7" w:rsidRPr="0098563A">
        <w:rPr>
          <w:sz w:val="24"/>
          <w:szCs w:val="24"/>
          <w:lang w:eastAsia="cs-CZ"/>
        </w:rPr>
        <w:t xml:space="preserve">, ktoré </w:t>
      </w:r>
      <w:r w:rsidR="00AD5A62" w:rsidRPr="0098563A">
        <w:rPr>
          <w:sz w:val="24"/>
          <w:szCs w:val="24"/>
          <w:lang w:eastAsia="cs-CZ"/>
        </w:rPr>
        <w:t xml:space="preserve">viedli k </w:t>
      </w:r>
      <w:r w:rsidR="00275CD7" w:rsidRPr="0098563A">
        <w:rPr>
          <w:sz w:val="24"/>
          <w:szCs w:val="24"/>
          <w:lang w:eastAsia="cs-CZ"/>
        </w:rPr>
        <w:t>trvalé</w:t>
      </w:r>
      <w:r w:rsidR="00AD5A62" w:rsidRPr="0098563A">
        <w:rPr>
          <w:sz w:val="24"/>
          <w:szCs w:val="24"/>
          <w:lang w:eastAsia="cs-CZ"/>
        </w:rPr>
        <w:t>mu</w:t>
      </w:r>
      <w:r w:rsidR="00275CD7" w:rsidRPr="0098563A">
        <w:rPr>
          <w:sz w:val="24"/>
          <w:szCs w:val="24"/>
          <w:lang w:eastAsia="cs-CZ"/>
        </w:rPr>
        <w:t xml:space="preserve"> </w:t>
      </w:r>
      <w:r w:rsidR="00AD5A62" w:rsidRPr="0098563A">
        <w:rPr>
          <w:sz w:val="24"/>
          <w:szCs w:val="24"/>
          <w:lang w:eastAsia="cs-CZ"/>
        </w:rPr>
        <w:t xml:space="preserve">zvýšeniu </w:t>
      </w:r>
      <w:r w:rsidR="00275CD7" w:rsidRPr="0098563A">
        <w:rPr>
          <w:sz w:val="24"/>
          <w:szCs w:val="24"/>
          <w:lang w:eastAsia="cs-CZ"/>
        </w:rPr>
        <w:t>hodnoty vozidla</w:t>
      </w:r>
      <w:r w:rsidR="00087337" w:rsidRPr="0098563A">
        <w:rPr>
          <w:sz w:val="24"/>
          <w:szCs w:val="24"/>
          <w:lang w:eastAsia="cs-CZ"/>
        </w:rPr>
        <w:t xml:space="preserve">, </w:t>
      </w:r>
      <w:r w:rsidR="00AD5A62" w:rsidRPr="0098563A">
        <w:rPr>
          <w:sz w:val="24"/>
          <w:szCs w:val="24"/>
          <w:lang w:eastAsia="cs-CZ"/>
        </w:rPr>
        <w:t> ktoré nebol</w:t>
      </w:r>
      <w:r w:rsidR="00087337" w:rsidRPr="0098563A">
        <w:rPr>
          <w:sz w:val="24"/>
          <w:szCs w:val="24"/>
          <w:lang w:eastAsia="cs-CZ"/>
        </w:rPr>
        <w:t>o</w:t>
      </w:r>
      <w:r w:rsidR="00AD5A62" w:rsidRPr="0098563A">
        <w:rPr>
          <w:sz w:val="24"/>
          <w:szCs w:val="24"/>
          <w:lang w:eastAsia="cs-CZ"/>
        </w:rPr>
        <w:t xml:space="preserve"> </w:t>
      </w:r>
      <w:r w:rsidR="00275CD7" w:rsidRPr="0098563A">
        <w:rPr>
          <w:sz w:val="24"/>
          <w:szCs w:val="24"/>
          <w:lang w:eastAsia="cs-CZ"/>
        </w:rPr>
        <w:t>úplne spotrebovan</w:t>
      </w:r>
      <w:r w:rsidR="00AD5A62" w:rsidRPr="0098563A">
        <w:rPr>
          <w:sz w:val="24"/>
          <w:szCs w:val="24"/>
          <w:lang w:eastAsia="cs-CZ"/>
        </w:rPr>
        <w:t>é</w:t>
      </w:r>
      <w:r w:rsidR="00275CD7" w:rsidRPr="0098563A">
        <w:rPr>
          <w:sz w:val="24"/>
          <w:szCs w:val="24"/>
          <w:lang w:eastAsia="cs-CZ"/>
        </w:rPr>
        <w:t xml:space="preserve"> v čase </w:t>
      </w:r>
      <w:r w:rsidR="00AD5A62" w:rsidRPr="0098563A">
        <w:rPr>
          <w:sz w:val="24"/>
          <w:szCs w:val="24"/>
          <w:lang w:eastAsia="cs-CZ"/>
        </w:rPr>
        <w:t xml:space="preserve"> tohto použitia</w:t>
      </w:r>
      <w:r w:rsidR="00275CD7" w:rsidRPr="0098563A">
        <w:rPr>
          <w:sz w:val="24"/>
          <w:szCs w:val="24"/>
          <w:lang w:eastAsia="cs-CZ"/>
        </w:rPr>
        <w:t>.</w:t>
      </w:r>
      <w:r w:rsidR="0098563A">
        <w:rPr>
          <w:sz w:val="24"/>
          <w:szCs w:val="24"/>
          <w:lang w:eastAsia="cs-CZ"/>
        </w:rPr>
        <w:t xml:space="preserve">  </w:t>
      </w:r>
    </w:p>
    <w:p w:rsidR="00AD5A62" w:rsidRPr="0098563A" w:rsidRDefault="00AD5A62" w:rsidP="0098563A">
      <w:pPr>
        <w:pStyle w:val="Normlnywebov"/>
        <w:tabs>
          <w:tab w:val="left" w:pos="9072"/>
        </w:tabs>
        <w:spacing w:before="0" w:after="0"/>
        <w:ind w:left="851" w:right="26"/>
        <w:jc w:val="both"/>
        <w:rPr>
          <w:sz w:val="24"/>
          <w:szCs w:val="24"/>
          <w:lang w:eastAsia="cs-CZ"/>
        </w:rPr>
      </w:pPr>
    </w:p>
    <w:p w:rsidR="00121C8D" w:rsidRPr="0098563A" w:rsidRDefault="00121C8D" w:rsidP="0098563A">
      <w:pPr>
        <w:pStyle w:val="Normlnywebov"/>
        <w:tabs>
          <w:tab w:val="left" w:pos="9072"/>
        </w:tabs>
        <w:spacing w:before="0" w:after="0"/>
        <w:ind w:left="851" w:right="26"/>
        <w:jc w:val="both"/>
        <w:rPr>
          <w:sz w:val="24"/>
          <w:szCs w:val="24"/>
          <w:lang w:eastAsia="cs-CZ"/>
        </w:rPr>
      </w:pPr>
      <w:r w:rsidRPr="0098563A">
        <w:rPr>
          <w:sz w:val="24"/>
          <w:szCs w:val="24"/>
          <w:lang w:eastAsia="cs-CZ"/>
        </w:rPr>
        <w:t>2. V prípade použitia, ktoré je zda</w:t>
      </w:r>
      <w:r w:rsidR="00087337" w:rsidRPr="0098563A">
        <w:rPr>
          <w:sz w:val="24"/>
          <w:szCs w:val="24"/>
          <w:lang w:eastAsia="cs-CZ"/>
        </w:rPr>
        <w:t>niteľné</w:t>
      </w:r>
      <w:r w:rsidRPr="0098563A">
        <w:rPr>
          <w:sz w:val="24"/>
          <w:szCs w:val="24"/>
          <w:lang w:eastAsia="cs-CZ"/>
        </w:rPr>
        <w:t xml:space="preserve"> podľa článku 5, odseku 6 šiestej smernice, konkrétne použitia tovaru (v tomto prípade motorového vozidla)</w:t>
      </w:r>
    </w:p>
    <w:p w:rsidR="00121C8D" w:rsidRPr="0098563A" w:rsidRDefault="0098563A" w:rsidP="0098563A">
      <w:pPr>
        <w:pStyle w:val="Normlnywebov"/>
        <w:tabs>
          <w:tab w:val="left" w:pos="9072"/>
        </w:tabs>
        <w:spacing w:before="0" w:after="0"/>
        <w:ind w:left="851" w:right="26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-</w:t>
      </w:r>
      <w:r w:rsidR="00D517AD" w:rsidRPr="0098563A">
        <w:rPr>
          <w:sz w:val="24"/>
          <w:szCs w:val="24"/>
          <w:lang w:eastAsia="cs-CZ"/>
        </w:rPr>
        <w:t xml:space="preserve"> ktor</w:t>
      </w:r>
      <w:r w:rsidR="00FA76A2" w:rsidRPr="0098563A">
        <w:rPr>
          <w:sz w:val="24"/>
          <w:szCs w:val="24"/>
          <w:lang w:eastAsia="cs-CZ"/>
        </w:rPr>
        <w:t>ý bol</w:t>
      </w:r>
      <w:r w:rsidR="00D517AD" w:rsidRPr="0098563A">
        <w:rPr>
          <w:sz w:val="24"/>
          <w:szCs w:val="24"/>
          <w:lang w:eastAsia="cs-CZ"/>
        </w:rPr>
        <w:t xml:space="preserve"> </w:t>
      </w:r>
      <w:r w:rsidR="00121C8D" w:rsidRPr="0098563A">
        <w:rPr>
          <w:sz w:val="24"/>
          <w:szCs w:val="24"/>
          <w:lang w:eastAsia="cs-CZ"/>
        </w:rPr>
        <w:t>nadobudnuté bez práv</w:t>
      </w:r>
      <w:r w:rsidR="00D517AD" w:rsidRPr="0098563A">
        <w:rPr>
          <w:sz w:val="24"/>
          <w:szCs w:val="24"/>
          <w:lang w:eastAsia="cs-CZ"/>
        </w:rPr>
        <w:t>a</w:t>
      </w:r>
      <w:r w:rsidR="00121C8D" w:rsidRPr="0098563A">
        <w:rPr>
          <w:sz w:val="24"/>
          <w:szCs w:val="24"/>
          <w:lang w:eastAsia="cs-CZ"/>
        </w:rPr>
        <w:t xml:space="preserve"> na odpočítanie dane, </w:t>
      </w:r>
    </w:p>
    <w:p w:rsidR="00121C8D" w:rsidRPr="0098563A" w:rsidRDefault="0098563A" w:rsidP="0098563A">
      <w:pPr>
        <w:pStyle w:val="Normlnywebov"/>
        <w:tabs>
          <w:tab w:val="left" w:pos="9072"/>
        </w:tabs>
        <w:spacing w:before="0" w:after="0"/>
        <w:ind w:left="851" w:right="26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-</w:t>
      </w:r>
      <w:r w:rsidR="00121C8D" w:rsidRPr="0098563A">
        <w:rPr>
          <w:sz w:val="24"/>
          <w:szCs w:val="24"/>
          <w:lang w:eastAsia="cs-CZ"/>
        </w:rPr>
        <w:t xml:space="preserve"> na ktorom boli urobené práce </w:t>
      </w:r>
      <w:r w:rsidR="00D517AD" w:rsidRPr="0098563A">
        <w:rPr>
          <w:sz w:val="24"/>
          <w:szCs w:val="24"/>
          <w:lang w:eastAsia="cs-CZ"/>
        </w:rPr>
        <w:t xml:space="preserve">zakladajúce </w:t>
      </w:r>
      <w:r w:rsidR="00121C8D" w:rsidRPr="0098563A">
        <w:rPr>
          <w:sz w:val="24"/>
          <w:szCs w:val="24"/>
          <w:lang w:eastAsia="cs-CZ"/>
        </w:rPr>
        <w:t>právo na odpočítanie dane</w:t>
      </w:r>
      <w:r w:rsidR="00D517AD" w:rsidRPr="0098563A">
        <w:rPr>
          <w:sz w:val="24"/>
          <w:szCs w:val="24"/>
          <w:lang w:eastAsia="cs-CZ"/>
        </w:rPr>
        <w:t>,</w:t>
      </w:r>
      <w:r w:rsidR="00121C8D" w:rsidRPr="0098563A">
        <w:rPr>
          <w:sz w:val="24"/>
          <w:szCs w:val="24"/>
          <w:lang w:eastAsia="cs-CZ"/>
        </w:rPr>
        <w:t xml:space="preserve"> výsledkom ktorých bolo začlenenie ‚súčastí‘ do tohto tovaru,</w:t>
      </w:r>
    </w:p>
    <w:p w:rsidR="00121C8D" w:rsidRPr="0098563A" w:rsidRDefault="00121C8D" w:rsidP="0098563A">
      <w:pPr>
        <w:pStyle w:val="Normlnywebov"/>
        <w:tabs>
          <w:tab w:val="left" w:pos="9072"/>
        </w:tabs>
        <w:spacing w:before="0" w:after="0"/>
        <w:ind w:left="851" w:right="26"/>
        <w:jc w:val="both"/>
        <w:rPr>
          <w:sz w:val="24"/>
          <w:szCs w:val="24"/>
          <w:lang w:eastAsia="cs-CZ"/>
        </w:rPr>
      </w:pPr>
      <w:r w:rsidRPr="0098563A">
        <w:rPr>
          <w:sz w:val="24"/>
          <w:szCs w:val="24"/>
          <w:lang w:eastAsia="cs-CZ"/>
        </w:rPr>
        <w:t xml:space="preserve">základ dane </w:t>
      </w:r>
      <w:r w:rsidR="00D517AD" w:rsidRPr="0098563A">
        <w:rPr>
          <w:sz w:val="24"/>
          <w:szCs w:val="24"/>
          <w:lang w:eastAsia="cs-CZ"/>
        </w:rPr>
        <w:t xml:space="preserve">na účely </w:t>
      </w:r>
      <w:r w:rsidRPr="0098563A">
        <w:rPr>
          <w:sz w:val="24"/>
          <w:szCs w:val="24"/>
          <w:lang w:eastAsia="cs-CZ"/>
        </w:rPr>
        <w:t>článku 11 A, odsek 1, pod. b) šiestej smernice</w:t>
      </w:r>
      <w:r w:rsidR="00087337" w:rsidRPr="0098563A">
        <w:rPr>
          <w:sz w:val="24"/>
          <w:szCs w:val="24"/>
          <w:lang w:eastAsia="cs-CZ"/>
        </w:rPr>
        <w:t xml:space="preserve"> 77/388</w:t>
      </w:r>
      <w:r w:rsidRPr="0098563A">
        <w:rPr>
          <w:sz w:val="24"/>
          <w:szCs w:val="24"/>
          <w:lang w:eastAsia="cs-CZ"/>
        </w:rPr>
        <w:t xml:space="preserve"> musí byť určený s ohľadom na cenu tovarov </w:t>
      </w:r>
      <w:r w:rsidR="00D517AD" w:rsidRPr="0098563A">
        <w:rPr>
          <w:sz w:val="24"/>
          <w:szCs w:val="24"/>
          <w:lang w:eastAsia="cs-CZ"/>
        </w:rPr>
        <w:t xml:space="preserve">včlenených do vozidla, </w:t>
      </w:r>
      <w:r w:rsidRPr="0098563A">
        <w:rPr>
          <w:sz w:val="24"/>
          <w:szCs w:val="24"/>
          <w:lang w:eastAsia="cs-CZ"/>
        </w:rPr>
        <w:t xml:space="preserve">ktoré </w:t>
      </w:r>
      <w:r w:rsidR="00FA76A2" w:rsidRPr="0098563A">
        <w:rPr>
          <w:sz w:val="24"/>
          <w:szCs w:val="24"/>
          <w:lang w:eastAsia="cs-CZ"/>
        </w:rPr>
        <w:t>tvoria</w:t>
      </w:r>
      <w:r w:rsidRPr="0098563A">
        <w:rPr>
          <w:sz w:val="24"/>
          <w:szCs w:val="24"/>
          <w:lang w:eastAsia="cs-CZ"/>
        </w:rPr>
        <w:t xml:space="preserve"> súčasti použitého tovaru</w:t>
      </w:r>
      <w:r w:rsidR="00FA76A2" w:rsidRPr="0098563A">
        <w:rPr>
          <w:sz w:val="24"/>
          <w:szCs w:val="24"/>
          <w:lang w:eastAsia="cs-CZ"/>
        </w:rPr>
        <w:t>,</w:t>
      </w:r>
      <w:r w:rsidRPr="0098563A">
        <w:rPr>
          <w:sz w:val="24"/>
          <w:szCs w:val="24"/>
          <w:lang w:eastAsia="cs-CZ"/>
        </w:rPr>
        <w:t xml:space="preserve"> v </w:t>
      </w:r>
      <w:r w:rsidR="00496CBB" w:rsidRPr="0098563A">
        <w:rPr>
          <w:sz w:val="24"/>
          <w:szCs w:val="24"/>
          <w:lang w:eastAsia="cs-CZ"/>
        </w:rPr>
        <w:t>čase</w:t>
      </w:r>
      <w:r w:rsidRPr="0098563A">
        <w:rPr>
          <w:sz w:val="24"/>
          <w:szCs w:val="24"/>
          <w:lang w:eastAsia="cs-CZ"/>
        </w:rPr>
        <w:t xml:space="preserve"> použitia, podľa článku 5, odsek 6 </w:t>
      </w:r>
      <w:r w:rsidR="00D517AD" w:rsidRPr="0098563A">
        <w:rPr>
          <w:sz w:val="24"/>
          <w:szCs w:val="24"/>
          <w:lang w:eastAsia="cs-CZ"/>
        </w:rPr>
        <w:t>tejto</w:t>
      </w:r>
      <w:r w:rsidRPr="0098563A">
        <w:rPr>
          <w:sz w:val="24"/>
          <w:szCs w:val="24"/>
          <w:lang w:eastAsia="cs-CZ"/>
        </w:rPr>
        <w:t xml:space="preserve"> smernice.</w:t>
      </w:r>
    </w:p>
    <w:p w:rsidR="00275CD7" w:rsidRPr="0098563A" w:rsidRDefault="00275CD7" w:rsidP="0098563A">
      <w:pPr>
        <w:pStyle w:val="Normlnywebov"/>
        <w:tabs>
          <w:tab w:val="left" w:pos="9072"/>
        </w:tabs>
        <w:spacing w:before="0" w:after="0"/>
        <w:ind w:left="851" w:right="26"/>
        <w:jc w:val="both"/>
        <w:rPr>
          <w:sz w:val="24"/>
          <w:szCs w:val="24"/>
          <w:lang w:eastAsia="cs-CZ"/>
        </w:rPr>
      </w:pPr>
    </w:p>
    <w:p w:rsidR="00D80A3F" w:rsidRPr="0098563A" w:rsidRDefault="00275CD7" w:rsidP="0098563A">
      <w:pPr>
        <w:pStyle w:val="Normlnywebov"/>
        <w:tabs>
          <w:tab w:val="left" w:pos="9072"/>
        </w:tabs>
        <w:spacing w:before="0" w:after="0"/>
        <w:ind w:left="851" w:right="26"/>
        <w:jc w:val="both"/>
        <w:rPr>
          <w:sz w:val="24"/>
          <w:szCs w:val="24"/>
          <w:lang w:eastAsia="cs-CZ"/>
        </w:rPr>
      </w:pPr>
      <w:r w:rsidRPr="0098563A">
        <w:rPr>
          <w:sz w:val="24"/>
          <w:szCs w:val="24"/>
          <w:lang w:eastAsia="cs-CZ"/>
        </w:rPr>
        <w:t>3.</w:t>
      </w:r>
      <w:r w:rsidR="0098563A">
        <w:rPr>
          <w:sz w:val="24"/>
          <w:szCs w:val="24"/>
          <w:lang w:eastAsia="cs-CZ"/>
        </w:rPr>
        <w:t xml:space="preserve"> </w:t>
      </w:r>
      <w:r w:rsidR="00D80A3F" w:rsidRPr="0098563A">
        <w:rPr>
          <w:sz w:val="24"/>
          <w:szCs w:val="24"/>
          <w:lang w:eastAsia="cs-CZ"/>
        </w:rPr>
        <w:t>Ak práca</w:t>
      </w:r>
      <w:r w:rsidR="009A6B70" w:rsidRPr="0098563A">
        <w:rPr>
          <w:sz w:val="24"/>
          <w:szCs w:val="24"/>
          <w:lang w:eastAsia="cs-CZ"/>
        </w:rPr>
        <w:t xml:space="preserve">, z ktorej bola vstupná daň z pridanej hodnoty odpočítaná, </w:t>
      </w:r>
      <w:r w:rsidR="00D80A3F" w:rsidRPr="0098563A">
        <w:rPr>
          <w:sz w:val="24"/>
          <w:szCs w:val="24"/>
          <w:lang w:eastAsia="cs-CZ"/>
        </w:rPr>
        <w:t xml:space="preserve">vykonaná na tovaroch (v tomto prípade motorové vozidlo) po ich kúpe, nevedie k vzniku povinnosti k dani z pridanej hodnoty podľa článku 5 ods. 6 šiestej smernice. 77/388 keď je vozidlo použité, daň z pridanej hodnoty odpočítaná v súvislosti s touto prácou musí byť opravená v súlade s článkom 20, odsek 1, písm. b) </w:t>
      </w:r>
      <w:r w:rsidR="009A6B70" w:rsidRPr="0098563A">
        <w:rPr>
          <w:sz w:val="24"/>
          <w:szCs w:val="24"/>
          <w:lang w:eastAsia="cs-CZ"/>
        </w:rPr>
        <w:t>tejto smernice, ak hodnota tejto práce nebola úplne spotrebovaná v súvislosti s ekonomickou činnosťou zdaniteľnej osoby predtým ako je vozidlo preradené do jej súkromného majetku</w:t>
      </w:r>
      <w:r w:rsidR="00496CBB" w:rsidRPr="0098563A">
        <w:rPr>
          <w:sz w:val="24"/>
          <w:szCs w:val="24"/>
          <w:lang w:eastAsia="cs-CZ"/>
        </w:rPr>
        <w:t>.“</w:t>
      </w:r>
      <w:r w:rsidR="009A6B70" w:rsidRPr="0098563A">
        <w:rPr>
          <w:sz w:val="24"/>
          <w:szCs w:val="24"/>
          <w:lang w:eastAsia="cs-CZ"/>
        </w:rPr>
        <w:t xml:space="preserve">  </w:t>
      </w:r>
    </w:p>
    <w:p w:rsidR="00D80A3F" w:rsidRPr="0098563A" w:rsidRDefault="00D80A3F" w:rsidP="0098563A">
      <w:pPr>
        <w:pStyle w:val="Normlnywebov"/>
        <w:spacing w:before="0" w:after="0"/>
        <w:jc w:val="both"/>
        <w:rPr>
          <w:sz w:val="24"/>
          <w:szCs w:val="24"/>
          <w:lang w:eastAsia="cs-CZ"/>
        </w:rPr>
      </w:pPr>
    </w:p>
    <w:p w:rsidR="00496CBB" w:rsidRDefault="0098563A" w:rsidP="0098563A">
      <w:pPr>
        <w:pStyle w:val="Zkladntext"/>
        <w:spacing w:after="0"/>
        <w:ind w:left="900"/>
        <w:jc w:val="both"/>
      </w:pPr>
      <w:r>
        <w:t xml:space="preserve">- </w:t>
      </w:r>
      <w:r w:rsidR="00496CBB">
        <w:t>rozsudok</w:t>
      </w:r>
      <w:r w:rsidR="00496CBB" w:rsidRPr="00603ED7">
        <w:t xml:space="preserve"> </w:t>
      </w:r>
      <w:r>
        <w:t>Súdneho dvora vo veci</w:t>
      </w:r>
      <w:r w:rsidR="00496CBB">
        <w:t xml:space="preserve"> C – 422/17 </w:t>
      </w:r>
      <w:proofErr w:type="spellStart"/>
      <w:r w:rsidR="00496CBB">
        <w:t>Szef</w:t>
      </w:r>
      <w:proofErr w:type="spellEnd"/>
      <w:r w:rsidR="00496CBB">
        <w:t xml:space="preserve"> </w:t>
      </w:r>
      <w:proofErr w:type="spellStart"/>
      <w:r w:rsidR="00496CBB">
        <w:t>Krajowej</w:t>
      </w:r>
      <w:proofErr w:type="spellEnd"/>
      <w:r w:rsidR="00496CBB">
        <w:t xml:space="preserve"> </w:t>
      </w:r>
      <w:proofErr w:type="spellStart"/>
      <w:r w:rsidR="00496CBB">
        <w:t>Administracji</w:t>
      </w:r>
      <w:proofErr w:type="spellEnd"/>
      <w:r w:rsidR="00496CBB">
        <w:t xml:space="preserve"> </w:t>
      </w:r>
      <w:proofErr w:type="spellStart"/>
      <w:r w:rsidR="00496CBB">
        <w:t>Skarbowej</w:t>
      </w:r>
      <w:proofErr w:type="spellEnd"/>
      <w:r w:rsidR="00496CBB">
        <w:t xml:space="preserve"> proti </w:t>
      </w:r>
      <w:proofErr w:type="spellStart"/>
      <w:r w:rsidR="00496CBB">
        <w:t>Skarpa</w:t>
      </w:r>
      <w:proofErr w:type="spellEnd"/>
      <w:r w:rsidR="00496CBB">
        <w:t xml:space="preserve"> </w:t>
      </w:r>
      <w:proofErr w:type="spellStart"/>
      <w:r w:rsidR="00496CBB">
        <w:t>Travel</w:t>
      </w:r>
      <w:proofErr w:type="spellEnd"/>
      <w:r w:rsidR="00496CBB">
        <w:t xml:space="preserve"> </w:t>
      </w:r>
      <w:proofErr w:type="spellStart"/>
      <w:r w:rsidR="00496CBB">
        <w:t>sp</w:t>
      </w:r>
      <w:proofErr w:type="spellEnd"/>
      <w:r w:rsidR="00496CBB">
        <w:t xml:space="preserve">. z </w:t>
      </w:r>
      <w:proofErr w:type="spellStart"/>
      <w:r w:rsidR="00496CBB">
        <w:t>o.o</w:t>
      </w:r>
      <w:proofErr w:type="spellEnd"/>
      <w:r w:rsidR="00496CBB">
        <w:t xml:space="preserve">. w </w:t>
      </w:r>
      <w:proofErr w:type="spellStart"/>
      <w:r w:rsidR="00496CBB">
        <w:t>Krakowie</w:t>
      </w:r>
      <w:proofErr w:type="spellEnd"/>
      <w:r w:rsidR="00496CBB">
        <w:t xml:space="preserve"> [2018],</w:t>
      </w:r>
    </w:p>
    <w:p w:rsidR="00496CBB" w:rsidRDefault="00496CBB" w:rsidP="0098563A">
      <w:pPr>
        <w:pStyle w:val="Normlnywebov"/>
        <w:spacing w:before="0" w:after="0"/>
        <w:ind w:left="900"/>
        <w:jc w:val="both"/>
        <w:rPr>
          <w:i/>
          <w:sz w:val="24"/>
          <w:szCs w:val="24"/>
          <w:lang w:eastAsia="cs-CZ"/>
        </w:rPr>
      </w:pPr>
    </w:p>
    <w:p w:rsidR="00496CBB" w:rsidRDefault="00496CBB" w:rsidP="0098563A">
      <w:pPr>
        <w:pStyle w:val="Normlnywebov"/>
        <w:spacing w:before="0" w:after="0"/>
        <w:ind w:left="900"/>
        <w:jc w:val="both"/>
        <w:rPr>
          <w:sz w:val="24"/>
          <w:szCs w:val="24"/>
          <w:lang w:eastAsia="cs-CZ"/>
        </w:rPr>
      </w:pPr>
      <w:r w:rsidRPr="00496CBB">
        <w:rPr>
          <w:sz w:val="24"/>
          <w:szCs w:val="24"/>
          <w:lang w:eastAsia="cs-CZ"/>
        </w:rPr>
        <w:t>Výrok roz</w:t>
      </w:r>
      <w:r>
        <w:rPr>
          <w:sz w:val="24"/>
          <w:szCs w:val="24"/>
          <w:lang w:eastAsia="cs-CZ"/>
        </w:rPr>
        <w:t>sudku:</w:t>
      </w:r>
    </w:p>
    <w:p w:rsidR="00496CBB" w:rsidRPr="0098563A" w:rsidRDefault="00496CBB" w:rsidP="0098563A">
      <w:pPr>
        <w:pStyle w:val="Normlnywebov"/>
        <w:spacing w:before="0" w:after="0"/>
        <w:ind w:left="900"/>
        <w:jc w:val="both"/>
        <w:rPr>
          <w:sz w:val="24"/>
          <w:szCs w:val="24"/>
          <w:lang w:eastAsia="cs-CZ"/>
        </w:rPr>
      </w:pPr>
    </w:p>
    <w:p w:rsidR="00496CBB" w:rsidRPr="0098563A" w:rsidRDefault="00496CBB" w:rsidP="0098563A">
      <w:pPr>
        <w:pStyle w:val="Normlnywebov"/>
        <w:spacing w:before="0" w:after="0"/>
        <w:ind w:left="902" w:right="28"/>
        <w:jc w:val="both"/>
        <w:rPr>
          <w:sz w:val="24"/>
          <w:szCs w:val="24"/>
          <w:lang w:eastAsia="cs-CZ"/>
        </w:rPr>
      </w:pPr>
      <w:r w:rsidRPr="0098563A">
        <w:rPr>
          <w:sz w:val="24"/>
          <w:szCs w:val="24"/>
          <w:lang w:eastAsia="cs-CZ"/>
        </w:rPr>
        <w:t>„1. Články 65 a 306 až 310 smernice Rady 2006/112/ES z 28. novembra 2006 o spoločnom systéme dane z pridanej hodnoty, zmenenej smernicou Rady 2010/45/EÚ z 13. júla 2010, sa majú vykladať v tom zmysle, že v prípade, že cestovná kancelária, na ktorú sa vzťahuje osobitná právna úprava v týchto článkoch 306 až 310, prijme platbu na účet za služby v cestovnom ruchu, ktoré poskytne cestujúcemu, daňová povinnosť na daň z pridanej hodnoty (DPH) vzniká podľa článku 65 v okamihu prijatia tejto platby pod podmienkou, že v tomto okamihu sú služby v cestovnom ruchu, ktoré sa majú poskytnúť, presne určené.</w:t>
      </w:r>
    </w:p>
    <w:p w:rsidR="00D80A3F" w:rsidRPr="0098563A" w:rsidRDefault="00496CBB" w:rsidP="0098563A">
      <w:pPr>
        <w:pStyle w:val="Normlnywebov"/>
        <w:spacing w:before="0" w:after="0"/>
        <w:ind w:left="902" w:right="28"/>
        <w:jc w:val="both"/>
        <w:rPr>
          <w:sz w:val="24"/>
          <w:szCs w:val="24"/>
          <w:lang w:eastAsia="cs-CZ"/>
        </w:rPr>
      </w:pPr>
      <w:r w:rsidRPr="0098563A">
        <w:rPr>
          <w:sz w:val="24"/>
          <w:szCs w:val="24"/>
          <w:lang w:eastAsia="cs-CZ"/>
        </w:rPr>
        <w:t xml:space="preserve">2. Článok 308 smernice 2006/112, zmenenej smernicou 2010/45, sa má vykladať v tom zmysle, že prirážka cestovnej kancelárie a v dôsledku toho jej základ dane tvorí rozdiel medzi celkovou sumou bez dane z pridanej hodnoty (DPH), ktorú zaplatí cestujúci, a skutočnými nákladmi vynaloženými na vstupe cestovnou kanceláriou z titulu dodania tovaru a poskytnutia služieb inými zdaniteľnými osobami, ak tieto transakcie priamo slúžia v prospech zákazníka. Ak výška platby na účet zodpovedá celkovej cene služby v cestovnom ruchu alebo podstatnej časti tejto ceny a cestovnej kancelárii ešte nevznikli žiadne skutočné náklady alebo len obmedzená časť celkových individuálnych nákladov na túto službu, alebo ak skutočné individuálne náklady cestovnej kancelárie na cestu nemožno určiť v čase zaplatenia platby na účet, prirážka sa môže určiť na základe odhadu celkových skutočných nákladov, ktoré kancelária bude v konečnom dôsledku znášať. V súvislosti s týmto odhadom musí cestovná kancelária prípadne vziať do úvahy náklady, ktoré už skutočne vynaložila v okamihu prijatia platby na účet. Na účely výpočtu prirážky sa celkové skutočne predpokladané náklady odpočítajú od celkovej ceny za cestu a základ DPH, ktorý sa má zaplatiť v okamihu prijatia platby na účet, sa vypočíta vynásobením </w:t>
      </w:r>
      <w:r w:rsidRPr="0098563A">
        <w:rPr>
          <w:sz w:val="24"/>
          <w:szCs w:val="24"/>
          <w:lang w:eastAsia="cs-CZ"/>
        </w:rPr>
        <w:lastRenderedPageBreak/>
        <w:t>sumy tejto platby percentom, ktoré predstavuje takto určená očakávaná prirážka v celkovej cene za cestu.“</w:t>
      </w:r>
      <w:r w:rsidR="001C19A1">
        <w:rPr>
          <w:sz w:val="24"/>
          <w:szCs w:val="24"/>
          <w:lang w:eastAsia="cs-CZ"/>
        </w:rPr>
        <w:t>.</w:t>
      </w:r>
    </w:p>
    <w:p w:rsidR="00603ED7" w:rsidRPr="00603ED7" w:rsidRDefault="00603ED7" w:rsidP="00B648DC">
      <w:pPr>
        <w:pStyle w:val="Zkladntext"/>
        <w:spacing w:after="0"/>
        <w:ind w:left="850"/>
        <w:jc w:val="both"/>
      </w:pPr>
    </w:p>
    <w:p w:rsidR="00ED6F91" w:rsidRPr="00181470" w:rsidRDefault="00ED6F91" w:rsidP="00B648DC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b/>
          <w:bCs/>
        </w:rPr>
      </w:pPr>
      <w:r w:rsidRPr="00181470">
        <w:rPr>
          <w:rFonts w:ascii="Times New Roman" w:hAnsi="Times New Roman" w:cs="Times New Roman"/>
          <w:b/>
          <w:bCs/>
        </w:rPr>
        <w:t>Záväzky Slovenskej republiky vo vzťahu k Európskej únii:</w:t>
      </w:r>
    </w:p>
    <w:p w:rsidR="00E3436B" w:rsidRPr="00181470" w:rsidRDefault="00A5051A" w:rsidP="00B648DC">
      <w:pPr>
        <w:pStyle w:val="Zkladntext"/>
        <w:numPr>
          <w:ilvl w:val="0"/>
          <w:numId w:val="5"/>
        </w:numPr>
        <w:tabs>
          <w:tab w:val="left" w:pos="360"/>
          <w:tab w:val="left" w:pos="540"/>
        </w:tabs>
        <w:spacing w:after="0"/>
        <w:jc w:val="both"/>
      </w:pPr>
      <w:r w:rsidRPr="00181470">
        <w:t>L</w:t>
      </w:r>
      <w:r w:rsidR="008203E4" w:rsidRPr="00181470">
        <w:t>ehota na prebratie smernice 2018/1910 je stanovená do 31.12. 2019</w:t>
      </w:r>
      <w:r w:rsidR="00522DFA" w:rsidRPr="00181470">
        <w:t>.</w:t>
      </w:r>
      <w:r w:rsidR="00421D37" w:rsidRPr="00181470">
        <w:t xml:space="preserve"> Lehota na prebratie smernice 2019/475 je stanovená do 31.12. 2019.</w:t>
      </w:r>
    </w:p>
    <w:p w:rsidR="00ED6F91" w:rsidRPr="00181470" w:rsidRDefault="0025749D" w:rsidP="00B648DC">
      <w:pPr>
        <w:pStyle w:val="Zkladntext"/>
        <w:numPr>
          <w:ilvl w:val="0"/>
          <w:numId w:val="5"/>
        </w:numPr>
        <w:tabs>
          <w:tab w:val="left" w:pos="360"/>
        </w:tabs>
        <w:spacing w:after="0"/>
        <w:jc w:val="both"/>
      </w:pPr>
      <w:r w:rsidRPr="00181470">
        <w:t>Proti S</w:t>
      </w:r>
      <w:r w:rsidR="003456A0" w:rsidRPr="00181470">
        <w:t xml:space="preserve">lovenskej republike </w:t>
      </w:r>
      <w:r w:rsidR="009D4299" w:rsidRPr="00181470">
        <w:t>ne</w:t>
      </w:r>
      <w:r w:rsidRPr="00181470">
        <w:t>bolo začaté konanie</w:t>
      </w:r>
      <w:r w:rsidR="00423F32" w:rsidRPr="00181470">
        <w:t xml:space="preserve"> v rámci „EÚ Pilot“, ani nebol začatý postup EK ako aj nebolo začaté konanie Súdneho dvora EÚ proti SR</w:t>
      </w:r>
      <w:r w:rsidR="00B47BE8" w:rsidRPr="00181470">
        <w:t xml:space="preserve"> </w:t>
      </w:r>
      <w:r w:rsidRPr="00181470">
        <w:t>podľa čl. 258 až 260 Zmluvy o fungovaní Európskej únie</w:t>
      </w:r>
      <w:r w:rsidR="00ED6F91" w:rsidRPr="00181470">
        <w:t>.</w:t>
      </w:r>
    </w:p>
    <w:p w:rsidR="00A5051A" w:rsidRPr="007964E5" w:rsidRDefault="007D0443" w:rsidP="00B648DC">
      <w:pPr>
        <w:pStyle w:val="Zkladntext"/>
        <w:numPr>
          <w:ilvl w:val="0"/>
          <w:numId w:val="5"/>
        </w:numPr>
        <w:tabs>
          <w:tab w:val="left" w:pos="360"/>
        </w:tabs>
        <w:spacing w:after="0"/>
        <w:jc w:val="both"/>
      </w:pPr>
      <w:r>
        <w:t>Smernice sú prebraté do z</w:t>
      </w:r>
      <w:r w:rsidR="007964E5">
        <w:t>ákon</w:t>
      </w:r>
      <w:r>
        <w:t>a</w:t>
      </w:r>
      <w:r w:rsidR="007964E5">
        <w:t xml:space="preserve"> č. 222/2004 Z. z. o dani z pridanej hodnoty v znení neskorších predpisov</w:t>
      </w:r>
      <w:r w:rsidR="00A5051A" w:rsidRPr="007964E5">
        <w:t xml:space="preserve">.  </w:t>
      </w:r>
      <w:r>
        <w:t xml:space="preserve">Povinné ustanovenia smerníc sú prebraté v plnom rozsahu. </w:t>
      </w:r>
    </w:p>
    <w:p w:rsidR="00B648DC" w:rsidRPr="00181470" w:rsidRDefault="00B648DC" w:rsidP="00B648DC">
      <w:pPr>
        <w:pStyle w:val="Zkladntext"/>
        <w:tabs>
          <w:tab w:val="left" w:pos="360"/>
        </w:tabs>
        <w:spacing w:after="0"/>
        <w:ind w:left="785"/>
        <w:jc w:val="both"/>
      </w:pPr>
    </w:p>
    <w:p w:rsidR="00ED6F91" w:rsidRPr="00181470" w:rsidRDefault="00CE4115" w:rsidP="00B648DC">
      <w:pPr>
        <w:pStyle w:val="Odsekzoznamu"/>
        <w:numPr>
          <w:ilvl w:val="0"/>
          <w:numId w:val="1"/>
        </w:numPr>
        <w:tabs>
          <w:tab w:val="left" w:pos="360"/>
        </w:tabs>
        <w:jc w:val="both"/>
        <w:rPr>
          <w:b/>
          <w:bCs/>
        </w:rPr>
      </w:pPr>
      <w:r w:rsidRPr="00181470">
        <w:rPr>
          <w:b/>
          <w:bCs/>
        </w:rPr>
        <w:t>Návrh</w:t>
      </w:r>
      <w:r w:rsidR="00ED6F91" w:rsidRPr="00181470">
        <w:rPr>
          <w:b/>
          <w:bCs/>
        </w:rPr>
        <w:t xml:space="preserve"> zákona</w:t>
      </w:r>
      <w:r w:rsidRPr="00181470">
        <w:rPr>
          <w:b/>
          <w:bCs/>
        </w:rPr>
        <w:t xml:space="preserve"> je zlučiteľný</w:t>
      </w:r>
      <w:r w:rsidR="00ED6F91" w:rsidRPr="00181470">
        <w:rPr>
          <w:b/>
          <w:bCs/>
        </w:rPr>
        <w:t xml:space="preserve"> s právom Európskej únie:</w:t>
      </w:r>
    </w:p>
    <w:p w:rsidR="00CC3ADA" w:rsidRPr="00181470" w:rsidRDefault="00CC3ADA" w:rsidP="00B648DC">
      <w:pPr>
        <w:pStyle w:val="Odsekzoznamu"/>
        <w:tabs>
          <w:tab w:val="left" w:pos="360"/>
        </w:tabs>
        <w:ind w:left="425"/>
        <w:jc w:val="both"/>
        <w:rPr>
          <w:b/>
          <w:bCs/>
        </w:rPr>
      </w:pPr>
      <w:bookmarkStart w:id="0" w:name="_GoBack"/>
      <w:bookmarkEnd w:id="0"/>
    </w:p>
    <w:p w:rsidR="00CC3ADA" w:rsidRPr="00181470" w:rsidRDefault="00CE4115" w:rsidP="00B648DC">
      <w:pPr>
        <w:pStyle w:val="Odsekzoznamu"/>
        <w:tabs>
          <w:tab w:val="left" w:pos="360"/>
        </w:tabs>
        <w:ind w:left="425"/>
        <w:jc w:val="both"/>
        <w:rPr>
          <w:bCs/>
        </w:rPr>
      </w:pPr>
      <w:r w:rsidRPr="00181470">
        <w:rPr>
          <w:bCs/>
        </w:rPr>
        <w:t>Ú</w:t>
      </w:r>
      <w:r w:rsidR="00CC3ADA" w:rsidRPr="00181470">
        <w:rPr>
          <w:bCs/>
        </w:rPr>
        <w:t>pln</w:t>
      </w:r>
      <w:r w:rsidRPr="00181470">
        <w:rPr>
          <w:bCs/>
        </w:rPr>
        <w:t>e</w:t>
      </w:r>
      <w:r w:rsidR="002074CF" w:rsidRPr="00181470">
        <w:rPr>
          <w:bCs/>
        </w:rPr>
        <w:t>.</w:t>
      </w:r>
    </w:p>
    <w:sectPr w:rsidR="00CC3ADA" w:rsidRPr="00181470" w:rsidSect="00DC1DF2">
      <w:footerReference w:type="even" r:id="rId8"/>
      <w:footerReference w:type="default" r:id="rId9"/>
      <w:pgSz w:w="11906" w:h="16838" w:code="9"/>
      <w:pgMar w:top="1191" w:right="1191" w:bottom="1191" w:left="119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464" w:rsidRDefault="00FC6464">
      <w:r>
        <w:separator/>
      </w:r>
    </w:p>
  </w:endnote>
  <w:endnote w:type="continuationSeparator" w:id="0">
    <w:p w:rsidR="00FC6464" w:rsidRDefault="00FC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DA" w:rsidRDefault="00CC3ADA" w:rsidP="0019789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C3ADA" w:rsidRDefault="00CC3ADA" w:rsidP="0019789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DA" w:rsidRDefault="00CC3ADA" w:rsidP="0019789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464" w:rsidRDefault="00FC6464">
      <w:r>
        <w:separator/>
      </w:r>
    </w:p>
  </w:footnote>
  <w:footnote w:type="continuationSeparator" w:id="0">
    <w:p w:rsidR="00FC6464" w:rsidRDefault="00FC6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25pt;height:13.5pt" o:bullet="t">
        <v:imagedata r:id="rId1" o:title="bull"/>
      </v:shape>
    </w:pict>
  </w:numPicBullet>
  <w:numPicBullet w:numPicBulletId="1">
    <w:pict>
      <v:shape id="_x0000_i1087" type="#_x0000_t75" style="width:3in;height:3in" o:bullet="t"/>
    </w:pict>
  </w:numPicBullet>
  <w:numPicBullet w:numPicBulletId="2">
    <w:pict>
      <v:shape id="_x0000_i1088" type="#_x0000_t75" style="width:3in;height:3in" o:bullet="t"/>
    </w:pict>
  </w:numPicBullet>
  <w:numPicBullet w:numPicBulletId="3">
    <w:pict>
      <v:shape id="_x0000_i1089" type="#_x0000_t75" style="width:3in;height:3in" o:bullet="t"/>
    </w:pict>
  </w:numPicBullet>
  <w:numPicBullet w:numPicBulletId="4">
    <w:pict>
      <v:shape id="_x0000_i1090" type="#_x0000_t75" style="width:3in;height:3in" o:bullet="t"/>
    </w:pict>
  </w:numPicBullet>
  <w:numPicBullet w:numPicBulletId="5">
    <w:pict>
      <v:shape id="_x0000_i1091" type="#_x0000_t75" style="width:3in;height:3in" o:bullet="t"/>
    </w:pict>
  </w:numPicBullet>
  <w:abstractNum w:abstractNumId="0" w15:restartNumberingAfterBreak="0">
    <w:nsid w:val="0193146C"/>
    <w:multiLevelType w:val="hybridMultilevel"/>
    <w:tmpl w:val="44528930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 w15:restartNumberingAfterBreak="0">
    <w:nsid w:val="0749197D"/>
    <w:multiLevelType w:val="multilevel"/>
    <w:tmpl w:val="10FA859E"/>
    <w:lvl w:ilvl="0">
      <w:start w:val="6"/>
      <w:numFmt w:val="bullet"/>
      <w:lvlText w:val="-"/>
      <w:lvlJc w:val="left"/>
      <w:pPr>
        <w:ind w:left="993" w:hanging="425"/>
      </w:pPr>
      <w:rPr>
        <w:rFonts w:ascii="Times New Roman" w:eastAsia="Times New Roman" w:hAnsi="Times New Roman" w:hint="default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1418" w:hanging="425"/>
      </w:pPr>
    </w:lvl>
    <w:lvl w:ilvl="2">
      <w:start w:val="1"/>
      <w:numFmt w:val="decimal"/>
      <w:lvlText w:val="%3.)"/>
      <w:legacy w:legacy="1" w:legacySpace="0" w:legacyIndent="425"/>
      <w:lvlJc w:val="left"/>
      <w:pPr>
        <w:ind w:left="1843" w:hanging="425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55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25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96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67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38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091" w:hanging="708"/>
      </w:pPr>
    </w:lvl>
  </w:abstractNum>
  <w:abstractNum w:abstractNumId="2" w15:restartNumberingAfterBreak="0">
    <w:nsid w:val="124B0749"/>
    <w:multiLevelType w:val="hybridMultilevel"/>
    <w:tmpl w:val="236AF06C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D2169"/>
    <w:multiLevelType w:val="hybridMultilevel"/>
    <w:tmpl w:val="435C7804"/>
    <w:lvl w:ilvl="0" w:tplc="04B4E764">
      <w:start w:val="2"/>
      <w:numFmt w:val="decimal"/>
      <w:lvlText w:val="%1."/>
      <w:lvlJc w:val="left"/>
      <w:pPr>
        <w:ind w:left="720" w:hanging="360"/>
      </w:pPr>
      <w:rPr>
        <w:rFonts w:cs="Arial Narrow" w:hint="default"/>
        <w:u w:val="none"/>
      </w:rPr>
    </w:lvl>
    <w:lvl w:ilvl="1" w:tplc="0C0C94D6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3F2D1F"/>
    <w:multiLevelType w:val="hybridMultilevel"/>
    <w:tmpl w:val="2976140A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BB08A6"/>
    <w:multiLevelType w:val="hybridMultilevel"/>
    <w:tmpl w:val="1FB241BC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204527"/>
    <w:multiLevelType w:val="hybridMultilevel"/>
    <w:tmpl w:val="574A07BE"/>
    <w:lvl w:ilvl="0" w:tplc="CCCEB20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C9B77D4"/>
    <w:multiLevelType w:val="multilevel"/>
    <w:tmpl w:val="D4E25A3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b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</w:lvl>
  </w:abstractNum>
  <w:abstractNum w:abstractNumId="8" w15:restartNumberingAfterBreak="0">
    <w:nsid w:val="6AB62683"/>
    <w:multiLevelType w:val="singleLevel"/>
    <w:tmpl w:val="768E8086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3196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0" w15:restartNumberingAfterBreak="0">
    <w:nsid w:val="7C09451C"/>
    <w:multiLevelType w:val="multilevel"/>
    <w:tmpl w:val="FC50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C06BC2"/>
    <w:multiLevelType w:val="multilevel"/>
    <w:tmpl w:val="70DE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0"/>
  </w:num>
  <w:num w:numId="7">
    <w:abstractNumId w:val="11"/>
  </w:num>
  <w:num w:numId="8">
    <w:abstractNumId w:val="3"/>
  </w:num>
  <w:num w:numId="9">
    <w:abstractNumId w:val="1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91"/>
    <w:rsid w:val="00000627"/>
    <w:rsid w:val="000076A9"/>
    <w:rsid w:val="000123E9"/>
    <w:rsid w:val="00012948"/>
    <w:rsid w:val="00030077"/>
    <w:rsid w:val="00046C33"/>
    <w:rsid w:val="00054061"/>
    <w:rsid w:val="000644A2"/>
    <w:rsid w:val="00086349"/>
    <w:rsid w:val="00087337"/>
    <w:rsid w:val="000A5314"/>
    <w:rsid w:val="000B0C86"/>
    <w:rsid w:val="000C755E"/>
    <w:rsid w:val="000D3A05"/>
    <w:rsid w:val="000F792F"/>
    <w:rsid w:val="0010177A"/>
    <w:rsid w:val="00106F2D"/>
    <w:rsid w:val="00111D33"/>
    <w:rsid w:val="00112A40"/>
    <w:rsid w:val="00121C8D"/>
    <w:rsid w:val="0013508C"/>
    <w:rsid w:val="001522A5"/>
    <w:rsid w:val="00161DDC"/>
    <w:rsid w:val="001664F5"/>
    <w:rsid w:val="00166969"/>
    <w:rsid w:val="00176C55"/>
    <w:rsid w:val="00181470"/>
    <w:rsid w:val="00190FC0"/>
    <w:rsid w:val="001918F5"/>
    <w:rsid w:val="00193476"/>
    <w:rsid w:val="0019573E"/>
    <w:rsid w:val="0019789C"/>
    <w:rsid w:val="001A0EA4"/>
    <w:rsid w:val="001A3F0B"/>
    <w:rsid w:val="001A6184"/>
    <w:rsid w:val="001B0176"/>
    <w:rsid w:val="001B5F74"/>
    <w:rsid w:val="001C19A1"/>
    <w:rsid w:val="001C7871"/>
    <w:rsid w:val="001D3990"/>
    <w:rsid w:val="001E2193"/>
    <w:rsid w:val="001E28D3"/>
    <w:rsid w:val="001E31DC"/>
    <w:rsid w:val="001F3CF3"/>
    <w:rsid w:val="001F4E0C"/>
    <w:rsid w:val="00201D26"/>
    <w:rsid w:val="002074CF"/>
    <w:rsid w:val="00216A4A"/>
    <w:rsid w:val="002243BD"/>
    <w:rsid w:val="0022751F"/>
    <w:rsid w:val="0024073C"/>
    <w:rsid w:val="00244387"/>
    <w:rsid w:val="002540E8"/>
    <w:rsid w:val="0025749D"/>
    <w:rsid w:val="002719B4"/>
    <w:rsid w:val="00272618"/>
    <w:rsid w:val="00275CD7"/>
    <w:rsid w:val="002865EC"/>
    <w:rsid w:val="00293A0E"/>
    <w:rsid w:val="002A0B41"/>
    <w:rsid w:val="002A37C5"/>
    <w:rsid w:val="002C467A"/>
    <w:rsid w:val="002C6DA7"/>
    <w:rsid w:val="002D26AA"/>
    <w:rsid w:val="002D33C4"/>
    <w:rsid w:val="002D3E61"/>
    <w:rsid w:val="002E0191"/>
    <w:rsid w:val="00312E67"/>
    <w:rsid w:val="00323322"/>
    <w:rsid w:val="0032661B"/>
    <w:rsid w:val="00330914"/>
    <w:rsid w:val="003321B0"/>
    <w:rsid w:val="0034386E"/>
    <w:rsid w:val="003456A0"/>
    <w:rsid w:val="0035021B"/>
    <w:rsid w:val="00387C38"/>
    <w:rsid w:val="003A7AE4"/>
    <w:rsid w:val="003C6BB6"/>
    <w:rsid w:val="003D6923"/>
    <w:rsid w:val="003E3DB6"/>
    <w:rsid w:val="003E3E82"/>
    <w:rsid w:val="003E580E"/>
    <w:rsid w:val="00417B76"/>
    <w:rsid w:val="00421D37"/>
    <w:rsid w:val="00422083"/>
    <w:rsid w:val="004220D4"/>
    <w:rsid w:val="00423F32"/>
    <w:rsid w:val="004306E4"/>
    <w:rsid w:val="00442492"/>
    <w:rsid w:val="0045408A"/>
    <w:rsid w:val="004547BE"/>
    <w:rsid w:val="004732CE"/>
    <w:rsid w:val="004752C9"/>
    <w:rsid w:val="00482113"/>
    <w:rsid w:val="00483D23"/>
    <w:rsid w:val="0049159F"/>
    <w:rsid w:val="00491F99"/>
    <w:rsid w:val="004943D5"/>
    <w:rsid w:val="00496CBB"/>
    <w:rsid w:val="004C4A91"/>
    <w:rsid w:val="004C61C4"/>
    <w:rsid w:val="004E35AA"/>
    <w:rsid w:val="004F6370"/>
    <w:rsid w:val="004F74A9"/>
    <w:rsid w:val="00513C44"/>
    <w:rsid w:val="00522DFA"/>
    <w:rsid w:val="005250CE"/>
    <w:rsid w:val="00525CD1"/>
    <w:rsid w:val="005338AF"/>
    <w:rsid w:val="00554A9F"/>
    <w:rsid w:val="0058023E"/>
    <w:rsid w:val="005B6995"/>
    <w:rsid w:val="005C4364"/>
    <w:rsid w:val="005C797B"/>
    <w:rsid w:val="005D34AF"/>
    <w:rsid w:val="005D3AB9"/>
    <w:rsid w:val="005E6D74"/>
    <w:rsid w:val="005F3542"/>
    <w:rsid w:val="005F4B42"/>
    <w:rsid w:val="005F7E82"/>
    <w:rsid w:val="00603ED7"/>
    <w:rsid w:val="00604640"/>
    <w:rsid w:val="00610F3B"/>
    <w:rsid w:val="0062538C"/>
    <w:rsid w:val="006266E0"/>
    <w:rsid w:val="006364DD"/>
    <w:rsid w:val="006404AD"/>
    <w:rsid w:val="00640B06"/>
    <w:rsid w:val="006544B5"/>
    <w:rsid w:val="006651FC"/>
    <w:rsid w:val="00672B49"/>
    <w:rsid w:val="006868A7"/>
    <w:rsid w:val="00697DDD"/>
    <w:rsid w:val="006A4EF4"/>
    <w:rsid w:val="006B206F"/>
    <w:rsid w:val="006F4200"/>
    <w:rsid w:val="007164BF"/>
    <w:rsid w:val="007172FB"/>
    <w:rsid w:val="00721380"/>
    <w:rsid w:val="00732D0F"/>
    <w:rsid w:val="00757F6F"/>
    <w:rsid w:val="00774E0B"/>
    <w:rsid w:val="00776F43"/>
    <w:rsid w:val="00790236"/>
    <w:rsid w:val="007964E5"/>
    <w:rsid w:val="007A164A"/>
    <w:rsid w:val="007A4ABF"/>
    <w:rsid w:val="007B5D48"/>
    <w:rsid w:val="007C1094"/>
    <w:rsid w:val="007D0443"/>
    <w:rsid w:val="007D047F"/>
    <w:rsid w:val="007F198C"/>
    <w:rsid w:val="007F78D4"/>
    <w:rsid w:val="007F792C"/>
    <w:rsid w:val="0080216E"/>
    <w:rsid w:val="008170C8"/>
    <w:rsid w:val="00817E6D"/>
    <w:rsid w:val="008203E4"/>
    <w:rsid w:val="00845BEF"/>
    <w:rsid w:val="00846A75"/>
    <w:rsid w:val="008664C6"/>
    <w:rsid w:val="008730C2"/>
    <w:rsid w:val="008827AE"/>
    <w:rsid w:val="008830BA"/>
    <w:rsid w:val="00891342"/>
    <w:rsid w:val="008928A9"/>
    <w:rsid w:val="00893A02"/>
    <w:rsid w:val="008A4E3A"/>
    <w:rsid w:val="008B0368"/>
    <w:rsid w:val="008B3369"/>
    <w:rsid w:val="008B56D1"/>
    <w:rsid w:val="008C6C83"/>
    <w:rsid w:val="00902F77"/>
    <w:rsid w:val="009075CB"/>
    <w:rsid w:val="00911977"/>
    <w:rsid w:val="0092017E"/>
    <w:rsid w:val="00925F9D"/>
    <w:rsid w:val="0094087E"/>
    <w:rsid w:val="00960664"/>
    <w:rsid w:val="009643F5"/>
    <w:rsid w:val="009666D2"/>
    <w:rsid w:val="009769D0"/>
    <w:rsid w:val="00980020"/>
    <w:rsid w:val="0098412F"/>
    <w:rsid w:val="0098563A"/>
    <w:rsid w:val="00987FE9"/>
    <w:rsid w:val="00997F82"/>
    <w:rsid w:val="009A3CF7"/>
    <w:rsid w:val="009A6B70"/>
    <w:rsid w:val="009B0FDE"/>
    <w:rsid w:val="009B26C3"/>
    <w:rsid w:val="009B6720"/>
    <w:rsid w:val="009B7FFD"/>
    <w:rsid w:val="009C221A"/>
    <w:rsid w:val="009D17B5"/>
    <w:rsid w:val="009D4299"/>
    <w:rsid w:val="009E1AF9"/>
    <w:rsid w:val="009F1C17"/>
    <w:rsid w:val="00A023E4"/>
    <w:rsid w:val="00A07395"/>
    <w:rsid w:val="00A07632"/>
    <w:rsid w:val="00A36959"/>
    <w:rsid w:val="00A40FB1"/>
    <w:rsid w:val="00A5051A"/>
    <w:rsid w:val="00A52A8A"/>
    <w:rsid w:val="00A60728"/>
    <w:rsid w:val="00A6226C"/>
    <w:rsid w:val="00A806B1"/>
    <w:rsid w:val="00A844E3"/>
    <w:rsid w:val="00A97AF9"/>
    <w:rsid w:val="00AA206F"/>
    <w:rsid w:val="00AB1CCC"/>
    <w:rsid w:val="00AB1EDF"/>
    <w:rsid w:val="00AB4B6C"/>
    <w:rsid w:val="00AC4875"/>
    <w:rsid w:val="00AC7789"/>
    <w:rsid w:val="00AD5A62"/>
    <w:rsid w:val="00AE0886"/>
    <w:rsid w:val="00AE1628"/>
    <w:rsid w:val="00AE2BD8"/>
    <w:rsid w:val="00AE2F0D"/>
    <w:rsid w:val="00AF7C8C"/>
    <w:rsid w:val="00B03964"/>
    <w:rsid w:val="00B32AF9"/>
    <w:rsid w:val="00B4216E"/>
    <w:rsid w:val="00B46875"/>
    <w:rsid w:val="00B47151"/>
    <w:rsid w:val="00B47BE8"/>
    <w:rsid w:val="00B550E2"/>
    <w:rsid w:val="00B55479"/>
    <w:rsid w:val="00B648DC"/>
    <w:rsid w:val="00B67B9A"/>
    <w:rsid w:val="00B76EA1"/>
    <w:rsid w:val="00B97038"/>
    <w:rsid w:val="00BA1052"/>
    <w:rsid w:val="00BB3A4A"/>
    <w:rsid w:val="00BB5203"/>
    <w:rsid w:val="00BE0846"/>
    <w:rsid w:val="00BF604A"/>
    <w:rsid w:val="00C04413"/>
    <w:rsid w:val="00C271CD"/>
    <w:rsid w:val="00C34205"/>
    <w:rsid w:val="00C42D69"/>
    <w:rsid w:val="00C47467"/>
    <w:rsid w:val="00C70CBA"/>
    <w:rsid w:val="00CA6412"/>
    <w:rsid w:val="00CB22E4"/>
    <w:rsid w:val="00CB3E76"/>
    <w:rsid w:val="00CC3ADA"/>
    <w:rsid w:val="00CE4115"/>
    <w:rsid w:val="00D04096"/>
    <w:rsid w:val="00D11007"/>
    <w:rsid w:val="00D122DC"/>
    <w:rsid w:val="00D45DB3"/>
    <w:rsid w:val="00D45FE4"/>
    <w:rsid w:val="00D46A83"/>
    <w:rsid w:val="00D504C2"/>
    <w:rsid w:val="00D517AD"/>
    <w:rsid w:val="00D53D52"/>
    <w:rsid w:val="00D6260F"/>
    <w:rsid w:val="00D71DA9"/>
    <w:rsid w:val="00D80A3F"/>
    <w:rsid w:val="00D87659"/>
    <w:rsid w:val="00D9261B"/>
    <w:rsid w:val="00D94B95"/>
    <w:rsid w:val="00DA45EC"/>
    <w:rsid w:val="00DA4E14"/>
    <w:rsid w:val="00DA52D6"/>
    <w:rsid w:val="00DC0F7A"/>
    <w:rsid w:val="00DC1847"/>
    <w:rsid w:val="00DC1DF2"/>
    <w:rsid w:val="00DC32BA"/>
    <w:rsid w:val="00DC5431"/>
    <w:rsid w:val="00DC55DE"/>
    <w:rsid w:val="00DE10B6"/>
    <w:rsid w:val="00DE20B4"/>
    <w:rsid w:val="00DE337E"/>
    <w:rsid w:val="00DF46F5"/>
    <w:rsid w:val="00E10D0E"/>
    <w:rsid w:val="00E26358"/>
    <w:rsid w:val="00E31512"/>
    <w:rsid w:val="00E3436B"/>
    <w:rsid w:val="00E34FE2"/>
    <w:rsid w:val="00E40940"/>
    <w:rsid w:val="00E43043"/>
    <w:rsid w:val="00E46714"/>
    <w:rsid w:val="00E5240D"/>
    <w:rsid w:val="00E63204"/>
    <w:rsid w:val="00E650E1"/>
    <w:rsid w:val="00E75E1C"/>
    <w:rsid w:val="00E76615"/>
    <w:rsid w:val="00E76FB9"/>
    <w:rsid w:val="00E92141"/>
    <w:rsid w:val="00EB633F"/>
    <w:rsid w:val="00EC59F6"/>
    <w:rsid w:val="00EC5AAC"/>
    <w:rsid w:val="00ED2F4A"/>
    <w:rsid w:val="00ED6F91"/>
    <w:rsid w:val="00EF209E"/>
    <w:rsid w:val="00EF521E"/>
    <w:rsid w:val="00EF62E2"/>
    <w:rsid w:val="00F01F02"/>
    <w:rsid w:val="00F033CC"/>
    <w:rsid w:val="00F07584"/>
    <w:rsid w:val="00F165C2"/>
    <w:rsid w:val="00F207C5"/>
    <w:rsid w:val="00F32166"/>
    <w:rsid w:val="00F4409E"/>
    <w:rsid w:val="00F45BD2"/>
    <w:rsid w:val="00F541BE"/>
    <w:rsid w:val="00F64833"/>
    <w:rsid w:val="00F66D86"/>
    <w:rsid w:val="00F723B3"/>
    <w:rsid w:val="00F7772C"/>
    <w:rsid w:val="00F83337"/>
    <w:rsid w:val="00F85826"/>
    <w:rsid w:val="00F97FFE"/>
    <w:rsid w:val="00FA5817"/>
    <w:rsid w:val="00FA76A2"/>
    <w:rsid w:val="00FB1D46"/>
    <w:rsid w:val="00FC6464"/>
    <w:rsid w:val="00FC78AF"/>
    <w:rsid w:val="00FE3A43"/>
    <w:rsid w:val="00F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66DBB-D5A1-4C59-92EB-B4169BF3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6F91"/>
    <w:rPr>
      <w:rFonts w:ascii="Arial" w:hAnsi="Arial" w:cs="Arial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ED6F91"/>
    <w:pPr>
      <w:ind w:firstLine="709"/>
      <w:jc w:val="both"/>
    </w:pPr>
    <w:rPr>
      <w:rFonts w:ascii="Times New Roman" w:hAnsi="Times New Roman" w:cs="Times New Roman"/>
    </w:rPr>
  </w:style>
  <w:style w:type="paragraph" w:styleId="Nzov">
    <w:name w:val="Title"/>
    <w:basedOn w:val="Normlny"/>
    <w:qFormat/>
    <w:rsid w:val="00ED6F91"/>
    <w:pPr>
      <w:jc w:val="center"/>
    </w:pPr>
    <w:rPr>
      <w:rFonts w:ascii="Times New Roman" w:hAnsi="Times New Roman" w:cs="Times New Roman"/>
      <w:b/>
      <w:bCs/>
    </w:rPr>
  </w:style>
  <w:style w:type="paragraph" w:styleId="Zkladntext">
    <w:name w:val="Body Text"/>
    <w:basedOn w:val="Normlny"/>
    <w:link w:val="ZkladntextChar"/>
    <w:uiPriority w:val="99"/>
    <w:rsid w:val="00ED6F91"/>
    <w:pPr>
      <w:spacing w:after="120"/>
    </w:pPr>
    <w:rPr>
      <w:rFonts w:ascii="Times New Roman" w:hAnsi="Times New Roman" w:cs="Times New Roman"/>
      <w:lang w:eastAsia="cs-CZ"/>
    </w:rPr>
  </w:style>
  <w:style w:type="character" w:styleId="Zvraznenie">
    <w:name w:val="Emphasis"/>
    <w:uiPriority w:val="20"/>
    <w:qFormat/>
    <w:rsid w:val="00ED6F91"/>
    <w:rPr>
      <w:i/>
      <w:iCs/>
    </w:rPr>
  </w:style>
  <w:style w:type="character" w:styleId="Hypertextovprepojenie">
    <w:name w:val="Hyperlink"/>
    <w:rsid w:val="00ED6F91"/>
    <w:rPr>
      <w:color w:val="0000FF"/>
      <w:u w:val="single"/>
    </w:rPr>
  </w:style>
  <w:style w:type="character" w:customStyle="1" w:styleId="ZkladntextChar0">
    <w:name w:val="Základní text Char"/>
    <w:rsid w:val="00ED6F91"/>
    <w:rPr>
      <w:snapToGrid w:val="0"/>
      <w:color w:val="000000"/>
      <w:sz w:val="24"/>
      <w:szCs w:val="24"/>
      <w:lang w:val="sk-SK" w:eastAsia="sk-SK"/>
    </w:rPr>
  </w:style>
  <w:style w:type="paragraph" w:styleId="Pta">
    <w:name w:val="footer"/>
    <w:basedOn w:val="Normlny"/>
    <w:rsid w:val="0019789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9789C"/>
  </w:style>
  <w:style w:type="paragraph" w:customStyle="1" w:styleId="c02alineaalta">
    <w:name w:val="c02alineaalta"/>
    <w:basedOn w:val="Normlny"/>
    <w:rsid w:val="00176C55"/>
    <w:pPr>
      <w:spacing w:after="240"/>
      <w:ind w:left="567"/>
      <w:jc w:val="both"/>
    </w:pPr>
    <w:rPr>
      <w:sz w:val="22"/>
      <w:szCs w:val="22"/>
    </w:rPr>
  </w:style>
  <w:style w:type="paragraph" w:customStyle="1" w:styleId="Normlnywebov8">
    <w:name w:val="Normálny (webový)8"/>
    <w:basedOn w:val="Normlny"/>
    <w:rsid w:val="00FF0218"/>
    <w:pPr>
      <w:spacing w:before="84" w:after="84"/>
      <w:ind w:left="251" w:right="251"/>
    </w:pPr>
    <w:rPr>
      <w:rFonts w:ascii="Times New Roman" w:hAnsi="Times New Roman" w:cs="Times New Roman"/>
      <w:sz w:val="22"/>
      <w:szCs w:val="22"/>
    </w:rPr>
  </w:style>
  <w:style w:type="character" w:styleId="Siln">
    <w:name w:val="Strong"/>
    <w:uiPriority w:val="22"/>
    <w:qFormat/>
    <w:rsid w:val="00FF0218"/>
    <w:rPr>
      <w:b/>
      <w:bCs/>
    </w:rPr>
  </w:style>
  <w:style w:type="paragraph" w:styleId="Hlavika">
    <w:name w:val="header"/>
    <w:basedOn w:val="Normlny"/>
    <w:rsid w:val="004732CE"/>
    <w:pPr>
      <w:tabs>
        <w:tab w:val="center" w:pos="4536"/>
        <w:tab w:val="right" w:pos="9072"/>
      </w:tabs>
    </w:pPr>
  </w:style>
  <w:style w:type="paragraph" w:customStyle="1" w:styleId="Zkladntext0">
    <w:name w:val="Základní text"/>
    <w:uiPriority w:val="99"/>
    <w:rsid w:val="00E63204"/>
    <w:pPr>
      <w:widowControl w:val="0"/>
      <w:snapToGrid w:val="0"/>
    </w:pPr>
    <w:rPr>
      <w:color w:val="000000"/>
      <w:sz w:val="24"/>
    </w:rPr>
  </w:style>
  <w:style w:type="character" w:customStyle="1" w:styleId="ZarkazkladnhotextuChar">
    <w:name w:val="Zarážka základného textu Char"/>
    <w:link w:val="Zarkazkladnhotextu"/>
    <w:uiPriority w:val="99"/>
    <w:locked/>
    <w:rsid w:val="003A7AE4"/>
    <w:rPr>
      <w:sz w:val="24"/>
      <w:szCs w:val="24"/>
    </w:rPr>
  </w:style>
  <w:style w:type="paragraph" w:customStyle="1" w:styleId="Default">
    <w:name w:val="Default"/>
    <w:rsid w:val="00846A7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46A75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46A75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846A75"/>
    <w:rPr>
      <w:rFonts w:cs="Times New Roman"/>
      <w:color w:val="auto"/>
    </w:rPr>
  </w:style>
  <w:style w:type="character" w:customStyle="1" w:styleId="ZkladntextChar">
    <w:name w:val="Základný text Char"/>
    <w:link w:val="Zkladntext"/>
    <w:uiPriority w:val="99"/>
    <w:rsid w:val="006A4EF4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0F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0F7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99"/>
    <w:qFormat/>
    <w:rsid w:val="00522DFA"/>
    <w:pPr>
      <w:widowControl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customStyle="1" w:styleId="Zkladntext1">
    <w:name w:val="Zkladn text"/>
    <w:rsid w:val="00F45BD2"/>
    <w:pPr>
      <w:widowControl w:val="0"/>
      <w:autoSpaceDE w:val="0"/>
      <w:autoSpaceDN w:val="0"/>
    </w:pPr>
    <w:rPr>
      <w:color w:val="000000"/>
    </w:rPr>
  </w:style>
  <w:style w:type="paragraph" w:styleId="Normlnywebov">
    <w:name w:val="Normal (Web)"/>
    <w:basedOn w:val="Normlny"/>
    <w:rsid w:val="00757F6F"/>
    <w:pPr>
      <w:spacing w:before="125" w:after="125"/>
      <w:ind w:left="563" w:right="438"/>
    </w:pPr>
    <w:rPr>
      <w:rFonts w:ascii="Times New Roman" w:hAnsi="Times New Roman" w:cs="Times New Roman"/>
      <w:sz w:val="19"/>
      <w:szCs w:val="19"/>
    </w:rPr>
  </w:style>
  <w:style w:type="paragraph" w:customStyle="1" w:styleId="hidden">
    <w:name w:val="hidden"/>
    <w:basedOn w:val="Normlny"/>
    <w:rsid w:val="008203E4"/>
    <w:pPr>
      <w:spacing w:after="150"/>
    </w:pPr>
    <w:rPr>
      <w:rFonts w:ascii="Times New Roman" w:hAnsi="Times New Roman" w:cs="Times New Roman"/>
      <w:vanish/>
    </w:rPr>
  </w:style>
  <w:style w:type="paragraph" w:customStyle="1" w:styleId="textundertitle">
    <w:name w:val="textundertitle"/>
    <w:basedOn w:val="Normlny"/>
    <w:rsid w:val="00925F9D"/>
    <w:pPr>
      <w:spacing w:after="30"/>
    </w:pPr>
    <w:rPr>
      <w:rFonts w:ascii="Times New Roman" w:hAnsi="Times New Roman" w:cs="Times New Roman"/>
    </w:rPr>
  </w:style>
  <w:style w:type="paragraph" w:customStyle="1" w:styleId="c08dispositif">
    <w:name w:val="c08dispositif"/>
    <w:basedOn w:val="Normlny"/>
    <w:rsid w:val="00E75E1C"/>
    <w:pPr>
      <w:spacing w:before="100" w:beforeAutospacing="1" w:after="240"/>
      <w:ind w:left="1134" w:hanging="567"/>
      <w:jc w:val="both"/>
    </w:pPr>
    <w:rPr>
      <w:rFonts w:ascii="Times New Roman" w:hAnsi="Times New Roman" w:cs="Times New Roman"/>
      <w:b/>
      <w:bCs/>
    </w:rPr>
  </w:style>
  <w:style w:type="character" w:customStyle="1" w:styleId="ovfl-xlt1">
    <w:name w:val="ovfl-xlt1"/>
    <w:basedOn w:val="Predvolenpsmoodseku"/>
    <w:rsid w:val="00D80A3F"/>
    <w:rPr>
      <w:rFonts w:ascii="Arial" w:hAnsi="Arial" w:cs="Arial" w:hint="default"/>
      <w:caps/>
      <w:color w:val="F4B400"/>
      <w:sz w:val="21"/>
      <w:szCs w:val="21"/>
    </w:rPr>
  </w:style>
  <w:style w:type="character" w:customStyle="1" w:styleId="snck-msg3">
    <w:name w:val="snck-msg3"/>
    <w:basedOn w:val="Predvolenpsmoodseku"/>
    <w:rsid w:val="00D80A3F"/>
    <w:rPr>
      <w:color w:val="FFFFFF"/>
    </w:rPr>
  </w:style>
  <w:style w:type="character" w:customStyle="1" w:styleId="cmty-btn1">
    <w:name w:val="cmty-btn1"/>
    <w:basedOn w:val="Predvolenpsmoodseku"/>
    <w:rsid w:val="00D80A3F"/>
    <w:rPr>
      <w:rFonts w:ascii="Arial" w:hAnsi="Arial" w:cs="Arial" w:hint="default"/>
      <w:caps/>
      <w:color w:val="F4B400"/>
      <w:sz w:val="21"/>
      <w:szCs w:val="21"/>
    </w:rPr>
  </w:style>
  <w:style w:type="character" w:customStyle="1" w:styleId="tlid-result-container-error-button">
    <w:name w:val="tlid-result-container-error-button"/>
    <w:basedOn w:val="Predvolenpsmoodseku"/>
    <w:rsid w:val="00D80A3F"/>
  </w:style>
  <w:style w:type="character" w:customStyle="1" w:styleId="empty-placeholder3">
    <w:name w:val="empty-placeholder3"/>
    <w:basedOn w:val="Predvolenpsmoodseku"/>
    <w:rsid w:val="00D80A3F"/>
  </w:style>
  <w:style w:type="character" w:customStyle="1" w:styleId="translating-placeholder">
    <w:name w:val="translating-placeholder"/>
    <w:basedOn w:val="Predvolenpsmoodseku"/>
    <w:rsid w:val="00D80A3F"/>
  </w:style>
  <w:style w:type="character" w:customStyle="1" w:styleId="tlid-translation">
    <w:name w:val="tlid-translation"/>
    <w:basedOn w:val="Predvolenpsmoodseku"/>
    <w:rsid w:val="00D80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166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23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342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6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672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97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62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8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3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6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1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2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15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60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89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29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786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5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0801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2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12389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96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33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83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61592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87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8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25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3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843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8" w:color="CAD7DC"/>
                                    <w:left w:val="single" w:sz="6" w:space="23" w:color="CAD7DC"/>
                                    <w:bottom w:val="single" w:sz="6" w:space="8" w:color="CAD7DC"/>
                                    <w:right w:val="single" w:sz="6" w:space="8" w:color="CAD7D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8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5505A-5ABF-4B35-A4F2-75558D15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ZLUČITEĽNOSTI</vt:lpstr>
    </vt:vector>
  </TitlesOfParts>
  <Company/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subject/>
  <dc:creator>Zamecnikova Petra</dc:creator>
  <cp:keywords/>
  <cp:lastModifiedBy>Jablonkova Zdenka</cp:lastModifiedBy>
  <cp:revision>5</cp:revision>
  <cp:lastPrinted>2018-05-23T07:21:00Z</cp:lastPrinted>
  <dcterms:created xsi:type="dcterms:W3CDTF">2019-06-07T11:40:00Z</dcterms:created>
  <dcterms:modified xsi:type="dcterms:W3CDTF">2019-06-07T11:53:00Z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právo_x000d_
Daňové právo_x000d_
Daň z pridanej hodnoty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Miloš Mikloš</vt:lpwstr>
  </property>
  <property fmtid="{D5CDD505-2E9C-101B-9397-08002B2CF9AE}" pid="12" name="FSC#SKEDITIONSLOVLEX@103.510:zodppredkladatel">
    <vt:lpwstr>Peter Kažimír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222/2004 Z. z. o dani z pridanej hodnoty v znení neskorších predpisov a ktorým sa mení a dopĺňa zákon č. 289/2008 Z. z. o používaní elektronickej registračnej pokladnice a o zmene a doplnení zákona Slovenskej národnej r</vt:lpwstr>
  </property>
  <property fmtid="{D5CDD505-2E9C-101B-9397-08002B2CF9AE}" pid="15" name="FSC#SKEDITIONSLOVLEX@103.510:nazovpredpis1">
    <vt:lpwstr>ady č. 511/1992 Zb. o správe daní a poplatkov a o zmenách v sústave územných finančných orgánov v znení neskorších predpisov v znení neskorších predpisov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2018</vt:lpwstr>
  </property>
  <property fmtid="{D5CDD505-2E9C-101B-9397-08002B2CF9AE}" pid="23" name="FSC#SKEDITIONSLOVLEX@103.510:plnynazovpredpis">
    <vt:lpwstr> Zákon, ktorým sa mení a dopĺňa zákon č. 222/2004 Z. z. o dani z pridanej hodnoty v znení neskorších predpisov a ktorým sa mení a dopĺňa zákon č. 289/2008 Z. z. o používaní elektronickej registračnej pokladnice a o zmene a doplnení zákona Slovenskej národ</vt:lpwstr>
  </property>
  <property fmtid="{D5CDD505-2E9C-101B-9397-08002B2CF9AE}" pid="24" name="FSC#SKEDITIONSLOVLEX@103.510:plnynazovpredpis1">
    <vt:lpwstr>nej rady č. 511/1992 Zb. o správe daní a poplatkov a o zmenách v sústave územných finančných orgánov v znení neskorších predpisov v znení neskorších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MF/007705/2018-731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LP/2018/428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financií Slovenskej republiky</vt:lpwstr>
  </property>
  <property fmtid="{D5CDD505-2E9C-101B-9397-08002B2CF9AE}" pid="142" name="FSC#SKEDITIONSLOVLEX@103.510:funkciaZodpPredAkuzativ">
    <vt:lpwstr>ministrovi financií Slovenskej republiky</vt:lpwstr>
  </property>
  <property fmtid="{D5CDD505-2E9C-101B-9397-08002B2CF9AE}" pid="143" name="FSC#SKEDITIONSLOVLEX@103.510:funkciaZodpPredDativ">
    <vt:lpwstr>ministra financií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Peter Kažimír_x000d_
minister financií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22. 6. 2018</vt:lpwstr>
  </property>
  <property fmtid="{D5CDD505-2E9C-101B-9397-08002B2CF9AE}" pid="151" name="FSC#COOSYSTEM@1.1:Container">
    <vt:lpwstr>COO.2145.1000.3.2789323</vt:lpwstr>
  </property>
  <property fmtid="{D5CDD505-2E9C-101B-9397-08002B2CF9AE}" pid="152" name="FSC#FSCFOLIO@1.1001:docpropproject">
    <vt:lpwstr/>
  </property>
</Properties>
</file>