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376383" w:rsidRDefault="0037638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76383">
        <w:trPr>
          <w:divId w:val="202547681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76383" w:rsidTr="00120181">
        <w:trPr>
          <w:divId w:val="2025476818"/>
          <w:trHeight w:val="6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76383" w:rsidTr="00120181">
        <w:trPr>
          <w:divId w:val="2025476818"/>
          <w:trHeight w:val="21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383" w:rsidRDefault="00120181" w:rsidP="008601A1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120181">
              <w:rPr>
                <w:rFonts w:ascii="Times" w:hAnsi="Times" w:cs="Times"/>
                <w:sz w:val="20"/>
                <w:szCs w:val="20"/>
              </w:rPr>
              <w:t>Návrh zákona o občianskych preukazoch a o zmene a doplnení niektorých zákonov</w:t>
            </w:r>
            <w:r w:rsidR="00376383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376383" w:rsidTr="00120181">
        <w:trPr>
          <w:divId w:val="2025476818"/>
          <w:trHeight w:val="261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76383" w:rsidTr="00E7776F">
        <w:trPr>
          <w:divId w:val="2025476818"/>
          <w:trHeight w:val="6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383" w:rsidRDefault="00376383" w:rsidP="008601A1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vnútra Slovenskej republiky</w:t>
            </w:r>
          </w:p>
        </w:tc>
      </w:tr>
      <w:tr w:rsidR="00376383" w:rsidTr="00E7776F">
        <w:trPr>
          <w:divId w:val="2025476818"/>
          <w:trHeight w:val="91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76383" w:rsidRDefault="00376383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76383" w:rsidTr="00E7776F">
        <w:trPr>
          <w:divId w:val="2025476818"/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76383" w:rsidTr="00E7776F">
        <w:trPr>
          <w:divId w:val="2025476818"/>
          <w:trHeight w:val="99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76383">
        <w:trPr>
          <w:divId w:val="202547681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76383">
        <w:trPr>
          <w:divId w:val="202547681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383" w:rsidRDefault="00E7776F" w:rsidP="00E7776F">
            <w:pPr>
              <w:ind w:left="127" w:right="13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</w:t>
            </w:r>
            <w:r w:rsidR="00376383" w:rsidRPr="00E7776F">
              <w:rPr>
                <w:rFonts w:ascii="Times" w:hAnsi="Times" w:cs="Times"/>
                <w:sz w:val="20"/>
                <w:szCs w:val="20"/>
              </w:rPr>
              <w:t>ačiatok: </w:t>
            </w:r>
            <w:r>
              <w:rPr>
                <w:rFonts w:ascii="Times" w:hAnsi="Times" w:cs="Times"/>
                <w:sz w:val="20"/>
                <w:szCs w:val="20"/>
              </w:rPr>
              <w:t>28</w:t>
            </w:r>
            <w:r w:rsidR="00376383" w:rsidRPr="00E7776F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 xml:space="preserve"> 3</w:t>
            </w:r>
            <w:r w:rsidR="00376383" w:rsidRPr="00E7776F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 xml:space="preserve"> 2019</w:t>
            </w:r>
            <w:r>
              <w:rPr>
                <w:rFonts w:ascii="Times" w:hAnsi="Times" w:cs="Times"/>
                <w:sz w:val="20"/>
                <w:szCs w:val="20"/>
              </w:rPr>
              <w:br/>
              <w:t>koniec</w:t>
            </w:r>
            <w:r w:rsidR="00376383" w:rsidRPr="00E7776F">
              <w:rPr>
                <w:rFonts w:ascii="Times" w:hAnsi="Times" w:cs="Times"/>
                <w:sz w:val="20"/>
                <w:szCs w:val="20"/>
              </w:rPr>
              <w:t>: </w:t>
            </w:r>
            <w:r>
              <w:rPr>
                <w:rFonts w:ascii="Times" w:hAnsi="Times" w:cs="Times"/>
                <w:sz w:val="20"/>
                <w:szCs w:val="20"/>
              </w:rPr>
              <w:t>11</w:t>
            </w:r>
            <w:r w:rsidR="00376383" w:rsidRPr="00E7776F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 xml:space="preserve"> 4</w:t>
            </w:r>
            <w:r w:rsidR="00376383" w:rsidRPr="00E7776F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76383" w:rsidRPr="00E7776F">
              <w:rPr>
                <w:rFonts w:ascii="Times" w:hAnsi="Times" w:cs="Times"/>
                <w:sz w:val="20"/>
                <w:szCs w:val="20"/>
              </w:rPr>
              <w:t>201</w:t>
            </w:r>
            <w:r>
              <w:rPr>
                <w:rFonts w:ascii="Times" w:hAnsi="Times" w:cs="Times"/>
                <w:sz w:val="20"/>
                <w:szCs w:val="20"/>
              </w:rPr>
              <w:t>9</w:t>
            </w:r>
          </w:p>
        </w:tc>
      </w:tr>
      <w:tr w:rsidR="00376383" w:rsidTr="00E7776F">
        <w:trPr>
          <w:divId w:val="2025476818"/>
          <w:trHeight w:val="20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383" w:rsidRPr="00E7776F" w:rsidRDefault="00D7657D" w:rsidP="00E7776F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7657D">
              <w:rPr>
                <w:sz w:val="20"/>
              </w:rPr>
              <w:t>29. 5. - 18. 6. 2019</w:t>
            </w:r>
          </w:p>
        </w:tc>
      </w:tr>
      <w:tr w:rsidR="00376383" w:rsidTr="00E7776F">
        <w:trPr>
          <w:divId w:val="2025476818"/>
          <w:trHeight w:val="36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 w:rsidP="00E7776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Predpokladaný termín predloženia na </w:t>
            </w:r>
            <w:r w:rsidR="00E7776F">
              <w:rPr>
                <w:rFonts w:ascii="Times" w:hAnsi="Times" w:cs="Times"/>
                <w:b/>
                <w:bCs/>
                <w:sz w:val="22"/>
                <w:szCs w:val="22"/>
              </w:rPr>
              <w:t>r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>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383" w:rsidRPr="00E7776F" w:rsidRDefault="00D7657D" w:rsidP="00E7776F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august</w:t>
            </w:r>
            <w:r w:rsidR="00E7776F" w:rsidRPr="00E7776F">
              <w:rPr>
                <w:rFonts w:ascii="Times" w:hAnsi="Times" w:cs="Times"/>
                <w:sz w:val="20"/>
                <w:szCs w:val="20"/>
              </w:rPr>
              <w:t xml:space="preserve"> 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376383" w:rsidRDefault="00376383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76383">
        <w:trPr>
          <w:divId w:val="167572185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76383">
        <w:trPr>
          <w:divId w:val="167572185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383" w:rsidRDefault="00B43EC7" w:rsidP="008601A1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43EC7">
              <w:rPr>
                <w:rFonts w:ascii="Times" w:hAnsi="Times" w:cs="Times"/>
                <w:sz w:val="20"/>
                <w:szCs w:val="20"/>
              </w:rPr>
              <w:t>Je potrebné vytvoriť právny rámec pre vydávanie občianskych preukazov bez podoby tváre, ktoré budú vydávané občanom mladším ako 15 rokov a občanom starším ako 65 rokov, ktorí nie sú držiteľmi občianskeho preukazu s elektronickým čipom. Vzhľadom na rozsah navrhnutých zmien na úseku vydávania občianskych preukazov bol vypracovaný nový zákon.</w:t>
            </w:r>
          </w:p>
        </w:tc>
      </w:tr>
      <w:tr w:rsidR="00376383">
        <w:trPr>
          <w:divId w:val="167572185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76383">
        <w:trPr>
          <w:divId w:val="167572185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3EC7" w:rsidRPr="00B43EC7" w:rsidRDefault="00B43EC7" w:rsidP="00B43EC7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43EC7">
              <w:rPr>
                <w:rFonts w:ascii="Times" w:hAnsi="Times" w:cs="Times"/>
                <w:sz w:val="20"/>
                <w:szCs w:val="20"/>
              </w:rPr>
              <w:t>Cieľom predloženého návrhu zákona je vytvoriť predpoklady na spustenie elektronického zdravotníctva do praxe používaním elektronického dokladu. V súvislosti s projektom  elektronického zdravotníctva je potrebné postupne v termíne do  31.</w:t>
            </w:r>
            <w:r>
              <w:rPr>
                <w:rFonts w:ascii="Times" w:hAnsi="Times" w:cs="Times"/>
                <w:sz w:val="20"/>
                <w:szCs w:val="20"/>
              </w:rPr>
              <w:t xml:space="preserve"> decembra </w:t>
            </w:r>
            <w:r w:rsidRPr="00B43EC7">
              <w:rPr>
                <w:rFonts w:ascii="Times" w:hAnsi="Times" w:cs="Times"/>
                <w:sz w:val="20"/>
                <w:szCs w:val="20"/>
              </w:rPr>
              <w:t>2021 dosiahnuť stav, aby držiteľom občianskeho preukazu alebo občianskeho preukazu bez podoby tváre bol každý občan Slovenskej republiky s trvalým pobytom na území Slovenskej republiky,</w:t>
            </w:r>
            <w:r w:rsidR="00112F5D">
              <w:rPr>
                <w:rFonts w:ascii="Times" w:hAnsi="Times" w:cs="Times"/>
                <w:sz w:val="20"/>
                <w:szCs w:val="20"/>
              </w:rPr>
              <w:t xml:space="preserve"> resp. aby mal možnosť takýto doklad získať,</w:t>
            </w:r>
            <w:r w:rsidRPr="00B43EC7">
              <w:rPr>
                <w:rFonts w:ascii="Times" w:hAnsi="Times" w:cs="Times"/>
                <w:sz w:val="20"/>
                <w:szCs w:val="20"/>
              </w:rPr>
              <w:t xml:space="preserve"> nakoľko po tomto dátume  je pre občanov Slovenskej republiky definovaný občiansky preukaz s čipom ako jediný autentifikačný prostriedok pre umožnenie prístupu k elektronickým zdravotným záznamom z elektronickej zdravotnej knižky občana podľa zákona č. 153/2013 Z. z. o národnom zdravotníckom informačnom systéme.</w:t>
            </w:r>
          </w:p>
          <w:p w:rsidR="008601A1" w:rsidRDefault="00B43EC7" w:rsidP="00B43EC7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43EC7">
              <w:rPr>
                <w:rFonts w:ascii="Times" w:hAnsi="Times" w:cs="Times"/>
                <w:sz w:val="20"/>
                <w:szCs w:val="20"/>
              </w:rPr>
              <w:t>Ďalším rozšíreným cieľom je umožniť aj občanom SR bez trvalého pobytu v SR a tiež občanom mladším ako 15 rokov byť držiteľom občianskeho preukazu – obe možnosti sú navrhované ako možnosť, nie ako povinnosť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376383">
        <w:trPr>
          <w:divId w:val="167572185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76383" w:rsidTr="00B43EC7">
        <w:trPr>
          <w:divId w:val="1675721851"/>
          <w:trHeight w:val="43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383" w:rsidRPr="00B43EC7" w:rsidRDefault="00B43EC7" w:rsidP="00B43EC7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B43EC7">
              <w:rPr>
                <w:rFonts w:ascii="Times" w:hAnsi="Times" w:cs="Times"/>
                <w:sz w:val="20"/>
                <w:szCs w:val="20"/>
              </w:rPr>
              <w:t>Priamo dotknutými subjektmi budú občania SR, ktorí nedisponujú  občianskym preukazom s elektronickým čipom.</w:t>
            </w:r>
          </w:p>
        </w:tc>
      </w:tr>
      <w:tr w:rsidR="00376383">
        <w:trPr>
          <w:divId w:val="167572185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76383" w:rsidTr="007E3085">
        <w:trPr>
          <w:divId w:val="1675721851"/>
          <w:trHeight w:val="37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383" w:rsidRDefault="00376383" w:rsidP="007E3085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Alternatívne riešenia </w:t>
            </w:r>
            <w:r w:rsidR="007E3085">
              <w:rPr>
                <w:rFonts w:ascii="Times" w:hAnsi="Times" w:cs="Times"/>
                <w:sz w:val="20"/>
                <w:szCs w:val="20"/>
              </w:rPr>
              <w:t>neboli zvažované vzhľadom na predpisy v oblasti poskytovania zdravotnej starostlivosti, ktoré rátajú s používaním občianskeho preukazu s čipom.</w:t>
            </w:r>
          </w:p>
        </w:tc>
      </w:tr>
      <w:tr w:rsidR="00376383">
        <w:trPr>
          <w:divId w:val="167572185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76383" w:rsidTr="00E7776F">
        <w:trPr>
          <w:divId w:val="1675721851"/>
          <w:trHeight w:val="3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383" w:rsidRDefault="00376383" w:rsidP="00E7776F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</w:t>
            </w:r>
            <w:r w:rsidR="00E7776F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E7776F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Áno           </w:t>
            </w:r>
            <w:r w:rsidR="00E7776F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E7776F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376383">
        <w:trPr>
          <w:divId w:val="167572185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76383" w:rsidTr="00E7776F">
        <w:trPr>
          <w:divId w:val="1675721851"/>
          <w:trHeight w:val="9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383" w:rsidRDefault="007E3085" w:rsidP="008601A1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Nie.</w:t>
            </w:r>
          </w:p>
          <w:p w:rsidR="00E7776F" w:rsidRDefault="00E7776F" w:rsidP="008601A1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76383">
        <w:trPr>
          <w:divId w:val="167572185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76383">
        <w:trPr>
          <w:divId w:val="167572185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76383" w:rsidRDefault="0037638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76383">
        <w:trPr>
          <w:divId w:val="25008636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9.   Vplyvy navrhovaného materiálu</w:t>
            </w:r>
          </w:p>
        </w:tc>
      </w:tr>
      <w:tr w:rsidR="00376383">
        <w:trPr>
          <w:divId w:val="25008636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76383">
        <w:trPr>
          <w:divId w:val="25008636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 w:rsidP="00D071A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D071A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D071A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071A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76383">
        <w:trPr>
          <w:divId w:val="25008636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 w:rsidP="00D071A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D071A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 w:rsidP="00D071A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D071A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76383">
        <w:trPr>
          <w:divId w:val="25008636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 w:rsidP="00D071A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071A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071A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 w:rsidP="00D071A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D071A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D071A3"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76383">
        <w:trPr>
          <w:divId w:val="25008636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 w:rsidP="00D071A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D071A3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</w:t>
            </w:r>
            <w:r w:rsidR="00D071A3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 w:rsidP="00D071A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D071A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76383">
        <w:trPr>
          <w:divId w:val="25008636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76383">
        <w:trPr>
          <w:divId w:val="25008636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76383">
        <w:trPr>
          <w:divId w:val="25008636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76383">
        <w:trPr>
          <w:divId w:val="25008636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76383">
        <w:trPr>
          <w:divId w:val="25008636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6383" w:rsidRDefault="0037638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76383" w:rsidRDefault="00376383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76383">
        <w:trPr>
          <w:divId w:val="953394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76383">
        <w:trPr>
          <w:divId w:val="953394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383" w:rsidRPr="00D12CCE" w:rsidRDefault="00376383" w:rsidP="008601A1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76383">
        <w:trPr>
          <w:divId w:val="953394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76383">
        <w:trPr>
          <w:divId w:val="953394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01A1" w:rsidRDefault="00376383" w:rsidP="008601A1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vnútra Slovenskej republiky</w:t>
            </w:r>
          </w:p>
          <w:p w:rsidR="008601A1" w:rsidRDefault="00376383" w:rsidP="008601A1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Prezídium Policajného zboru</w:t>
            </w:r>
          </w:p>
          <w:p w:rsid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sz w:val="20"/>
                <w:szCs w:val="20"/>
              </w:rPr>
              <w:t xml:space="preserve">odbor dokladov a evidencií </w:t>
            </w:r>
          </w:p>
          <w:p w:rsid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sz w:val="20"/>
                <w:szCs w:val="20"/>
              </w:rPr>
              <w:t xml:space="preserve">JUDr. Ján Muráň </w:t>
            </w:r>
          </w:p>
          <w:p w:rsidR="00376383" w:rsidRDefault="006F0516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hyperlink r:id="rId8" w:history="1">
              <w:r w:rsidR="00D071A3" w:rsidRPr="002575C0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jan.muran@minv.sk</w:t>
              </w:r>
            </w:hyperlink>
            <w:r w:rsidR="00D071A3" w:rsidRPr="00D071A3">
              <w:rPr>
                <w:rFonts w:ascii="Times" w:hAnsi="Times" w:cs="Times"/>
                <w:sz w:val="20"/>
                <w:szCs w:val="20"/>
              </w:rPr>
              <w:t>, tel.: +421-9610-50234</w:t>
            </w:r>
          </w:p>
        </w:tc>
      </w:tr>
      <w:tr w:rsidR="00376383">
        <w:trPr>
          <w:divId w:val="953394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76383" w:rsidTr="008601A1">
        <w:trPr>
          <w:divId w:val="9533942"/>
          <w:trHeight w:val="4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6383" w:rsidRDefault="0037638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12CCE">
              <w:rPr>
                <w:rFonts w:ascii="Times" w:hAnsi="Times" w:cs="Times"/>
                <w:sz w:val="20"/>
                <w:szCs w:val="20"/>
              </w:rPr>
              <w:t>Ministerstvo vnútra Slovenskej republiky pri vypracovaní doložky</w:t>
            </w:r>
            <w:r w:rsidR="00D071A3">
              <w:rPr>
                <w:rFonts w:ascii="Times" w:hAnsi="Times" w:cs="Times"/>
                <w:sz w:val="20"/>
                <w:szCs w:val="20"/>
              </w:rPr>
              <w:t xml:space="preserve"> vybraných vplyvov vychádzalo zo</w:t>
            </w:r>
            <w:r w:rsidRPr="00D12CC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071A3">
              <w:rPr>
                <w:rFonts w:ascii="Times" w:hAnsi="Times" w:cs="Times"/>
                <w:sz w:val="20"/>
                <w:szCs w:val="20"/>
              </w:rPr>
              <w:t>š</w:t>
            </w:r>
            <w:r w:rsidR="00D071A3" w:rsidRPr="00D071A3">
              <w:rPr>
                <w:rFonts w:ascii="Times" w:hAnsi="Times" w:cs="Times"/>
                <w:sz w:val="20"/>
                <w:szCs w:val="20"/>
              </w:rPr>
              <w:t>tatistick</w:t>
            </w:r>
            <w:r w:rsidR="00D071A3">
              <w:rPr>
                <w:rFonts w:ascii="Times" w:hAnsi="Times" w:cs="Times"/>
                <w:sz w:val="20"/>
                <w:szCs w:val="20"/>
              </w:rPr>
              <w:t>ých</w:t>
            </w:r>
            <w:r w:rsidR="00D071A3" w:rsidRPr="00D071A3">
              <w:rPr>
                <w:rFonts w:ascii="Times" w:hAnsi="Times" w:cs="Times"/>
                <w:sz w:val="20"/>
                <w:szCs w:val="20"/>
              </w:rPr>
              <w:t xml:space="preserve"> výstup</w:t>
            </w:r>
            <w:r w:rsidR="00D071A3">
              <w:rPr>
                <w:rFonts w:ascii="Times" w:hAnsi="Times" w:cs="Times"/>
                <w:sz w:val="20"/>
                <w:szCs w:val="20"/>
              </w:rPr>
              <w:t>ov</w:t>
            </w:r>
            <w:r w:rsidR="00D071A3" w:rsidRPr="00D071A3">
              <w:rPr>
                <w:rFonts w:ascii="Times" w:hAnsi="Times" w:cs="Times"/>
                <w:sz w:val="20"/>
                <w:szCs w:val="20"/>
              </w:rPr>
              <w:t xml:space="preserve"> z príslušných informačných systémov MV SR</w:t>
            </w:r>
            <w:r w:rsidR="00D071A3">
              <w:rPr>
                <w:rFonts w:ascii="Times" w:hAnsi="Times" w:cs="Times"/>
                <w:sz w:val="20"/>
                <w:szCs w:val="20"/>
              </w:rPr>
              <w:t xml:space="preserve"> a p</w:t>
            </w:r>
            <w:r w:rsidR="00D071A3" w:rsidRPr="00D071A3">
              <w:rPr>
                <w:rFonts w:ascii="Times" w:hAnsi="Times" w:cs="Times"/>
                <w:sz w:val="20"/>
                <w:szCs w:val="20"/>
              </w:rPr>
              <w:t>raktick</w:t>
            </w:r>
            <w:r w:rsidR="00D071A3">
              <w:rPr>
                <w:rFonts w:ascii="Times" w:hAnsi="Times" w:cs="Times"/>
                <w:sz w:val="20"/>
                <w:szCs w:val="20"/>
              </w:rPr>
              <w:t>ých</w:t>
            </w:r>
            <w:r w:rsidR="00D071A3" w:rsidRPr="00D071A3">
              <w:rPr>
                <w:rFonts w:ascii="Times" w:hAnsi="Times" w:cs="Times"/>
                <w:sz w:val="20"/>
                <w:szCs w:val="20"/>
              </w:rPr>
              <w:t xml:space="preserve"> skúsenost</w:t>
            </w:r>
            <w:r w:rsidR="00D071A3">
              <w:rPr>
                <w:rFonts w:ascii="Times" w:hAnsi="Times" w:cs="Times"/>
                <w:sz w:val="20"/>
                <w:szCs w:val="20"/>
              </w:rPr>
              <w:t>í</w:t>
            </w:r>
            <w:r w:rsidR="00D071A3" w:rsidRPr="00D071A3">
              <w:rPr>
                <w:rFonts w:ascii="Times" w:hAnsi="Times" w:cs="Times"/>
                <w:sz w:val="20"/>
                <w:szCs w:val="20"/>
              </w:rPr>
              <w:t xml:space="preserve"> vyplývajúc</w:t>
            </w:r>
            <w:r w:rsidR="00D071A3">
              <w:rPr>
                <w:rFonts w:ascii="Times" w:hAnsi="Times" w:cs="Times"/>
                <w:sz w:val="20"/>
                <w:szCs w:val="20"/>
              </w:rPr>
              <w:t>ich</w:t>
            </w:r>
            <w:r w:rsidR="00D071A3" w:rsidRPr="00D071A3">
              <w:rPr>
                <w:rFonts w:ascii="Times" w:hAnsi="Times" w:cs="Times"/>
                <w:sz w:val="20"/>
                <w:szCs w:val="20"/>
              </w:rPr>
              <w:t xml:space="preserve"> z pozície gestora vydávania občianskych preukazov v SR</w:t>
            </w:r>
          </w:p>
        </w:tc>
      </w:tr>
      <w:tr w:rsidR="00376383">
        <w:trPr>
          <w:divId w:val="953394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76383" w:rsidRDefault="00376383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76383">
        <w:trPr>
          <w:divId w:val="9533942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sz w:val="20"/>
                <w:szCs w:val="20"/>
              </w:rPr>
              <w:t>Komisia uplatňuje k materiálu nasledovné pripomienky a odporúčania: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D071A3">
              <w:rPr>
                <w:rFonts w:ascii="Times" w:hAnsi="Times" w:cs="Times"/>
                <w:b/>
                <w:sz w:val="20"/>
                <w:szCs w:val="20"/>
              </w:rPr>
              <w:t>K vplyvom na rozpočet verejnej správy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sz w:val="20"/>
                <w:szCs w:val="20"/>
              </w:rPr>
              <w:t>Návrh zákona predpokladá pozitívne aj negatívne vplyvy na rozpočet verejnej správy. Odhad príjmov je v analýze vplyvov na rozpočet verejnej správy podľa tabuľky č. 1 na rok 2019 v sume 3 800 000 eur, na rok 2020 v sume 5 210 000 eur, na rok 2021 v sume 5 450 000 eur a na rok 2022 v sume 5 650 000 eur. Negatívne vplyvy prijatia zákona sú na rok 2019 v sume 1 775 445 eur, na rok 2020 v sume 6 037 828 eur, na rok 2021 v sume 1 312 608 eur a na rok 2022 v sume 1 312 608 eur. Z uvedeného vyplýva, že celkový negatívny vplyv vzniká len v roku 2020 v sume 827 828 eur, kedy sa plánujú výdavky na obstaranie dvoch nových personalizačných zariadení pre ID1 doklady, potrebné softvérové zabezpečenie a integráciu na existujúci personalizačný systém Národného personalizačného centra Prezídia Policajného zboru. Komisia žiada, aby sa plánované náklady na rok 2020 rozdelili do jednotlivých rokov a v konečnom dôsledku nevznikol negatívny vplyv na rozpočet verejnej správy.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sz w:val="20"/>
                <w:szCs w:val="20"/>
              </w:rPr>
              <w:t>V tabuľke č. 1 pri príjmoch je potrebné vyplniť riadok „v tom: za každý subjekt verejnej správy zvlášť“ a uviesť príslušný subjekt verejnej správy.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D071A3">
              <w:rPr>
                <w:rFonts w:ascii="Times" w:hAnsi="Times" w:cs="Times"/>
                <w:b/>
                <w:sz w:val="20"/>
                <w:szCs w:val="20"/>
              </w:rPr>
              <w:t>Všeobecne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sz w:val="20"/>
                <w:szCs w:val="20"/>
              </w:rPr>
              <w:t>Ministerstvo financií upozorňuje, že v súlade s metodickým usmernením Ministerstva financií Slovenskej republiky č. MF/008782/2018-297, v prípade, že viac ako 50 % výdavkov na projekt vydávania občianskych preukazov bez podoby tváre, ktoré predpokladá návrh zákona, predstavuje výdavky v informatizácii a zároveň celkové výdavky presiahnu 10 mil. eur, je potrebné v súlade s Rámcom na hodnotenie verejných investícií pripraviť štúdiu uskutočniteľnosti projektu. Ministerstvo financií Slovenskej republiky hodnotí štúdiu uskutočniteľnosti pred vyhlásením verejného obstarávania, respektíve v súlade s metodickým usmernením pred prijatím rozhodnutia vytvárajúceho záväzok (schválenie zákona).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sz w:val="20"/>
                <w:szCs w:val="20"/>
              </w:rPr>
              <w:t xml:space="preserve">Ministerstvo financií prikladá </w:t>
            </w:r>
            <w:proofErr w:type="spellStart"/>
            <w:r w:rsidRPr="00D071A3">
              <w:rPr>
                <w:rFonts w:ascii="Times" w:hAnsi="Times" w:cs="Times"/>
                <w:sz w:val="20"/>
                <w:szCs w:val="20"/>
              </w:rPr>
              <w:t>link</w:t>
            </w:r>
            <w:proofErr w:type="spellEnd"/>
            <w:r w:rsidRPr="00D071A3">
              <w:rPr>
                <w:rFonts w:ascii="Times" w:hAnsi="Times" w:cs="Times"/>
                <w:sz w:val="20"/>
                <w:szCs w:val="20"/>
              </w:rPr>
              <w:t xml:space="preserve"> na Rámec na hodnotenie verejných investícií :</w:t>
            </w:r>
          </w:p>
          <w:p w:rsidR="00D071A3" w:rsidRPr="00D071A3" w:rsidRDefault="006F0516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hyperlink r:id="rId9" w:history="1">
              <w:r w:rsidR="00D071A3" w:rsidRPr="002575C0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https://www.vicepremier.gov.sk/sekcie/investicie/narodny-investicny-plan/vladne-materialy/ramec-na-hodnotenie-verejnych-investicnych-projektov-v-sr/index.html</w:t>
              </w:r>
            </w:hyperlink>
            <w:r w:rsidR="00D071A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071A3" w:rsidRPr="00D071A3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D071A3" w:rsidRPr="00D071A3" w:rsidRDefault="006F0516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hyperlink r:id="rId10" w:history="1">
              <w:r w:rsidR="00D071A3" w:rsidRPr="002575C0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https://www.mfsr.sk/files/archiv/uhp/3370/76/Usmernenie-MF_hodnotenie-investicii_20180129.pdf</w:t>
              </w:r>
            </w:hyperlink>
            <w:r w:rsidR="00D071A3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D071A3">
              <w:rPr>
                <w:rFonts w:ascii="Times" w:hAnsi="Times" w:cs="Times"/>
                <w:b/>
                <w:sz w:val="20"/>
                <w:szCs w:val="20"/>
              </w:rPr>
              <w:t>K vplyvom na informatizáciu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sz w:val="20"/>
                <w:szCs w:val="20"/>
              </w:rPr>
              <w:t>Komisia nesúhlasí s tým, že predložený materiál nepredpokladá žiadne vplyvy na informatizáciu. Z obsahu materiálu vyplýva, že sa budú rozširovať evidencie /informačný systém/ o údaje súvisiace s občianskymi preukazmi bez podoby tváre /nový prvok/. Ak sa bude teda daný systém rozširovať /meniť-upravovať/, je nutné túto skutočnosť premietnuť aj do doložky a analýzy vplyvov.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D071A3">
              <w:rPr>
                <w:rFonts w:ascii="Times" w:hAnsi="Times" w:cs="Times"/>
                <w:b/>
                <w:sz w:val="20"/>
                <w:szCs w:val="20"/>
              </w:rPr>
              <w:t>K vplyvom na služby verejnej správy pre občana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sz w:val="20"/>
                <w:szCs w:val="20"/>
              </w:rPr>
              <w:t>V analýze vplyvov na služby verejnej správy pre občana v časti 7.2.1 náklady je potrebné vyčísliť zníženie priamych finančných nákladov. Taktiež je potrebné uviesť, resp. vyčísliť sumu o ktorú sa občanovi zvýšia priame finančné náklady za vyhotovenie občianskeho preukazu, prípadne aj porovnať so súčasným stavom.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b/>
                <w:sz w:val="20"/>
                <w:szCs w:val="20"/>
              </w:rPr>
              <w:t>III. Záver:</w:t>
            </w:r>
            <w:r w:rsidRPr="00D071A3">
              <w:rPr>
                <w:rFonts w:ascii="Times" w:hAnsi="Times" w:cs="Times"/>
                <w:sz w:val="20"/>
                <w:szCs w:val="20"/>
              </w:rPr>
              <w:t xml:space="preserve"> Stála pracovná komisia na posudzovanie vybraných vplyvov vyjadruje 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D071A3" w:rsidRPr="00D071A3" w:rsidRDefault="00D071A3" w:rsidP="00D071A3">
            <w:pPr>
              <w:ind w:left="127" w:right="130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D071A3">
              <w:rPr>
                <w:rFonts w:ascii="Times" w:hAnsi="Times" w:cs="Times"/>
                <w:b/>
                <w:sz w:val="20"/>
                <w:szCs w:val="20"/>
              </w:rPr>
              <w:t>nesúhlasné stanovisko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sz w:val="20"/>
                <w:szCs w:val="20"/>
              </w:rPr>
              <w:t>s materiálom predloženým na predbežné pripomienkové konanie s odporúčaním na jeho dopracovanie podľa pripomienok v bode II.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b/>
                <w:sz w:val="20"/>
                <w:szCs w:val="20"/>
              </w:rPr>
              <w:t>IV. Poznámka:</w:t>
            </w:r>
            <w:r w:rsidRPr="00D071A3">
              <w:rPr>
                <w:rFonts w:ascii="Times" w:hAnsi="Times" w:cs="Times"/>
                <w:sz w:val="20"/>
                <w:szCs w:val="20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sz w:val="20"/>
                <w:szCs w:val="20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  <w:p w:rsidR="00D071A3" w:rsidRDefault="00D071A3" w:rsidP="008601A1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376383" w:rsidRPr="008601A1" w:rsidRDefault="00376383" w:rsidP="008601A1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601A1">
              <w:rPr>
                <w:rFonts w:ascii="Times" w:hAnsi="Times" w:cs="Times"/>
                <w:sz w:val="20"/>
                <w:szCs w:val="20"/>
              </w:rPr>
              <w:t> </w:t>
            </w:r>
          </w:p>
          <w:p w:rsidR="00376383" w:rsidRPr="008601A1" w:rsidRDefault="00376383" w:rsidP="008601A1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601A1">
              <w:rPr>
                <w:b/>
                <w:bCs/>
                <w:sz w:val="20"/>
                <w:szCs w:val="20"/>
              </w:rPr>
              <w:t xml:space="preserve">Vyhodnotenie pripomienok: 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sz w:val="20"/>
                <w:szCs w:val="20"/>
              </w:rPr>
              <w:t xml:space="preserve">Predkladateľ na základe uvedeného stanoviska Komisie pre posudzovanie vybraných vplyvov </w:t>
            </w:r>
            <w:r w:rsidRPr="00D071A3">
              <w:rPr>
                <w:rFonts w:ascii="Times" w:hAnsi="Times" w:cs="Times"/>
                <w:b/>
                <w:sz w:val="20"/>
                <w:szCs w:val="20"/>
              </w:rPr>
              <w:t>doplnil všetky požadované doplnenia</w:t>
            </w:r>
            <w:r w:rsidRPr="00D071A3">
              <w:rPr>
                <w:rFonts w:ascii="Times" w:hAnsi="Times" w:cs="Times"/>
                <w:sz w:val="20"/>
                <w:szCs w:val="20"/>
              </w:rPr>
              <w:t xml:space="preserve"> do jednotlivých položiek </w:t>
            </w:r>
            <w:r w:rsidRPr="00D071A3">
              <w:rPr>
                <w:rFonts w:ascii="Times" w:hAnsi="Times" w:cs="Times"/>
                <w:b/>
                <w:sz w:val="20"/>
                <w:szCs w:val="20"/>
              </w:rPr>
              <w:t>s výnimkou vypracovania štúdie uskutočniteľnosti projektu</w:t>
            </w:r>
            <w:r w:rsidRPr="00D071A3">
              <w:rPr>
                <w:rFonts w:ascii="Times" w:hAnsi="Times" w:cs="Times"/>
                <w:sz w:val="20"/>
                <w:szCs w:val="20"/>
              </w:rPr>
              <w:t xml:space="preserve">, nakoľko podľa usmernenia Ministerstva financií Slovenskej republiky č. MF/008782/2018-297 vypracovaného na základe úlohy C.3 Uznesenia vlády Uznesenia vlády Slovenskej republiky č. 471 z 11. októbra 2017 k návrhu rozpočtu verejnej správy za roky 2018-2020 je potrebné túto vypracovať pri projekte investičného charakteru v prípadoch s  celkovými predpokladanými nákladmi vyššími ako 10 mil. eur v informatizácii alebo 40 mil. eur celkovo. </w:t>
            </w:r>
            <w:r w:rsidRPr="00D071A3">
              <w:rPr>
                <w:rFonts w:ascii="Times" w:hAnsi="Times" w:cs="Times"/>
                <w:b/>
                <w:sz w:val="20"/>
                <w:szCs w:val="20"/>
              </w:rPr>
              <w:t>Uvedený projekt tieto náklady nepresahuje</w:t>
            </w:r>
            <w:r w:rsidRPr="00D071A3">
              <w:rPr>
                <w:rFonts w:ascii="Times" w:hAnsi="Times" w:cs="Times"/>
                <w:sz w:val="20"/>
                <w:szCs w:val="20"/>
              </w:rPr>
              <w:t>, pričom je veľmi otázne, či aj výdavky na kúpu 2 nových personalizačných zariadení je správne počítať do výdavkov na informatizáciu, nakoľko sa jedná o doplnenie, resp. obnovu existujúcich zariadení, ktoré súvisia s rutinným vydávaním dokladov podľa už platnej legislatívy a nepredstavujú nové výdavky. Uvedené dokladuje aj priložená tabuľka Výdavky v informatizácii triedené v EKRK podpoložkách predmetného usmernenia, kde nie je tento výdavok (633005</w:t>
            </w:r>
            <w:r w:rsidR="003535D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071A3">
              <w:rPr>
                <w:rFonts w:ascii="Times" w:hAnsi="Times" w:cs="Times"/>
                <w:sz w:val="20"/>
                <w:szCs w:val="20"/>
              </w:rPr>
              <w:t>- špeciálne stroje, prístroje, zariadenia, technika a náradie) definovaný ako výdavok na informatizáciu.</w:t>
            </w:r>
          </w:p>
          <w:p w:rsidR="00D071A3" w:rsidRPr="00D071A3" w:rsidRDefault="00D071A3" w:rsidP="00D071A3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sz w:val="20"/>
                <w:szCs w:val="20"/>
              </w:rPr>
              <w:t xml:space="preserve">V konečnom dôsledku v celkovom súčte aj v prípade započítania uvedeného nákupu dvoch personalizačných zariadení do výdavkov na informatizáciu v rokoch 2020 a 2021 a odpočítaní bežných výdavkov a výdavkov na poštové služby dosahujú </w:t>
            </w:r>
            <w:r w:rsidRPr="00D071A3">
              <w:rPr>
                <w:rFonts w:ascii="Times" w:hAnsi="Times" w:cs="Times"/>
                <w:b/>
                <w:sz w:val="20"/>
                <w:szCs w:val="20"/>
              </w:rPr>
              <w:t>celkové výdavky na informatizáciu 6 999 948 eur</w:t>
            </w:r>
            <w:r w:rsidRPr="00D071A3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376383" w:rsidRPr="00D12CCE" w:rsidRDefault="00D071A3" w:rsidP="003535D9">
            <w:pPr>
              <w:ind w:left="127" w:right="13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D071A3">
              <w:rPr>
                <w:rFonts w:ascii="Times" w:hAnsi="Times" w:cs="Times"/>
                <w:sz w:val="20"/>
                <w:szCs w:val="20"/>
              </w:rPr>
              <w:t>Bol identifikovaný vplyv na informatizáciu, kde bola doplnená zmena existujúceho systému verejnej správy. K vplyvom na služby verejnej správy pre občana bolo doplnené v bode 7.2.1 vyčíslenie zníženia priamych finančných nákladov a tiež vyčíslenie zvýšenia priamych nákladov pre občana a rovnako bolo doplnené porovnanie s existujúcim stavom.</w:t>
            </w:r>
          </w:p>
        </w:tc>
      </w:tr>
    </w:tbl>
    <w:p w:rsidR="00D71DC6" w:rsidRDefault="00D71DC6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D71DC6" w:rsidRDefault="00D71DC6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D71DC6" w:rsidRPr="007D5748" w:rsidRDefault="00D71DC6" w:rsidP="00D71DC6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lastRenderedPageBreak/>
        <w:t>Analýza vplyvov na rozpočet verejnej správy,</w:t>
      </w:r>
    </w:p>
    <w:p w:rsidR="00D71DC6" w:rsidRPr="007D5748" w:rsidRDefault="00D71DC6" w:rsidP="00D71DC6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:rsidR="00D71DC6" w:rsidRPr="00212894" w:rsidRDefault="00D71DC6" w:rsidP="00D71DC6">
      <w:pPr>
        <w:jc w:val="right"/>
        <w:rPr>
          <w:b/>
          <w:bCs/>
        </w:rPr>
      </w:pPr>
    </w:p>
    <w:p w:rsidR="00D71DC6" w:rsidRDefault="00D71DC6" w:rsidP="00D71DC6">
      <w:pPr>
        <w:rPr>
          <w:b/>
          <w:bCs/>
        </w:rPr>
      </w:pPr>
    </w:p>
    <w:p w:rsidR="00D71DC6" w:rsidRPr="00212894" w:rsidRDefault="00D71DC6" w:rsidP="00D71DC6">
      <w:pPr>
        <w:rPr>
          <w:b/>
          <w:bCs/>
        </w:rPr>
      </w:pPr>
      <w:r w:rsidRPr="00212894">
        <w:rPr>
          <w:b/>
          <w:bCs/>
        </w:rPr>
        <w:t>2.1 Zhrnutie vplyvov na rozpočet verejnej správy v návrhu</w:t>
      </w:r>
    </w:p>
    <w:p w:rsidR="00D71DC6" w:rsidRDefault="00D71DC6" w:rsidP="00D71DC6">
      <w:pPr>
        <w:jc w:val="right"/>
        <w:rPr>
          <w:sz w:val="20"/>
          <w:szCs w:val="20"/>
        </w:rPr>
      </w:pPr>
    </w:p>
    <w:p w:rsidR="00D71DC6" w:rsidRPr="007D5748" w:rsidRDefault="00D71DC6" w:rsidP="00D71DC6">
      <w:pPr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D71DC6" w:rsidRPr="007D5748" w:rsidTr="0000271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bookmarkStart w:id="0" w:name="OLE_LINK1"/>
            <w:r w:rsidRPr="007D5748">
              <w:rPr>
                <w:b/>
                <w:bCs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 (v eurách)</w:t>
            </w:r>
          </w:p>
        </w:tc>
      </w:tr>
      <w:tr w:rsidR="00D71DC6" w:rsidRPr="007D5748" w:rsidTr="0000271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71DC6" w:rsidRPr="007D5748" w:rsidRDefault="00D71DC6" w:rsidP="00002712">
            <w:r w:rsidRPr="007D5748">
              <w:rPr>
                <w:b/>
                <w:bCs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BE7F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BE7F8B">
              <w:rPr>
                <w:b/>
                <w:bCs/>
              </w:rPr>
              <w:t>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645 000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725 000</w:t>
            </w:r>
          </w:p>
        </w:tc>
      </w:tr>
      <w:tr w:rsidR="00D71DC6" w:rsidRPr="007D5748" w:rsidTr="0000271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r w:rsidRPr="007D5748">
              <w:t xml:space="preserve">v tom: </w:t>
            </w:r>
            <w:r>
              <w:t>Ministerstvo vnútra Slovenskej republiky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</w:pPr>
            <w:r>
              <w:t>22 50</w:t>
            </w:r>
            <w:r w:rsidRPr="009E2135"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</w:pPr>
            <w:r>
              <w:t>645 000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</w:pPr>
            <w:r>
              <w:t>690 000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</w:pPr>
            <w:r>
              <w:t>725 00</w:t>
            </w:r>
            <w:r w:rsidRPr="009E2135"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</w:p>
        </w:tc>
      </w:tr>
      <w:tr w:rsidR="00D71DC6" w:rsidRPr="007D5748" w:rsidTr="0000271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22 50</w:t>
            </w:r>
            <w:r w:rsidRPr="00CE35AD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645 000 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690 000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725 000</w:t>
            </w:r>
          </w:p>
        </w:tc>
      </w:tr>
      <w:tr w:rsidR="00D71DC6" w:rsidRPr="007D5748" w:rsidTr="0000271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</w:rPr>
            </w:pPr>
            <w:r>
              <w:rPr>
                <w:bCs/>
              </w:rPr>
              <w:t>22 5</w:t>
            </w:r>
            <w:r w:rsidRPr="00CE35AD">
              <w:rPr>
                <w:bCs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</w:rPr>
            </w:pPr>
            <w:r>
              <w:rPr>
                <w:bCs/>
              </w:rPr>
              <w:t>645 000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</w:rPr>
            </w:pPr>
            <w:r>
              <w:rPr>
                <w:bCs/>
              </w:rPr>
              <w:t>690 000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</w:rPr>
            </w:pPr>
            <w:r>
              <w:rPr>
                <w:bCs/>
              </w:rPr>
              <w:t>725 000</w:t>
            </w:r>
          </w:p>
        </w:tc>
      </w:tr>
      <w:tr w:rsidR="00D71DC6" w:rsidRPr="007D5748" w:rsidTr="0000271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ind w:left="259"/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</w:pPr>
            <w:r w:rsidRPr="00CE35AD"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</w:pPr>
            <w:r w:rsidRPr="00CE35AD"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</w:pPr>
            <w:r w:rsidRPr="00CE35AD"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</w:pPr>
            <w:r w:rsidRPr="00CE35AD">
              <w:t>0</w:t>
            </w:r>
          </w:p>
        </w:tc>
      </w:tr>
      <w:tr w:rsidR="00D71DC6" w:rsidRPr="007D5748" w:rsidTr="0000271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</w:tr>
      <w:tr w:rsidR="00D71DC6" w:rsidRPr="007D5748" w:rsidTr="0000271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</w:tr>
      <w:tr w:rsidR="00D71DC6" w:rsidRPr="007D5748" w:rsidTr="0000271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</w:tr>
      <w:tr w:rsidR="00D71DC6" w:rsidRPr="007D5748" w:rsidTr="0000271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1 573 965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7 658 391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2 429 904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1 312 608 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r>
              <w:t>Ministerstvo vnútra Slovenskej republiky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1 573 965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7 178 391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2 429 904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1 312 608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Default="00D71DC6" w:rsidP="00002712">
            <w:r>
              <w:t>Ministerstvo zahraničných vecí a európskych záležitostí Slovenskej republiky</w:t>
            </w:r>
          </w:p>
        </w:tc>
        <w:tc>
          <w:tcPr>
            <w:tcW w:w="1267" w:type="dxa"/>
            <w:noWrap/>
            <w:vAlign w:val="center"/>
          </w:tcPr>
          <w:p w:rsidR="00D71DC6" w:rsidRDefault="00D71DC6" w:rsidP="0000271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Default="00D71DC6" w:rsidP="0000271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480 000</w:t>
            </w:r>
          </w:p>
        </w:tc>
        <w:tc>
          <w:tcPr>
            <w:tcW w:w="1267" w:type="dxa"/>
            <w:noWrap/>
            <w:vAlign w:val="center"/>
          </w:tcPr>
          <w:p w:rsidR="00D71DC6" w:rsidRDefault="00D71DC6" w:rsidP="0000271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Default="00D71DC6" w:rsidP="0000271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1 573 965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7 658 391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2 429 904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1 312 608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ind w:left="259"/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1 573 965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7 658 391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2 429 904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1 312 608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</w:pPr>
            <w:r w:rsidRPr="00CE35AD"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</w:pPr>
            <w:r w:rsidRPr="00CE35AD"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</w:pPr>
            <w:r w:rsidRPr="00CE35AD"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</w:pPr>
            <w:r w:rsidRPr="00CE35AD"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Cs/>
                <w:i/>
                <w:iCs/>
              </w:rPr>
            </w:pPr>
            <w:r w:rsidRPr="007D5748">
              <w:rPr>
                <w:bCs/>
                <w:i/>
                <w:iCs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</w:pPr>
            <w:r w:rsidRPr="00CE35AD"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</w:pPr>
            <w:r w:rsidRPr="00CE35AD"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</w:pPr>
            <w:r w:rsidRPr="00CE35AD"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</w:pPr>
            <w:r w:rsidRPr="00CE35AD">
              <w:t>0</w:t>
            </w:r>
          </w:p>
        </w:tc>
      </w:tr>
      <w:tr w:rsidR="00D71DC6" w:rsidRPr="007D5748" w:rsidTr="0000271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</w:tr>
      <w:tr w:rsidR="00D71DC6" w:rsidRPr="007D5748" w:rsidTr="0000271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CE35AD" w:rsidRDefault="00D71DC6" w:rsidP="00002712">
            <w:pPr>
              <w:jc w:val="right"/>
              <w:rPr>
                <w:bCs/>
                <w:iCs/>
              </w:rPr>
            </w:pPr>
            <w:r w:rsidRPr="00CE35AD">
              <w:rPr>
                <w:bCs/>
                <w:iCs/>
              </w:rPr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D71DC6" w:rsidRPr="007D5748" w:rsidRDefault="00D71DC6" w:rsidP="00002712">
            <w:pPr>
              <w:rPr>
                <w:b/>
              </w:rPr>
            </w:pPr>
            <w:r w:rsidRPr="007D5748">
              <w:rPr>
                <w:b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  <w:i/>
                <w:iCs/>
              </w:rPr>
            </w:pPr>
            <w:r w:rsidRPr="007D5748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</w:rPr>
            </w:pPr>
            <w:r w:rsidRPr="007D5748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  <w:iCs/>
              </w:rPr>
            </w:pPr>
            <w:r w:rsidRPr="009E2135">
              <w:rPr>
                <w:b/>
                <w:bCs/>
                <w:iCs/>
              </w:rPr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1 573 965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  <w:r w:rsidRPr="009E2135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71DC6" w:rsidRPr="009E2135" w:rsidRDefault="00D71DC6" w:rsidP="00002712">
            <w:pPr>
              <w:jc w:val="right"/>
              <w:rPr>
                <w:b/>
                <w:bCs/>
              </w:rPr>
            </w:pPr>
            <w:r w:rsidRPr="009E2135">
              <w:rPr>
                <w:b/>
                <w:bCs/>
              </w:rPr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71DC6" w:rsidRPr="00067A1D" w:rsidRDefault="00D71DC6" w:rsidP="00002712">
            <w:r w:rsidRPr="00067A1D">
              <w:t>v tom: za každý subjekt verejnej správy / program zvlášť</w:t>
            </w:r>
          </w:p>
          <w:p w:rsidR="00D71DC6" w:rsidRDefault="00D71DC6" w:rsidP="00002712">
            <w:r w:rsidRPr="00067A1D">
              <w:t>Ministerstvo vnútra SR</w:t>
            </w:r>
          </w:p>
          <w:p w:rsidR="00D71DC6" w:rsidRPr="00067A1D" w:rsidRDefault="00D71DC6" w:rsidP="00002712">
            <w:r>
              <w:t>Ministerstvo zahraničných vecí a európskych záležitostí Slovenskej republiky</w:t>
            </w:r>
          </w:p>
        </w:tc>
        <w:tc>
          <w:tcPr>
            <w:tcW w:w="1267" w:type="dxa"/>
            <w:noWrap/>
            <w:vAlign w:val="center"/>
          </w:tcPr>
          <w:p w:rsidR="00D71DC6" w:rsidRPr="00BE7F8B" w:rsidRDefault="00D71DC6" w:rsidP="00002712">
            <w:pPr>
              <w:jc w:val="right"/>
            </w:pPr>
          </w:p>
          <w:p w:rsidR="00D71DC6" w:rsidRPr="00BE7F8B" w:rsidRDefault="00D71DC6" w:rsidP="00002712">
            <w:pPr>
              <w:jc w:val="right"/>
            </w:pPr>
            <w:r>
              <w:t>1 573 965</w:t>
            </w:r>
          </w:p>
          <w:p w:rsidR="00D71DC6" w:rsidRPr="00BE7F8B" w:rsidRDefault="00D71DC6" w:rsidP="00002712">
            <w:pPr>
              <w:jc w:val="right"/>
            </w:pPr>
            <w:r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EF2530" w:rsidRDefault="00D71DC6" w:rsidP="00002712">
            <w:pPr>
              <w:jc w:val="right"/>
            </w:pPr>
          </w:p>
          <w:p w:rsidR="00D71DC6" w:rsidRPr="00EF2530" w:rsidRDefault="00D71DC6" w:rsidP="00002712">
            <w:pPr>
              <w:jc w:val="right"/>
            </w:pPr>
            <w:r>
              <w:t>0</w:t>
            </w:r>
          </w:p>
          <w:p w:rsidR="00D71DC6" w:rsidRPr="00EF2530" w:rsidRDefault="00D71DC6" w:rsidP="00002712">
            <w:pPr>
              <w:jc w:val="right"/>
            </w:pPr>
            <w:r w:rsidRPr="00EF2530"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Pr="00EF2530" w:rsidRDefault="00D71DC6" w:rsidP="00002712">
            <w:pPr>
              <w:jc w:val="right"/>
            </w:pPr>
          </w:p>
          <w:p w:rsidR="00D71DC6" w:rsidRPr="00EF2530" w:rsidRDefault="00D71DC6" w:rsidP="00002712">
            <w:pPr>
              <w:jc w:val="right"/>
            </w:pPr>
            <w:r>
              <w:t>0</w:t>
            </w:r>
          </w:p>
          <w:p w:rsidR="00D71DC6" w:rsidRPr="00EF2530" w:rsidRDefault="00D71DC6" w:rsidP="00002712">
            <w:pPr>
              <w:jc w:val="right"/>
            </w:pPr>
            <w:r w:rsidRPr="00EF2530">
              <w:t>0</w:t>
            </w:r>
          </w:p>
        </w:tc>
        <w:tc>
          <w:tcPr>
            <w:tcW w:w="1267" w:type="dxa"/>
            <w:noWrap/>
            <w:vAlign w:val="center"/>
          </w:tcPr>
          <w:p w:rsidR="00D71DC6" w:rsidRDefault="00D71DC6" w:rsidP="00002712">
            <w:pPr>
              <w:jc w:val="right"/>
            </w:pPr>
          </w:p>
          <w:p w:rsidR="00D71DC6" w:rsidRDefault="00D71DC6" w:rsidP="00002712">
            <w:pPr>
              <w:jc w:val="right"/>
            </w:pPr>
            <w:r>
              <w:t>0</w:t>
            </w:r>
          </w:p>
          <w:p w:rsidR="00D71DC6" w:rsidRPr="00BE7F8B" w:rsidRDefault="00D71DC6" w:rsidP="00002712">
            <w:pPr>
              <w:jc w:val="right"/>
            </w:pPr>
            <w:r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D71DC6" w:rsidRPr="007D5748" w:rsidRDefault="00D71DC6" w:rsidP="00002712">
            <w:pPr>
              <w:rPr>
                <w:b/>
              </w:rPr>
            </w:pPr>
            <w:r w:rsidRPr="007D5748">
              <w:rPr>
                <w:b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1DC6" w:rsidRPr="00BE7F8B" w:rsidRDefault="00D71DC6" w:rsidP="00002712">
            <w:pPr>
              <w:jc w:val="right"/>
              <w:rPr>
                <w:b/>
                <w:bCs/>
              </w:rPr>
            </w:pPr>
            <w:r w:rsidRPr="00BE7F8B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1DC6" w:rsidRPr="00EF2530" w:rsidRDefault="00D71DC6" w:rsidP="00002712">
            <w:pPr>
              <w:jc w:val="right"/>
              <w:rPr>
                <w:b/>
                <w:bCs/>
              </w:rPr>
            </w:pPr>
            <w:r w:rsidRPr="00EF2530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1DC6" w:rsidRPr="00EF2530" w:rsidRDefault="00D71DC6" w:rsidP="00002712">
            <w:pPr>
              <w:jc w:val="right"/>
              <w:rPr>
                <w:b/>
                <w:bCs/>
              </w:rPr>
            </w:pPr>
            <w:r w:rsidRPr="00EF2530">
              <w:rPr>
                <w:b/>
                <w:bCs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71DC6" w:rsidRPr="00BE7F8B" w:rsidRDefault="00D71DC6" w:rsidP="00002712">
            <w:pPr>
              <w:jc w:val="right"/>
              <w:rPr>
                <w:b/>
                <w:bCs/>
              </w:rPr>
            </w:pPr>
            <w:r w:rsidRPr="00BE7F8B">
              <w:rPr>
                <w:b/>
                <w:bCs/>
              </w:rPr>
              <w:t>0</w:t>
            </w:r>
          </w:p>
        </w:tc>
      </w:tr>
      <w:tr w:rsidR="00D71DC6" w:rsidRPr="007D5748" w:rsidTr="0000271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D71DC6" w:rsidRPr="007D5748" w:rsidRDefault="00D71DC6" w:rsidP="00002712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71DC6" w:rsidRPr="00BE7F8B" w:rsidRDefault="00D71DC6" w:rsidP="00002712">
            <w:pPr>
              <w:jc w:val="right"/>
              <w:rPr>
                <w:b/>
                <w:bCs/>
              </w:rPr>
            </w:pP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71DC6" w:rsidRPr="00BE7F8B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7 658 391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71DC6" w:rsidRPr="00BE7F8B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2 429 904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71DC6" w:rsidRPr="00BE7F8B" w:rsidRDefault="00D71DC6" w:rsidP="000027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1 312 608</w:t>
            </w:r>
          </w:p>
        </w:tc>
      </w:tr>
    </w:tbl>
    <w:bookmarkEnd w:id="0"/>
    <w:p w:rsidR="00D71DC6" w:rsidRPr="007D5748" w:rsidRDefault="00D71DC6" w:rsidP="00D71DC6">
      <w:pPr>
        <w:jc w:val="both"/>
        <w:rPr>
          <w:b/>
          <w:bCs/>
        </w:rPr>
      </w:pPr>
      <w:r w:rsidRPr="007D5748">
        <w:rPr>
          <w:b/>
          <w:bCs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D71DC6" w:rsidRPr="007D5748" w:rsidRDefault="00D71DC6" w:rsidP="00D71DC6">
      <w:pPr>
        <w:jc w:val="both"/>
        <w:rPr>
          <w:b/>
          <w:bCs/>
          <w:sz w:val="12"/>
        </w:rPr>
      </w:pPr>
    </w:p>
    <w:p w:rsidR="00D71DC6" w:rsidRDefault="00D71DC6" w:rsidP="00D71D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Výdavky na realizáciu</w:t>
      </w:r>
      <w:r w:rsidRPr="004A75E5">
        <w:rPr>
          <w:bCs/>
        </w:rPr>
        <w:t xml:space="preserve"> </w:t>
      </w:r>
      <w:r>
        <w:rPr>
          <w:bCs/>
        </w:rPr>
        <w:t>zákona o občianskych preukazoch</w:t>
      </w:r>
      <w:r w:rsidRPr="004A75E5">
        <w:rPr>
          <w:bCs/>
        </w:rPr>
        <w:t xml:space="preserve"> </w:t>
      </w:r>
      <w:r>
        <w:rPr>
          <w:bCs/>
        </w:rPr>
        <w:t xml:space="preserve">budú v roku 2019 hradené z rozpočtu Ministerstva vnútra Slovenskej republiky. </w:t>
      </w:r>
    </w:p>
    <w:p w:rsidR="00D71DC6" w:rsidRPr="00EF2530" w:rsidRDefault="00D71DC6" w:rsidP="00D71D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V rokoch 2020 až 2022 bude Ministerstvo vnútra Slovenskej republiky a Ministerstvo zahraničných vecí a európskych záležitostí Slovenskej republiky na základe stanovených termínov rokovať o výdavkoch vyplývajúcich zo zákona o občianskych preukazoch s Ministerstvom financií Slovenskej republiky v rámci prípravy návrhu rozpočtu verejnej správy na príslušný rozpočtový rok. </w:t>
      </w:r>
    </w:p>
    <w:p w:rsidR="00D71DC6" w:rsidRDefault="00D71DC6" w:rsidP="00D71DC6">
      <w:pPr>
        <w:rPr>
          <w:b/>
          <w:bCs/>
        </w:rPr>
      </w:pPr>
    </w:p>
    <w:p w:rsidR="00D71DC6" w:rsidRPr="007D5748" w:rsidRDefault="00D71DC6" w:rsidP="00D71DC6">
      <w:pPr>
        <w:rPr>
          <w:b/>
          <w:bCs/>
        </w:rPr>
      </w:pPr>
      <w:r w:rsidRPr="007D5748">
        <w:rPr>
          <w:b/>
          <w:bCs/>
        </w:rPr>
        <w:t>2.2. Popis a charakteristika návrhu</w:t>
      </w:r>
    </w:p>
    <w:p w:rsidR="00D71DC6" w:rsidRPr="007D5748" w:rsidRDefault="00D71DC6" w:rsidP="00D71DC6"/>
    <w:p w:rsidR="00D71DC6" w:rsidRPr="007D5748" w:rsidRDefault="00D71DC6" w:rsidP="00D71DC6">
      <w:pPr>
        <w:jc w:val="both"/>
        <w:rPr>
          <w:b/>
          <w:bCs/>
        </w:rPr>
      </w:pPr>
      <w:r w:rsidRPr="007D5748">
        <w:rPr>
          <w:b/>
          <w:bCs/>
        </w:rPr>
        <w:t>2.2.1. Popis návrhu:</w:t>
      </w:r>
    </w:p>
    <w:p w:rsidR="00D71DC6" w:rsidRPr="007D5748" w:rsidRDefault="00D71DC6" w:rsidP="00D71DC6">
      <w:pPr>
        <w:jc w:val="both"/>
        <w:rPr>
          <w:b/>
          <w:bCs/>
        </w:rPr>
      </w:pPr>
    </w:p>
    <w:p w:rsidR="00D71DC6" w:rsidRPr="007A55AC" w:rsidRDefault="00D71DC6" w:rsidP="00D71DC6">
      <w:pPr>
        <w:ind w:firstLine="708"/>
        <w:jc w:val="both"/>
        <w:rPr>
          <w:i/>
        </w:rPr>
      </w:pPr>
      <w:r w:rsidRPr="007A55AC">
        <w:rPr>
          <w:i/>
        </w:rPr>
        <w:t>Akú problematiku návrh rieši? Kto bude návrh implementovať? Kde sa budú služby poskytovať?</w:t>
      </w:r>
    </w:p>
    <w:p w:rsidR="00D71DC6" w:rsidRDefault="00D71DC6" w:rsidP="00D71DC6"/>
    <w:p w:rsidR="00D71DC6" w:rsidRPr="00CE35AD" w:rsidRDefault="00D71DC6" w:rsidP="00D71DC6">
      <w:pPr>
        <w:jc w:val="both"/>
      </w:pPr>
      <w:r w:rsidRPr="00CE35AD">
        <w:t xml:space="preserve">Návrh zákona rieši zavedenie </w:t>
      </w:r>
      <w:r>
        <w:t xml:space="preserve">občianskych preukazov bez podoby tváre, aby sa vytvorili predpoklady na spustenie elektronického zdravotníctva do praxe používaním dokladu s čipom. </w:t>
      </w:r>
      <w:r w:rsidRPr="006B0626">
        <w:rPr>
          <w:szCs w:val="20"/>
        </w:rPr>
        <w:t xml:space="preserve">V súvislosti s projektom </w:t>
      </w:r>
      <w:r>
        <w:rPr>
          <w:szCs w:val="20"/>
        </w:rPr>
        <w:t xml:space="preserve"> elektronického zdravotníctva</w:t>
      </w:r>
      <w:r w:rsidRPr="006B0626">
        <w:rPr>
          <w:szCs w:val="20"/>
        </w:rPr>
        <w:t xml:space="preserve"> je potrebné postupne v termíne do  31.</w:t>
      </w:r>
      <w:r>
        <w:rPr>
          <w:szCs w:val="20"/>
        </w:rPr>
        <w:t xml:space="preserve"> </w:t>
      </w:r>
      <w:r w:rsidRPr="006B0626">
        <w:rPr>
          <w:szCs w:val="20"/>
        </w:rPr>
        <w:t>12.</w:t>
      </w:r>
      <w:r>
        <w:rPr>
          <w:szCs w:val="20"/>
        </w:rPr>
        <w:t xml:space="preserve"> </w:t>
      </w:r>
      <w:r w:rsidRPr="006B0626">
        <w:rPr>
          <w:szCs w:val="20"/>
        </w:rPr>
        <w:t>2021 dosiahnuť stav, aby</w:t>
      </w:r>
      <w:r w:rsidRPr="007A55BE">
        <w:rPr>
          <w:szCs w:val="20"/>
        </w:rPr>
        <w:t xml:space="preserve"> </w:t>
      </w:r>
      <w:r w:rsidRPr="006B0626">
        <w:rPr>
          <w:szCs w:val="20"/>
        </w:rPr>
        <w:t>bol každý občan Slovenskej republiky</w:t>
      </w:r>
      <w:r>
        <w:rPr>
          <w:szCs w:val="20"/>
        </w:rPr>
        <w:t xml:space="preserve"> s trvalým pobytom na území Slovenskej republiky</w:t>
      </w:r>
      <w:r w:rsidRPr="006B0626">
        <w:rPr>
          <w:szCs w:val="20"/>
        </w:rPr>
        <w:t xml:space="preserve"> držiteľom občianskeho preukazu</w:t>
      </w:r>
      <w:r>
        <w:rPr>
          <w:szCs w:val="20"/>
        </w:rPr>
        <w:t xml:space="preserve"> alebo občianskeho preukazu bez podoby tváre</w:t>
      </w:r>
      <w:r w:rsidRPr="006B0626">
        <w:rPr>
          <w:szCs w:val="20"/>
        </w:rPr>
        <w:t xml:space="preserve">, </w:t>
      </w:r>
      <w:r>
        <w:rPr>
          <w:szCs w:val="20"/>
        </w:rPr>
        <w:t xml:space="preserve">resp. aby mal možnosť získať takýto doklad, </w:t>
      </w:r>
      <w:r w:rsidRPr="006B0626">
        <w:rPr>
          <w:szCs w:val="20"/>
        </w:rPr>
        <w:t>nakoľko po tomto dátume je pre občanov S</w:t>
      </w:r>
      <w:r>
        <w:rPr>
          <w:szCs w:val="20"/>
        </w:rPr>
        <w:t>lovenskej republiky</w:t>
      </w:r>
      <w:r w:rsidRPr="006B0626">
        <w:rPr>
          <w:szCs w:val="20"/>
        </w:rPr>
        <w:t xml:space="preserve"> definovaný občiansky preukaz s čipom ako jediný autentifikačný prostriedok pre umožnenie prístupu k elektronickým zdravotným záznamom z elektronickej zdravotnej knižky</w:t>
      </w:r>
      <w:r>
        <w:rPr>
          <w:szCs w:val="20"/>
        </w:rPr>
        <w:t xml:space="preserve"> občana </w:t>
      </w:r>
      <w:r w:rsidRPr="006B0626">
        <w:rPr>
          <w:szCs w:val="20"/>
        </w:rPr>
        <w:t>podľa zákona č. 153/2013 Z. z. o národnom zdravotníckom informačnom systéme</w:t>
      </w:r>
      <w:r>
        <w:rPr>
          <w:szCs w:val="20"/>
        </w:rPr>
        <w:t xml:space="preserve">. </w:t>
      </w:r>
      <w:r>
        <w:t>Z uvedeného dôvodu sa navrhuje pre občanov mladších ako 15 rokov a pre občanov starších ako 65 rokov, ktorí nie sú držiteľmi občianskeho preukazu s elektronickým čipom vydávať občiansky preukaz bez podoby tváre.</w:t>
      </w:r>
    </w:p>
    <w:p w:rsidR="00D71DC6" w:rsidRPr="00DD3B97" w:rsidRDefault="00D71DC6" w:rsidP="00D71DC6">
      <w:pPr>
        <w:jc w:val="both"/>
        <w:rPr>
          <w:highlight w:val="yellow"/>
        </w:rPr>
      </w:pPr>
    </w:p>
    <w:p w:rsidR="00D71DC6" w:rsidRPr="007D5748" w:rsidRDefault="00D71DC6" w:rsidP="00D71DC6">
      <w:pPr>
        <w:rPr>
          <w:b/>
          <w:bCs/>
        </w:rPr>
      </w:pPr>
      <w:r w:rsidRPr="007D5748">
        <w:rPr>
          <w:b/>
          <w:bCs/>
        </w:rPr>
        <w:t>2.2.2. Charakteristika návrhu:</w:t>
      </w:r>
    </w:p>
    <w:p w:rsidR="00D71DC6" w:rsidRPr="007D5748" w:rsidRDefault="00D71DC6" w:rsidP="00D71DC6"/>
    <w:p w:rsidR="00D71DC6" w:rsidRPr="007D5748" w:rsidRDefault="00D71DC6" w:rsidP="00D71DC6">
      <w:r w:rsidRPr="007D5748">
        <w:rPr>
          <w:b/>
          <w:bdr w:val="single" w:sz="4" w:space="0" w:color="auto"/>
        </w:rPr>
        <w:t xml:space="preserve">     </w:t>
      </w:r>
      <w:r w:rsidRPr="007D5748">
        <w:rPr>
          <w:b/>
        </w:rPr>
        <w:t xml:space="preserve">  </w:t>
      </w:r>
      <w:r w:rsidRPr="007D5748">
        <w:t>zmena sadzby</w:t>
      </w:r>
    </w:p>
    <w:p w:rsidR="00D71DC6" w:rsidRPr="007D5748" w:rsidRDefault="00D71DC6" w:rsidP="00D71DC6">
      <w:r w:rsidRPr="007D5748">
        <w:rPr>
          <w:bdr w:val="single" w:sz="4" w:space="0" w:color="auto"/>
        </w:rPr>
        <w:t xml:space="preserve">     </w:t>
      </w:r>
      <w:r w:rsidRPr="007D5748">
        <w:t xml:space="preserve">  zmena v nároku</w:t>
      </w:r>
    </w:p>
    <w:p w:rsidR="00D71DC6" w:rsidRPr="007D5748" w:rsidRDefault="00D71DC6" w:rsidP="00D71DC6">
      <w:r w:rsidRPr="007D5748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>x</w:t>
      </w:r>
      <w:r w:rsidRPr="007D5748">
        <w:rPr>
          <w:bdr w:val="single" w:sz="4" w:space="0" w:color="auto"/>
        </w:rPr>
        <w:t xml:space="preserve">  </w:t>
      </w:r>
      <w:r w:rsidRPr="007D5748">
        <w:t xml:space="preserve">  nová služba alebo nariadenie (alebo ich zrušenie)</w:t>
      </w:r>
    </w:p>
    <w:p w:rsidR="00D71DC6" w:rsidRPr="007D5748" w:rsidRDefault="00D71DC6" w:rsidP="00D71DC6">
      <w:r w:rsidRPr="007D5748">
        <w:rPr>
          <w:bdr w:val="single" w:sz="4" w:space="0" w:color="auto"/>
        </w:rPr>
        <w:t xml:space="preserve">     </w:t>
      </w:r>
      <w:r w:rsidRPr="007D5748">
        <w:t xml:space="preserve">  kombinovaný návrh</w:t>
      </w:r>
    </w:p>
    <w:p w:rsidR="00D71DC6" w:rsidRPr="007D5748" w:rsidRDefault="00D71DC6" w:rsidP="00D71DC6">
      <w:r w:rsidRPr="007D5748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</w:t>
      </w:r>
      <w:r w:rsidRPr="007D5748">
        <w:rPr>
          <w:bdr w:val="single" w:sz="4" w:space="0" w:color="auto"/>
        </w:rPr>
        <w:t xml:space="preserve"> </w:t>
      </w:r>
      <w:r w:rsidRPr="007D5748">
        <w:t xml:space="preserve">  iné </w:t>
      </w:r>
    </w:p>
    <w:p w:rsidR="00D71DC6" w:rsidRPr="007D5748" w:rsidRDefault="00D71DC6" w:rsidP="00D71DC6"/>
    <w:p w:rsidR="00D71DC6" w:rsidRPr="007D5748" w:rsidRDefault="00D71DC6" w:rsidP="00D71DC6"/>
    <w:p w:rsidR="00D71DC6" w:rsidRPr="007D5748" w:rsidRDefault="00D71DC6" w:rsidP="00D71DC6">
      <w:r w:rsidRPr="007D5748">
        <w:rPr>
          <w:b/>
          <w:bCs/>
        </w:rPr>
        <w:t>2.2.3. Predpoklady vývoja objemu aktivít:</w:t>
      </w:r>
    </w:p>
    <w:p w:rsidR="00D71DC6" w:rsidRPr="007D5748" w:rsidRDefault="00D71DC6" w:rsidP="00D71DC6"/>
    <w:p w:rsidR="00D71DC6" w:rsidRPr="007A55AC" w:rsidRDefault="00D71DC6" w:rsidP="00D71DC6">
      <w:pPr>
        <w:ind w:firstLine="708"/>
        <w:jc w:val="both"/>
        <w:rPr>
          <w:i/>
        </w:rPr>
      </w:pPr>
      <w:r w:rsidRPr="007A55AC">
        <w:rPr>
          <w:i/>
        </w:rPr>
        <w:t>Jasne popíšte, v prípade potreby použite nižšie uvedenú tabuľku. Uveďte aj odhady základov daní a/alebo poplatkov, ak sa ich táto zmena týka.</w:t>
      </w:r>
    </w:p>
    <w:p w:rsidR="00D71DC6" w:rsidRPr="007D5748" w:rsidRDefault="00D71DC6" w:rsidP="00D71DC6">
      <w:pPr>
        <w:ind w:firstLine="708"/>
        <w:jc w:val="both"/>
      </w:pPr>
    </w:p>
    <w:p w:rsidR="00D71DC6" w:rsidRPr="007D5748" w:rsidRDefault="00D71DC6" w:rsidP="00D71DC6">
      <w:pPr>
        <w:jc w:val="right"/>
        <w:rPr>
          <w:sz w:val="20"/>
          <w:szCs w:val="20"/>
        </w:rPr>
      </w:pPr>
      <w:r w:rsidRPr="007D5748">
        <w:rPr>
          <w:sz w:val="20"/>
          <w:szCs w:val="20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1418"/>
        <w:gridCol w:w="1417"/>
        <w:gridCol w:w="1418"/>
        <w:gridCol w:w="1494"/>
      </w:tblGrid>
      <w:tr w:rsidR="00D71DC6" w:rsidRPr="007D5748" w:rsidTr="00002712">
        <w:trPr>
          <w:cantSplit/>
          <w:trHeight w:val="70"/>
        </w:trPr>
        <w:tc>
          <w:tcPr>
            <w:tcW w:w="3319" w:type="dxa"/>
            <w:vMerge w:val="restart"/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Objem aktivít</w:t>
            </w:r>
          </w:p>
        </w:tc>
        <w:tc>
          <w:tcPr>
            <w:tcW w:w="5747" w:type="dxa"/>
            <w:gridSpan w:val="4"/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Odhadované objemy</w:t>
            </w:r>
          </w:p>
        </w:tc>
      </w:tr>
      <w:tr w:rsidR="00D71DC6" w:rsidRPr="007D5748" w:rsidTr="00002712">
        <w:trPr>
          <w:cantSplit/>
          <w:trHeight w:val="70"/>
        </w:trPr>
        <w:tc>
          <w:tcPr>
            <w:tcW w:w="3319" w:type="dxa"/>
            <w:vMerge/>
            <w:shd w:val="clear" w:color="auto" w:fill="BFBFBF" w:themeFill="background1" w:themeFillShade="BF"/>
          </w:tcPr>
          <w:p w:rsidR="00D71DC6" w:rsidRPr="007D5748" w:rsidRDefault="00D71DC6" w:rsidP="000027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494" w:type="dxa"/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D71DC6" w:rsidRPr="007D5748" w:rsidTr="00002712">
        <w:trPr>
          <w:trHeight w:val="70"/>
        </w:trPr>
        <w:tc>
          <w:tcPr>
            <w:tcW w:w="3319" w:type="dxa"/>
          </w:tcPr>
          <w:p w:rsidR="00D71DC6" w:rsidRPr="007D5748" w:rsidRDefault="00D71DC6" w:rsidP="0000271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Služby SLA</w:t>
            </w:r>
          </w:p>
        </w:tc>
        <w:tc>
          <w:tcPr>
            <w:tcW w:w="1418" w:type="dxa"/>
          </w:tcPr>
          <w:p w:rsidR="00D71DC6" w:rsidRPr="0091362B" w:rsidRDefault="00D71DC6" w:rsidP="00002712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D71DC6" w:rsidRPr="0091362B" w:rsidRDefault="00D71DC6" w:rsidP="00002712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</w:tcPr>
          <w:p w:rsidR="00D71DC6" w:rsidRPr="0091362B" w:rsidRDefault="00D71DC6" w:rsidP="00002712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94" w:type="dxa"/>
          </w:tcPr>
          <w:p w:rsidR="00D71DC6" w:rsidRPr="0091362B" w:rsidRDefault="00D71DC6" w:rsidP="00002712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</w:p>
        </w:tc>
      </w:tr>
    </w:tbl>
    <w:p w:rsidR="00D71DC6" w:rsidRDefault="00D71DC6" w:rsidP="00D71DC6"/>
    <w:p w:rsidR="00D71DC6" w:rsidRPr="007D5748" w:rsidRDefault="00D71DC6" w:rsidP="00D71DC6">
      <w:r>
        <w:t>Návrhom zákona sa nemení objem aktivít.</w:t>
      </w:r>
    </w:p>
    <w:p w:rsidR="00D71DC6" w:rsidRPr="007D5748" w:rsidRDefault="00D71DC6" w:rsidP="00D71DC6">
      <w:pPr>
        <w:rPr>
          <w:b/>
          <w:bCs/>
        </w:rPr>
      </w:pPr>
      <w:r w:rsidRPr="007D5748">
        <w:rPr>
          <w:b/>
          <w:bCs/>
        </w:rPr>
        <w:lastRenderedPageBreak/>
        <w:t>2.2.4. Výpočty vplyvov na verejné financie</w:t>
      </w:r>
    </w:p>
    <w:p w:rsidR="00D71DC6" w:rsidRPr="007D5748" w:rsidRDefault="00D71DC6" w:rsidP="00D71DC6"/>
    <w:p w:rsidR="00D71DC6" w:rsidRPr="007A55AC" w:rsidRDefault="00D71DC6" w:rsidP="00D71DC6">
      <w:pPr>
        <w:ind w:firstLine="708"/>
        <w:jc w:val="both"/>
        <w:rPr>
          <w:i/>
        </w:rPr>
      </w:pPr>
      <w:r w:rsidRPr="007A55AC">
        <w:rPr>
          <w:i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D71DC6" w:rsidRPr="007D5748" w:rsidRDefault="00D71DC6" w:rsidP="00D71DC6">
      <w:pPr>
        <w:ind w:firstLine="708"/>
        <w:jc w:val="both"/>
      </w:pPr>
    </w:p>
    <w:p w:rsidR="00D71DC6" w:rsidRDefault="00D71DC6" w:rsidP="00D71DC6">
      <w:pPr>
        <w:tabs>
          <w:tab w:val="num" w:pos="1080"/>
        </w:tabs>
        <w:ind w:firstLine="709"/>
        <w:jc w:val="both"/>
        <w:rPr>
          <w:bCs/>
          <w:szCs w:val="20"/>
        </w:rPr>
      </w:pPr>
      <w:r>
        <w:rPr>
          <w:bCs/>
          <w:szCs w:val="20"/>
        </w:rPr>
        <w:t>Odhad príjmov do štátneho rozpočtu vychádza z výšky vybratých správnych poplatkov na úseku občianskych preukazov v roku 2018 a časti ich výberu v roku 2019 a predpokladu ich výberu na roky 2019 – 2022 s poukazom na navrhované legislatívne zmeny. K zvýšeniu príjmov dôjde z dôvodu možnosti vydania občianskeho preukazu aj pre osoby mladšie ako 15 rokov a tiež pre osoby s trvalým pobytom mimo územia SR, v ďalších rokoch sa ráta už aj s poplatkami za vydanie týchto dokladov z dôvodu straty alebo odcudzenia.</w:t>
      </w:r>
    </w:p>
    <w:p w:rsidR="00D71DC6" w:rsidRDefault="00D71DC6" w:rsidP="00D71DC6">
      <w:pPr>
        <w:tabs>
          <w:tab w:val="num" w:pos="1080"/>
        </w:tabs>
        <w:jc w:val="both"/>
        <w:rPr>
          <w:bCs/>
          <w:szCs w:val="20"/>
        </w:rPr>
      </w:pPr>
    </w:p>
    <w:p w:rsidR="00D71DC6" w:rsidRDefault="00D71DC6" w:rsidP="00D71DC6">
      <w:pPr>
        <w:ind w:firstLine="708"/>
        <w:jc w:val="both"/>
      </w:pPr>
      <w:r w:rsidRPr="00743B7B">
        <w:t xml:space="preserve">Výdavky vo výške </w:t>
      </w:r>
      <w:r>
        <w:t>1.573.965</w:t>
      </w:r>
      <w:r w:rsidRPr="00743B7B">
        <w:rPr>
          <w:bCs/>
          <w:iCs/>
        </w:rPr>
        <w:t xml:space="preserve"> </w:t>
      </w:r>
      <w:r w:rsidRPr="00743B7B">
        <w:t xml:space="preserve">€ na rok 2019 sú potrebné na zabezpečenie </w:t>
      </w:r>
      <w:r>
        <w:t xml:space="preserve">úpravy informačného systému občianskych preukazov, zabezpečenie  úpravy </w:t>
      </w:r>
      <w:proofErr w:type="spellStart"/>
      <w:r>
        <w:t>personalizačného</w:t>
      </w:r>
      <w:proofErr w:type="spellEnd"/>
      <w:r>
        <w:t xml:space="preserve"> systému Národného </w:t>
      </w:r>
      <w:proofErr w:type="spellStart"/>
      <w:r>
        <w:t>personalizačného</w:t>
      </w:r>
      <w:proofErr w:type="spellEnd"/>
      <w:r>
        <w:t xml:space="preserve"> centra Prezídia Policajného zboru, t. j. nasadenie, integráciu, podporu prevádzky a novú IT štruktúru a na bežné výdavky v rámci bežných tovarov a služieb na zabezpečenie vydávania dokladov. </w:t>
      </w:r>
    </w:p>
    <w:p w:rsidR="00D71DC6" w:rsidRDefault="00D71DC6" w:rsidP="00D71DC6">
      <w:pPr>
        <w:ind w:firstLine="708"/>
        <w:jc w:val="both"/>
      </w:pPr>
      <w:r>
        <w:t xml:space="preserve">Výdavky na rok 2020 zohľadňujú v rámci rezortu vnútra náklady na obstaranie dvoch </w:t>
      </w:r>
      <w:proofErr w:type="spellStart"/>
      <w:r>
        <w:t>personalizačných</w:t>
      </w:r>
      <w:proofErr w:type="spellEnd"/>
      <w:r>
        <w:t xml:space="preserve"> zariadení pre ID1 doklady, potrebné softvérové zabezpečenie a integráciu na existujúci </w:t>
      </w:r>
      <w:proofErr w:type="spellStart"/>
      <w:r>
        <w:t>personalizačný</w:t>
      </w:r>
      <w:proofErr w:type="spellEnd"/>
      <w:r>
        <w:t xml:space="preserve"> systém Národného </w:t>
      </w:r>
      <w:proofErr w:type="spellStart"/>
      <w:r>
        <w:t>personalizačného</w:t>
      </w:r>
      <w:proofErr w:type="spellEnd"/>
      <w:r>
        <w:t xml:space="preserve"> centra a na zabezpečenie čistopisov dokladov. V rámci rezortu zahraničných vecí ide v roku 2020 o náklady</w:t>
      </w:r>
      <w:r w:rsidRPr="00F10B53">
        <w:t xml:space="preserve"> určené na úprav</w:t>
      </w:r>
      <w:r>
        <w:t>u</w:t>
      </w:r>
      <w:r w:rsidRPr="00F10B53">
        <w:t xml:space="preserve"> informačného systému Doklady (analýza potrebných zmien a návrh riešenia 96</w:t>
      </w:r>
      <w:r>
        <w:t>.</w:t>
      </w:r>
      <w:r w:rsidRPr="00F10B53">
        <w:t>000 eur, implementácia 216</w:t>
      </w:r>
      <w:r>
        <w:t>.</w:t>
      </w:r>
      <w:r w:rsidRPr="00F10B53">
        <w:t>000 eur</w:t>
      </w:r>
      <w:r>
        <w:t>,</w:t>
      </w:r>
      <w:r w:rsidRPr="00F10B53">
        <w:t xml:space="preserve"> aplikačné testovanie 48</w:t>
      </w:r>
      <w:r>
        <w:t>.</w:t>
      </w:r>
      <w:r w:rsidRPr="00F10B53">
        <w:t>000 eur, integračné testovanie s MV SR 96</w:t>
      </w:r>
      <w:r>
        <w:t>.</w:t>
      </w:r>
      <w:r w:rsidRPr="00F10B53">
        <w:t>000 eur</w:t>
      </w:r>
      <w:r>
        <w:t>,</w:t>
      </w:r>
      <w:r w:rsidRPr="00F10B53">
        <w:t xml:space="preserve"> uvedenie do prevádzky 24</w:t>
      </w:r>
      <w:r>
        <w:t>.</w:t>
      </w:r>
      <w:r w:rsidRPr="00F10B53">
        <w:t>000 eur</w:t>
      </w:r>
      <w:r>
        <w:t>).</w:t>
      </w:r>
    </w:p>
    <w:p w:rsidR="00D71DC6" w:rsidRDefault="00D71DC6" w:rsidP="00D71DC6">
      <w:pPr>
        <w:ind w:firstLine="708"/>
        <w:jc w:val="both"/>
      </w:pPr>
      <w:r>
        <w:t xml:space="preserve">V roku 2021 sa predpokladajú výdavky na zabezpečenie čistopisov dokladov, ďalej výdavky v rámci bežných tovarov a služieb na zabezpečenie vydávania dokladov, t. j. </w:t>
      </w:r>
      <w:proofErr w:type="spellStart"/>
      <w:r>
        <w:t>obálkovanie</w:t>
      </w:r>
      <w:proofErr w:type="spellEnd"/>
      <w:r>
        <w:t xml:space="preserve"> a doručovanie dokladov a kapitálové výdavky na zabezpečenie hardvérovej a softvérovej podpory dodaných zariadení v Národnom </w:t>
      </w:r>
      <w:proofErr w:type="spellStart"/>
      <w:r>
        <w:t>personalizačnom</w:t>
      </w:r>
      <w:proofErr w:type="spellEnd"/>
      <w:r>
        <w:t xml:space="preserve"> centre.</w:t>
      </w:r>
    </w:p>
    <w:p w:rsidR="00D71DC6" w:rsidRDefault="00D71DC6" w:rsidP="00D71DC6">
      <w:pPr>
        <w:ind w:firstLine="708"/>
        <w:jc w:val="both"/>
      </w:pPr>
      <w:r>
        <w:t xml:space="preserve">V roku 2022 sa predpokladajú výdavky v rámci bežných tovarov a služieb na zabezpečenie vydávania dokladov, t. j. </w:t>
      </w:r>
      <w:proofErr w:type="spellStart"/>
      <w:r>
        <w:t>obálkovanie</w:t>
      </w:r>
      <w:proofErr w:type="spellEnd"/>
      <w:r>
        <w:t xml:space="preserve"> a doručovanie dokladov a kapitálové výdavky na zabezpečenie hardvérovej a softvérovej podpory dodaných zariadení v Národnom </w:t>
      </w:r>
      <w:proofErr w:type="spellStart"/>
      <w:r>
        <w:t>personalizačnom</w:t>
      </w:r>
      <w:proofErr w:type="spellEnd"/>
      <w:r>
        <w:t xml:space="preserve"> centre.</w:t>
      </w:r>
    </w:p>
    <w:p w:rsidR="00D71DC6" w:rsidRDefault="00D71DC6" w:rsidP="00D71DC6">
      <w:pPr>
        <w:ind w:firstLine="708"/>
        <w:jc w:val="both"/>
        <w:rPr>
          <w:bCs/>
          <w:szCs w:val="20"/>
        </w:rPr>
      </w:pPr>
    </w:p>
    <w:p w:rsidR="00D71DC6" w:rsidRDefault="00D71DC6" w:rsidP="00D71DC6">
      <w:pPr>
        <w:ind w:firstLine="708"/>
        <w:jc w:val="both"/>
        <w:rPr>
          <w:bCs/>
          <w:szCs w:val="20"/>
        </w:rPr>
      </w:pPr>
    </w:p>
    <w:p w:rsidR="00D71DC6" w:rsidRPr="007D5748" w:rsidRDefault="00D71DC6" w:rsidP="00D71DC6">
      <w:pPr>
        <w:ind w:firstLine="708"/>
        <w:jc w:val="both"/>
        <w:rPr>
          <w:bCs/>
          <w:szCs w:val="20"/>
        </w:rPr>
        <w:sectPr w:rsidR="00D71DC6" w:rsidRPr="007D5748" w:rsidSect="009738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D71DC6" w:rsidRPr="007D5748" w:rsidRDefault="00D71DC6" w:rsidP="00D71DC6">
      <w:pPr>
        <w:tabs>
          <w:tab w:val="num" w:pos="1080"/>
        </w:tabs>
        <w:jc w:val="right"/>
        <w:rPr>
          <w:bCs/>
        </w:rPr>
      </w:pPr>
      <w:r w:rsidRPr="007D5748">
        <w:rPr>
          <w:bCs/>
        </w:rPr>
        <w:lastRenderedPageBreak/>
        <w:t xml:space="preserve">Tabuľka č. 3 </w:t>
      </w:r>
    </w:p>
    <w:p w:rsidR="00D71DC6" w:rsidRPr="007D5748" w:rsidRDefault="00D71DC6" w:rsidP="00D71DC6">
      <w:pPr>
        <w:tabs>
          <w:tab w:val="num" w:pos="1080"/>
        </w:tabs>
        <w:jc w:val="both"/>
        <w:rPr>
          <w:bCs/>
          <w:szCs w:val="20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D71DC6" w:rsidRPr="003069DD" w:rsidTr="0000271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poznámka</w:t>
            </w:r>
          </w:p>
        </w:tc>
      </w:tr>
      <w:tr w:rsidR="00D71DC6" w:rsidRPr="003069DD" w:rsidTr="0000271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rPr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2022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rPr>
                <w:b/>
                <w:bCs/>
                <w:color w:val="FFFFFF"/>
              </w:rPr>
            </w:pPr>
          </w:p>
        </w:tc>
      </w:tr>
      <w:tr w:rsidR="00D71DC6" w:rsidRPr="003069DD" w:rsidTr="0000271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rPr>
                <w:b/>
                <w:bCs/>
                <w:vertAlign w:val="superscript"/>
              </w:rPr>
            </w:pPr>
            <w:r w:rsidRPr="003069DD">
              <w:rPr>
                <w:b/>
                <w:bCs/>
              </w:rPr>
              <w:t>Daňové príjmy (100)</w:t>
            </w:r>
            <w:r w:rsidRPr="003069DD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 </w:t>
            </w:r>
          </w:p>
        </w:tc>
      </w:tr>
      <w:tr w:rsidR="00D71DC6" w:rsidRPr="003069DD" w:rsidTr="0000271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rPr>
                <w:b/>
                <w:bCs/>
              </w:rPr>
            </w:pPr>
            <w:r w:rsidRPr="003069DD">
              <w:rPr>
                <w:b/>
                <w:bCs/>
              </w:rPr>
              <w:t>Nedaňové príjmy (200)</w:t>
            </w:r>
            <w:r w:rsidRPr="003069DD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22 500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645 000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690 000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725 000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 </w:t>
            </w:r>
          </w:p>
        </w:tc>
      </w:tr>
      <w:tr w:rsidR="00D71DC6" w:rsidRPr="003069DD" w:rsidTr="0000271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rPr>
                <w:b/>
                <w:bCs/>
              </w:rPr>
            </w:pPr>
            <w:r w:rsidRPr="003069DD">
              <w:rPr>
                <w:b/>
                <w:bCs/>
              </w:rPr>
              <w:t>Administratívne poplatky a iné poplatky a platby (220)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/>
        </w:tc>
      </w:tr>
      <w:tr w:rsidR="00D71DC6" w:rsidRPr="003069DD" w:rsidTr="0000271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rPr>
                <w:bCs/>
              </w:rPr>
            </w:pPr>
            <w:r w:rsidRPr="003069DD">
              <w:rPr>
                <w:b/>
                <w:bCs/>
              </w:rPr>
              <w:t xml:space="preserve">   </w:t>
            </w:r>
            <w:r w:rsidRPr="003069DD">
              <w:rPr>
                <w:bCs/>
              </w:rPr>
              <w:t>Administratívne poplatky (221)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Cs/>
              </w:rPr>
            </w:pPr>
            <w:r w:rsidRPr="003069DD">
              <w:rPr>
                <w:bCs/>
              </w:rPr>
              <w:t>22 500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Cs/>
              </w:rPr>
            </w:pPr>
            <w:r w:rsidRPr="003069DD">
              <w:rPr>
                <w:bCs/>
              </w:rPr>
              <w:t>645 000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Cs/>
              </w:rPr>
              <w:t>690 000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Cs/>
              </w:rPr>
              <w:t>725 000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/>
        </w:tc>
      </w:tr>
      <w:tr w:rsidR="00D71DC6" w:rsidRPr="003069DD" w:rsidTr="0000271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rPr>
                <w:bCs/>
              </w:rPr>
            </w:pPr>
            <w:r w:rsidRPr="003069DD">
              <w:rPr>
                <w:bCs/>
              </w:rPr>
              <w:t xml:space="preserve">      221004 Ostatné poplatky (správne poplatky)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Cs/>
              </w:rPr>
            </w:pPr>
            <w:r w:rsidRPr="003069DD">
              <w:rPr>
                <w:bCs/>
              </w:rPr>
              <w:t>22 500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Cs/>
              </w:rPr>
              <w:t>645 000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Cs/>
              </w:rPr>
              <w:t>690 000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Cs/>
              </w:rPr>
              <w:t>725 000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/>
        </w:tc>
      </w:tr>
      <w:tr w:rsidR="00D71DC6" w:rsidRPr="003069DD" w:rsidTr="0000271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rPr>
                <w:b/>
                <w:bCs/>
              </w:rPr>
            </w:pPr>
            <w:r w:rsidRPr="003069DD">
              <w:rPr>
                <w:b/>
                <w:bCs/>
              </w:rPr>
              <w:t>Granty a transfery (300)</w:t>
            </w:r>
            <w:r w:rsidRPr="003069DD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 </w:t>
            </w:r>
          </w:p>
        </w:tc>
      </w:tr>
      <w:tr w:rsidR="00D71DC6" w:rsidRPr="003069DD" w:rsidTr="0000271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rPr>
                <w:b/>
                <w:bCs/>
              </w:rPr>
            </w:pPr>
            <w:r w:rsidRPr="003069DD">
              <w:rPr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 </w:t>
            </w:r>
          </w:p>
        </w:tc>
      </w:tr>
      <w:tr w:rsidR="00D71DC6" w:rsidRPr="003069DD" w:rsidTr="0000271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rPr>
                <w:b/>
                <w:bCs/>
              </w:rPr>
            </w:pPr>
            <w:r w:rsidRPr="003069DD">
              <w:rPr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 </w:t>
            </w:r>
          </w:p>
        </w:tc>
      </w:tr>
      <w:tr w:rsidR="00D71DC6" w:rsidRPr="003069DD" w:rsidTr="0000271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rPr>
                <w:b/>
                <w:bCs/>
              </w:rPr>
            </w:pPr>
            <w:r w:rsidRPr="003069DD">
              <w:rPr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22 500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645 000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690 000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725 000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1DC6" w:rsidRPr="003069DD" w:rsidRDefault="00D71DC6" w:rsidP="00002712">
            <w:r w:rsidRPr="003069DD">
              <w:t> </w:t>
            </w:r>
          </w:p>
        </w:tc>
      </w:tr>
    </w:tbl>
    <w:p w:rsidR="00D71DC6" w:rsidRPr="007D5748" w:rsidRDefault="00D71DC6" w:rsidP="00D71DC6">
      <w:pPr>
        <w:tabs>
          <w:tab w:val="num" w:pos="1080"/>
        </w:tabs>
        <w:jc w:val="both"/>
        <w:rPr>
          <w:bCs/>
          <w:sz w:val="20"/>
          <w:szCs w:val="20"/>
        </w:rPr>
      </w:pPr>
      <w:r w:rsidRPr="007D5748">
        <w:rPr>
          <w:bCs/>
          <w:sz w:val="20"/>
          <w:szCs w:val="20"/>
        </w:rPr>
        <w:t>1 –  príjmy rozpísať až do položiek platnej ekonomickej klasifikácie</w:t>
      </w:r>
    </w:p>
    <w:p w:rsidR="00D71DC6" w:rsidRPr="007D5748" w:rsidRDefault="00D71DC6" w:rsidP="00D71DC6">
      <w:pPr>
        <w:tabs>
          <w:tab w:val="num" w:pos="1080"/>
        </w:tabs>
        <w:jc w:val="both"/>
        <w:rPr>
          <w:bCs/>
          <w:szCs w:val="20"/>
        </w:rPr>
      </w:pPr>
    </w:p>
    <w:p w:rsidR="00D71DC6" w:rsidRPr="006E0293" w:rsidRDefault="00D71DC6" w:rsidP="00D71DC6">
      <w:pPr>
        <w:tabs>
          <w:tab w:val="num" w:pos="1080"/>
        </w:tabs>
        <w:jc w:val="both"/>
        <w:rPr>
          <w:b/>
          <w:bCs/>
          <w:sz w:val="20"/>
          <w:szCs w:val="20"/>
        </w:rPr>
      </w:pPr>
      <w:r w:rsidRPr="006E0293">
        <w:rPr>
          <w:b/>
          <w:bCs/>
          <w:sz w:val="20"/>
          <w:szCs w:val="20"/>
        </w:rPr>
        <w:t>Poznámka:</w:t>
      </w:r>
    </w:p>
    <w:p w:rsidR="00D71DC6" w:rsidRPr="006E0293" w:rsidRDefault="00D71DC6" w:rsidP="00D71DC6">
      <w:pPr>
        <w:tabs>
          <w:tab w:val="num" w:pos="1080"/>
        </w:tabs>
        <w:jc w:val="both"/>
        <w:rPr>
          <w:bCs/>
          <w:sz w:val="20"/>
          <w:szCs w:val="20"/>
        </w:rPr>
      </w:pPr>
      <w:r w:rsidRPr="006E0293">
        <w:rPr>
          <w:bCs/>
          <w:sz w:val="20"/>
          <w:szCs w:val="20"/>
        </w:rPr>
        <w:t>Ak sa vplyv týka viacerých subjektov verejnej správy, vypĺňa sa samostatná tabuľka za každý subjekt.</w:t>
      </w:r>
    </w:p>
    <w:p w:rsidR="00D71DC6" w:rsidRPr="007D5748" w:rsidRDefault="00D71DC6" w:rsidP="00D71DC6">
      <w:pPr>
        <w:tabs>
          <w:tab w:val="num" w:pos="1080"/>
        </w:tabs>
        <w:ind w:right="-578"/>
        <w:jc w:val="right"/>
        <w:rPr>
          <w:bCs/>
        </w:rPr>
      </w:pPr>
      <w:r w:rsidRPr="007D5748">
        <w:rPr>
          <w:bCs/>
        </w:rPr>
        <w:t xml:space="preserve"> </w:t>
      </w:r>
    </w:p>
    <w:p w:rsidR="00D71DC6" w:rsidRPr="007D5748" w:rsidRDefault="00D71DC6" w:rsidP="00D71DC6">
      <w:pPr>
        <w:tabs>
          <w:tab w:val="num" w:pos="1080"/>
        </w:tabs>
        <w:ind w:right="-578"/>
        <w:jc w:val="right"/>
        <w:rPr>
          <w:bCs/>
        </w:rPr>
      </w:pPr>
    </w:p>
    <w:p w:rsidR="00D71DC6" w:rsidRPr="007D5748" w:rsidRDefault="00D71DC6" w:rsidP="00D71DC6">
      <w:pPr>
        <w:tabs>
          <w:tab w:val="num" w:pos="1080"/>
        </w:tabs>
        <w:ind w:right="-578"/>
        <w:jc w:val="right"/>
        <w:rPr>
          <w:bCs/>
        </w:rPr>
      </w:pPr>
    </w:p>
    <w:p w:rsidR="00D71DC6" w:rsidRPr="007D5748" w:rsidRDefault="00D71DC6" w:rsidP="00D71DC6">
      <w:pPr>
        <w:tabs>
          <w:tab w:val="num" w:pos="1080"/>
        </w:tabs>
        <w:ind w:right="-578"/>
        <w:jc w:val="right"/>
        <w:rPr>
          <w:bCs/>
        </w:rPr>
      </w:pPr>
    </w:p>
    <w:p w:rsidR="00D71DC6" w:rsidRPr="007D5748" w:rsidRDefault="00D71DC6" w:rsidP="00D71DC6">
      <w:pPr>
        <w:tabs>
          <w:tab w:val="num" w:pos="1080"/>
        </w:tabs>
        <w:ind w:right="-578"/>
        <w:jc w:val="right"/>
        <w:rPr>
          <w:bCs/>
        </w:rPr>
      </w:pPr>
    </w:p>
    <w:p w:rsidR="00D71DC6" w:rsidRPr="007D5748" w:rsidRDefault="00D71DC6" w:rsidP="00D71DC6">
      <w:pPr>
        <w:tabs>
          <w:tab w:val="num" w:pos="1080"/>
        </w:tabs>
        <w:ind w:right="-578"/>
        <w:jc w:val="right"/>
        <w:rPr>
          <w:bCs/>
        </w:rPr>
      </w:pPr>
    </w:p>
    <w:p w:rsidR="00D71DC6" w:rsidRPr="007D5748" w:rsidRDefault="00D71DC6" w:rsidP="00D71DC6">
      <w:pPr>
        <w:tabs>
          <w:tab w:val="num" w:pos="1080"/>
        </w:tabs>
        <w:ind w:right="-578"/>
        <w:jc w:val="right"/>
        <w:rPr>
          <w:bCs/>
        </w:rPr>
      </w:pPr>
    </w:p>
    <w:p w:rsidR="00D71DC6" w:rsidRPr="007D5748" w:rsidRDefault="00D71DC6" w:rsidP="00D71DC6">
      <w:pPr>
        <w:tabs>
          <w:tab w:val="num" w:pos="1080"/>
        </w:tabs>
        <w:ind w:right="-578"/>
        <w:jc w:val="right"/>
        <w:rPr>
          <w:bCs/>
        </w:rPr>
      </w:pPr>
    </w:p>
    <w:p w:rsidR="00D71DC6" w:rsidRDefault="00D71DC6" w:rsidP="00D71DC6">
      <w:pPr>
        <w:tabs>
          <w:tab w:val="num" w:pos="1080"/>
        </w:tabs>
        <w:ind w:right="-578"/>
        <w:jc w:val="right"/>
        <w:rPr>
          <w:bCs/>
        </w:rPr>
      </w:pPr>
    </w:p>
    <w:p w:rsidR="00D71DC6" w:rsidRDefault="00D71DC6" w:rsidP="00D71DC6">
      <w:pPr>
        <w:tabs>
          <w:tab w:val="num" w:pos="1080"/>
        </w:tabs>
        <w:ind w:right="-578"/>
        <w:jc w:val="right"/>
        <w:rPr>
          <w:bCs/>
        </w:rPr>
      </w:pPr>
    </w:p>
    <w:p w:rsidR="00D71DC6" w:rsidRDefault="00D71DC6" w:rsidP="00D71DC6">
      <w:pPr>
        <w:tabs>
          <w:tab w:val="num" w:pos="1080"/>
        </w:tabs>
        <w:ind w:right="-578"/>
        <w:jc w:val="right"/>
        <w:rPr>
          <w:bCs/>
        </w:rPr>
      </w:pPr>
    </w:p>
    <w:p w:rsidR="00D71DC6" w:rsidRDefault="00D71DC6" w:rsidP="00D71DC6">
      <w:pPr>
        <w:tabs>
          <w:tab w:val="num" w:pos="1080"/>
        </w:tabs>
        <w:ind w:right="-578"/>
        <w:jc w:val="right"/>
        <w:rPr>
          <w:bCs/>
        </w:rPr>
      </w:pPr>
    </w:p>
    <w:p w:rsidR="00D71DC6" w:rsidRPr="007D5748" w:rsidRDefault="00D71DC6" w:rsidP="00D71DC6">
      <w:pPr>
        <w:tabs>
          <w:tab w:val="num" w:pos="1080"/>
        </w:tabs>
        <w:ind w:right="-578"/>
        <w:jc w:val="right"/>
        <w:rPr>
          <w:bCs/>
        </w:rPr>
      </w:pPr>
    </w:p>
    <w:p w:rsidR="00D71DC6" w:rsidRPr="007D5748" w:rsidRDefault="00D71DC6" w:rsidP="00D71DC6">
      <w:pPr>
        <w:tabs>
          <w:tab w:val="num" w:pos="1080"/>
        </w:tabs>
        <w:ind w:right="-578"/>
        <w:jc w:val="right"/>
        <w:rPr>
          <w:bCs/>
        </w:rPr>
      </w:pPr>
    </w:p>
    <w:p w:rsidR="00D71DC6" w:rsidRPr="007D5748" w:rsidRDefault="00D71DC6" w:rsidP="00D71DC6">
      <w:pPr>
        <w:tabs>
          <w:tab w:val="num" w:pos="1080"/>
        </w:tabs>
        <w:ind w:right="-578"/>
        <w:jc w:val="right"/>
        <w:rPr>
          <w:bCs/>
        </w:rPr>
      </w:pPr>
    </w:p>
    <w:p w:rsidR="00D71DC6" w:rsidRPr="007D5748" w:rsidRDefault="00D71DC6" w:rsidP="00D71DC6">
      <w:pPr>
        <w:tabs>
          <w:tab w:val="num" w:pos="1080"/>
        </w:tabs>
        <w:ind w:right="-32"/>
        <w:jc w:val="right"/>
        <w:rPr>
          <w:bCs/>
        </w:rPr>
      </w:pPr>
      <w:r w:rsidRPr="007D5748">
        <w:rPr>
          <w:bCs/>
        </w:rPr>
        <w:lastRenderedPageBreak/>
        <w:t xml:space="preserve">Tabuľka č. 4 </w:t>
      </w:r>
    </w:p>
    <w:p w:rsidR="00D71DC6" w:rsidRPr="00372587" w:rsidRDefault="00D71DC6" w:rsidP="00D71DC6">
      <w:pPr>
        <w:tabs>
          <w:tab w:val="num" w:pos="1080"/>
        </w:tabs>
        <w:rPr>
          <w:b/>
          <w:bCs/>
          <w:szCs w:val="20"/>
        </w:rPr>
      </w:pPr>
      <w:r w:rsidRPr="00372587">
        <w:rPr>
          <w:b/>
          <w:bCs/>
          <w:szCs w:val="20"/>
        </w:rPr>
        <w:t>Ministerstvo vnútra Slovenskej republiky</w:t>
      </w:r>
    </w:p>
    <w:p w:rsidR="00D71DC6" w:rsidRPr="007D5748" w:rsidRDefault="00D71DC6" w:rsidP="00D71DC6">
      <w:pPr>
        <w:tabs>
          <w:tab w:val="left" w:pos="1715"/>
        </w:tabs>
        <w:jc w:val="both"/>
        <w:rPr>
          <w:bCs/>
          <w:szCs w:val="20"/>
        </w:rPr>
      </w:pPr>
      <w:r>
        <w:rPr>
          <w:bCs/>
          <w:szCs w:val="20"/>
        </w:rPr>
        <w:tab/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1559"/>
        <w:gridCol w:w="1559"/>
        <w:gridCol w:w="1418"/>
        <w:gridCol w:w="1559"/>
        <w:gridCol w:w="2839"/>
      </w:tblGrid>
      <w:tr w:rsidR="00D71DC6" w:rsidRPr="003069DD" w:rsidTr="00002712">
        <w:trPr>
          <w:cantSplit/>
          <w:trHeight w:val="255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Výdavky (v eurách)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Vplyv na rozpočet verejnej správy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poznámka</w:t>
            </w:r>
          </w:p>
        </w:tc>
      </w:tr>
      <w:tr w:rsidR="00D71DC6" w:rsidRPr="003069DD" w:rsidTr="00002712">
        <w:trPr>
          <w:cantSplit/>
          <w:trHeight w:val="255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rPr>
                <w:b/>
                <w:bCs/>
                <w:color w:va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2022</w:t>
            </w: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rPr>
                <w:b/>
                <w:bCs/>
                <w:color w:val="FFFFFF"/>
              </w:rPr>
            </w:pPr>
          </w:p>
        </w:tc>
      </w:tr>
      <w:tr w:rsidR="00D71DC6" w:rsidRPr="003069DD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rPr>
                <w:b/>
                <w:bCs/>
              </w:rPr>
            </w:pPr>
            <w:r w:rsidRPr="003069DD">
              <w:rPr>
                <w:b/>
                <w:bCs/>
              </w:rPr>
              <w:t>Bežné výdavky (600)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57 320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2 251 200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2 251 200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955 200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 </w:t>
            </w:r>
          </w:p>
        </w:tc>
      </w:tr>
      <w:tr w:rsidR="00D71DC6" w:rsidRPr="003069DD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r w:rsidRPr="003069DD">
              <w:t xml:space="preserve">  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 </w:t>
            </w:r>
          </w:p>
        </w:tc>
      </w:tr>
      <w:tr w:rsidR="00D71DC6" w:rsidRPr="003069DD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rPr>
                <w:vertAlign w:val="superscript"/>
              </w:rPr>
            </w:pPr>
            <w:r w:rsidRPr="003069DD">
              <w:t xml:space="preserve">  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 </w:t>
            </w:r>
          </w:p>
        </w:tc>
      </w:tr>
      <w:tr w:rsidR="00D71DC6" w:rsidRPr="003069DD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rPr>
                <w:vertAlign w:val="superscript"/>
              </w:rPr>
            </w:pPr>
            <w:r w:rsidRPr="003069DD">
              <w:t xml:space="preserve">  Tovary a služby (630)</w:t>
            </w:r>
            <w:r w:rsidRPr="003069DD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highlight w:val="yellow"/>
              </w:rPr>
            </w:pPr>
            <w:r w:rsidRPr="003069DD">
              <w:rPr>
                <w:b/>
              </w:rPr>
              <w:t>57 320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  <w:rPr>
                <w:b/>
              </w:rPr>
            </w:pPr>
            <w:r w:rsidRPr="003069DD">
              <w:rPr>
                <w:b/>
              </w:rPr>
              <w:t>2 251 200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  <w:rPr>
                <w:b/>
              </w:rPr>
            </w:pPr>
            <w:r w:rsidRPr="003069DD">
              <w:rPr>
                <w:b/>
              </w:rPr>
              <w:t>2 251 200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  <w:rPr>
                <w:b/>
              </w:rPr>
            </w:pPr>
            <w:r w:rsidRPr="003069DD">
              <w:rPr>
                <w:b/>
              </w:rPr>
              <w:t>955 200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 </w:t>
            </w:r>
          </w:p>
        </w:tc>
      </w:tr>
      <w:tr w:rsidR="00D71DC6" w:rsidRPr="003069DD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r w:rsidRPr="003069DD">
              <w:t xml:space="preserve">     Všeobecné služby (637004)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1 296 000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1 296 000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náklady na čistopisy dokladov</w:t>
            </w:r>
          </w:p>
        </w:tc>
      </w:tr>
      <w:tr w:rsidR="00D71DC6" w:rsidRPr="003069DD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r w:rsidRPr="003069DD">
              <w:t xml:space="preserve">     Poštové služby (632003)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56 700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945 000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945 000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945 000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/>
        </w:tc>
      </w:tr>
      <w:tr w:rsidR="00D71DC6" w:rsidRPr="003069DD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r w:rsidRPr="003069DD">
              <w:t xml:space="preserve">     Všeobecný materiál (633006)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10 200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/>
        </w:tc>
      </w:tr>
      <w:tr w:rsidR="00D71DC6" w:rsidRPr="003069DD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r w:rsidRPr="003069DD">
              <w:t xml:space="preserve">  Bežné transfery (640)</w:t>
            </w:r>
            <w:r w:rsidRPr="003069DD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  <w:rPr>
                <w:highlight w:val="yellow"/>
              </w:rPr>
            </w:pPr>
            <w:r w:rsidRPr="003069D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  <w:rPr>
                <w:highlight w:val="yellow"/>
              </w:rPr>
            </w:pPr>
            <w:r w:rsidRPr="003069D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  <w:rPr>
                <w:highlight w:val="yellow"/>
              </w:rPr>
            </w:pPr>
            <w:r w:rsidRPr="003069D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tabs>
                <w:tab w:val="left" w:pos="390"/>
                <w:tab w:val="center" w:pos="700"/>
              </w:tabs>
              <w:jc w:val="center"/>
              <w:rPr>
                <w:highlight w:val="yellow"/>
              </w:rPr>
            </w:pPr>
            <w:r w:rsidRPr="003069DD"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 </w:t>
            </w:r>
          </w:p>
        </w:tc>
      </w:tr>
      <w:tr w:rsidR="00D71DC6" w:rsidRPr="003069DD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rPr>
                <w:b/>
                <w:bCs/>
              </w:rPr>
            </w:pPr>
            <w:r w:rsidRPr="003069DD">
              <w:rPr>
                <w:b/>
                <w:bCs/>
              </w:rPr>
              <w:t>Kapitálové výdavky (700)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1 516 645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4 927 191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178 704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357 408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 </w:t>
            </w:r>
          </w:p>
        </w:tc>
      </w:tr>
      <w:tr w:rsidR="00D71DC6" w:rsidRPr="003069DD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r w:rsidRPr="003069DD">
              <w:t xml:space="preserve">  Obstarávanie kapitálových aktív – špeciálne stroje (713005)</w:t>
            </w:r>
            <w:r w:rsidRPr="003069DD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4 678 852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nové zariadenia pre NPC</w:t>
            </w:r>
          </w:p>
        </w:tc>
      </w:tr>
      <w:tr w:rsidR="00D71DC6" w:rsidRPr="003069DD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r w:rsidRPr="003069DD">
              <w:t xml:space="preserve">  Obstarávanie kapitálových aktív – softvér (711003)</w:t>
            </w:r>
            <w:r w:rsidRPr="003069DD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1 516 645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248 339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178 704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357 408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úprava informačných systémov a servisná podpora</w:t>
            </w:r>
          </w:p>
        </w:tc>
      </w:tr>
      <w:tr w:rsidR="00D71DC6" w:rsidRPr="003069DD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r w:rsidRPr="003069DD">
              <w:t xml:space="preserve">  Kapitálové transfery (720)</w:t>
            </w:r>
            <w:r w:rsidRPr="003069DD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3069DD" w:rsidRDefault="00D71DC6" w:rsidP="00002712">
            <w:pPr>
              <w:jc w:val="center"/>
            </w:pPr>
            <w:r w:rsidRPr="003069DD"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 </w:t>
            </w:r>
          </w:p>
        </w:tc>
      </w:tr>
      <w:tr w:rsidR="00D71DC6" w:rsidRPr="003069DD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3069DD" w:rsidRDefault="00D71DC6" w:rsidP="00002712">
            <w:pPr>
              <w:rPr>
                <w:b/>
                <w:bCs/>
              </w:rPr>
            </w:pPr>
            <w:r w:rsidRPr="003069DD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3069DD" w:rsidRDefault="00D71DC6" w:rsidP="00002712">
            <w:r w:rsidRPr="003069DD">
              <w:t> </w:t>
            </w:r>
          </w:p>
        </w:tc>
      </w:tr>
      <w:tr w:rsidR="00D71DC6" w:rsidRPr="003069DD" w:rsidTr="00002712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rPr>
                <w:b/>
                <w:bCs/>
              </w:rPr>
            </w:pPr>
            <w:r w:rsidRPr="003069DD">
              <w:rPr>
                <w:b/>
                <w:bCs/>
              </w:rPr>
              <w:t>Dopad na výdavky verejnej správy celkom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1 573 965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7 178 391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2 429 904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3069DD" w:rsidRDefault="00D71DC6" w:rsidP="00002712">
            <w:pPr>
              <w:jc w:val="center"/>
              <w:rPr>
                <w:b/>
                <w:bCs/>
              </w:rPr>
            </w:pPr>
            <w:r w:rsidRPr="003069DD">
              <w:rPr>
                <w:b/>
                <w:bCs/>
              </w:rPr>
              <w:t>1 312 608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1DC6" w:rsidRPr="003069DD" w:rsidRDefault="00D71DC6" w:rsidP="00002712">
            <w:r w:rsidRPr="003069DD">
              <w:t> </w:t>
            </w:r>
          </w:p>
        </w:tc>
      </w:tr>
    </w:tbl>
    <w:p w:rsidR="00D71DC6" w:rsidRPr="007D5748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7D5748">
        <w:rPr>
          <w:bCs/>
          <w:sz w:val="20"/>
          <w:szCs w:val="20"/>
        </w:rPr>
        <w:t>2 –  výdavky rozpísať až do položiek platnej ekonomickej klasifikácie</w:t>
      </w:r>
    </w:p>
    <w:p w:rsidR="00D71DC6" w:rsidRPr="007D5748" w:rsidRDefault="00D71DC6" w:rsidP="00D71DC6">
      <w:pPr>
        <w:tabs>
          <w:tab w:val="num" w:pos="1080"/>
        </w:tabs>
        <w:ind w:left="-900"/>
        <w:jc w:val="both"/>
        <w:rPr>
          <w:bCs/>
          <w:szCs w:val="20"/>
        </w:rPr>
      </w:pPr>
    </w:p>
    <w:p w:rsidR="00D71DC6" w:rsidRPr="006E0293" w:rsidRDefault="00D71DC6" w:rsidP="00D71DC6">
      <w:pPr>
        <w:tabs>
          <w:tab w:val="num" w:pos="1080"/>
        </w:tabs>
        <w:ind w:left="-567"/>
        <w:jc w:val="both"/>
        <w:rPr>
          <w:b/>
          <w:bCs/>
          <w:sz w:val="20"/>
          <w:szCs w:val="20"/>
        </w:rPr>
      </w:pPr>
      <w:r w:rsidRPr="006E0293">
        <w:rPr>
          <w:b/>
          <w:bCs/>
          <w:sz w:val="20"/>
          <w:szCs w:val="20"/>
        </w:rPr>
        <w:t>Poznámka:</w:t>
      </w:r>
    </w:p>
    <w:p w:rsidR="00D71DC6" w:rsidRPr="006E0293" w:rsidRDefault="00D71DC6" w:rsidP="00D71DC6">
      <w:pPr>
        <w:tabs>
          <w:tab w:val="num" w:pos="1080"/>
        </w:tabs>
        <w:ind w:left="-567"/>
        <w:jc w:val="both"/>
        <w:rPr>
          <w:bCs/>
          <w:sz w:val="20"/>
          <w:szCs w:val="20"/>
        </w:rPr>
      </w:pPr>
      <w:r w:rsidRPr="006E0293">
        <w:rPr>
          <w:bCs/>
          <w:sz w:val="20"/>
          <w:szCs w:val="20"/>
        </w:rPr>
        <w:t>Ak sa vplyv týka viacerých subjektov verejnej správy, vypĺňa sa samostatná tabuľka za každý subjekt.</w:t>
      </w:r>
    </w:p>
    <w:p w:rsidR="00D71DC6" w:rsidRPr="007D5748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Pr="007D5748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Pr="007D5748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Pr="007D5748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Pr="00372587" w:rsidRDefault="00D71DC6" w:rsidP="00D71DC6">
      <w:pPr>
        <w:tabs>
          <w:tab w:val="num" w:pos="1080"/>
        </w:tabs>
        <w:rPr>
          <w:b/>
          <w:bCs/>
          <w:szCs w:val="20"/>
        </w:rPr>
      </w:pPr>
      <w:r w:rsidRPr="00F10B53">
        <w:rPr>
          <w:b/>
          <w:bCs/>
          <w:szCs w:val="20"/>
        </w:rPr>
        <w:t xml:space="preserve">Ministerstvo zahraničných vecí </w:t>
      </w:r>
      <w:r>
        <w:rPr>
          <w:b/>
          <w:bCs/>
          <w:szCs w:val="20"/>
        </w:rPr>
        <w:t>a európskych záležitostí</w:t>
      </w:r>
      <w:r w:rsidRPr="00F10B53">
        <w:rPr>
          <w:b/>
          <w:bCs/>
          <w:szCs w:val="20"/>
        </w:rPr>
        <w:t xml:space="preserve"> Slovenskej republiky</w:t>
      </w:r>
    </w:p>
    <w:p w:rsidR="00D71DC6" w:rsidRPr="007D5748" w:rsidRDefault="00D71DC6" w:rsidP="00D71DC6">
      <w:pPr>
        <w:tabs>
          <w:tab w:val="left" w:pos="1715"/>
        </w:tabs>
        <w:jc w:val="both"/>
        <w:rPr>
          <w:bCs/>
          <w:szCs w:val="20"/>
        </w:rPr>
      </w:pPr>
      <w:r>
        <w:rPr>
          <w:bCs/>
          <w:szCs w:val="20"/>
        </w:rPr>
        <w:tab/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1559"/>
        <w:gridCol w:w="1559"/>
        <w:gridCol w:w="1276"/>
        <w:gridCol w:w="1559"/>
        <w:gridCol w:w="2981"/>
      </w:tblGrid>
      <w:tr w:rsidR="00D71DC6" w:rsidRPr="000B35E2" w:rsidTr="00002712">
        <w:trPr>
          <w:cantSplit/>
          <w:trHeight w:val="255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Výdavky (v eurách)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Vplyv na rozpočet verejnej správy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poznámka</w:t>
            </w:r>
          </w:p>
        </w:tc>
      </w:tr>
      <w:tr w:rsidR="00D71DC6" w:rsidRPr="000B35E2" w:rsidTr="00002712">
        <w:trPr>
          <w:cantSplit/>
          <w:trHeight w:val="255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rPr>
                <w:b/>
                <w:bCs/>
                <w:color w:val="FFFFF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2022</w:t>
            </w: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rPr>
                <w:b/>
                <w:bCs/>
                <w:color w:val="FFFFFF"/>
              </w:rPr>
            </w:pPr>
          </w:p>
        </w:tc>
      </w:tr>
      <w:tr w:rsidR="00D71DC6" w:rsidRPr="000B35E2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0B35E2" w:rsidRDefault="00D71DC6" w:rsidP="00002712">
            <w:pPr>
              <w:rPr>
                <w:b/>
                <w:bCs/>
              </w:rPr>
            </w:pPr>
            <w:r w:rsidRPr="000B35E2">
              <w:rPr>
                <w:b/>
                <w:bCs/>
              </w:rPr>
              <w:t>Bežné výdavky (600)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264 000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0B35E2" w:rsidRDefault="00D71DC6" w:rsidP="00002712">
            <w:r w:rsidRPr="000B35E2">
              <w:t> </w:t>
            </w:r>
          </w:p>
        </w:tc>
      </w:tr>
      <w:tr w:rsidR="00D71DC6" w:rsidRPr="000B35E2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0B35E2" w:rsidRDefault="00D71DC6" w:rsidP="00002712">
            <w:r w:rsidRPr="000B35E2">
              <w:t xml:space="preserve">  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0B35E2" w:rsidRDefault="00D71DC6" w:rsidP="00002712">
            <w:r w:rsidRPr="000B35E2">
              <w:t> </w:t>
            </w:r>
          </w:p>
        </w:tc>
      </w:tr>
      <w:tr w:rsidR="00D71DC6" w:rsidRPr="000B35E2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0B35E2" w:rsidRDefault="00D71DC6" w:rsidP="00002712">
            <w:pPr>
              <w:rPr>
                <w:vertAlign w:val="superscript"/>
              </w:rPr>
            </w:pPr>
            <w:r w:rsidRPr="000B35E2">
              <w:t xml:space="preserve">  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0B35E2" w:rsidRDefault="00D71DC6" w:rsidP="00002712">
            <w:r w:rsidRPr="000B35E2">
              <w:t> </w:t>
            </w:r>
          </w:p>
        </w:tc>
      </w:tr>
      <w:tr w:rsidR="00D71DC6" w:rsidRPr="000B35E2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0B35E2" w:rsidRDefault="00D71DC6" w:rsidP="00002712">
            <w:pPr>
              <w:rPr>
                <w:vertAlign w:val="superscript"/>
              </w:rPr>
            </w:pPr>
            <w:r w:rsidRPr="000B35E2">
              <w:t xml:space="preserve">  Tovary a služby (630)</w:t>
            </w:r>
            <w:r w:rsidRPr="000B35E2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  <w:rPr>
                <w:b/>
                <w:highlight w:val="yellow"/>
              </w:rPr>
            </w:pPr>
            <w:r w:rsidRPr="000B35E2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  <w:rPr>
                <w:b/>
              </w:rPr>
            </w:pPr>
            <w:r w:rsidRPr="000B35E2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  <w:rPr>
                <w:b/>
              </w:rPr>
            </w:pPr>
            <w:r w:rsidRPr="000B35E2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  <w:rPr>
                <w:b/>
              </w:rPr>
            </w:pPr>
            <w:r w:rsidRPr="000B35E2">
              <w:rPr>
                <w:b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0B35E2" w:rsidRDefault="00D71DC6" w:rsidP="00002712">
            <w:r w:rsidRPr="000B35E2">
              <w:t> </w:t>
            </w:r>
          </w:p>
        </w:tc>
      </w:tr>
      <w:tr w:rsidR="00D71DC6" w:rsidRPr="000B35E2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0B35E2" w:rsidRDefault="00D71DC6" w:rsidP="00002712">
            <w:r w:rsidRPr="000B35E2">
              <w:t xml:space="preserve">     Všeobecné služby (635 009)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264 000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0B35E2" w:rsidRDefault="00D71DC6" w:rsidP="00002712">
            <w:r w:rsidRPr="000B35E2">
              <w:t>implementácia</w:t>
            </w:r>
          </w:p>
        </w:tc>
      </w:tr>
      <w:tr w:rsidR="00D71DC6" w:rsidRPr="000B35E2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0B35E2" w:rsidRDefault="00D71DC6" w:rsidP="00002712">
            <w:r w:rsidRPr="000B35E2">
              <w:t xml:space="preserve">     Poštové služby (632003)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0B35E2" w:rsidRDefault="00D71DC6" w:rsidP="00002712"/>
        </w:tc>
      </w:tr>
      <w:tr w:rsidR="00D71DC6" w:rsidRPr="000B35E2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0B35E2" w:rsidRDefault="00D71DC6" w:rsidP="00002712">
            <w:r w:rsidRPr="000B35E2">
              <w:t xml:space="preserve">     Všeobecný materiál (633006)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0B35E2" w:rsidRDefault="00D71DC6" w:rsidP="00002712"/>
        </w:tc>
      </w:tr>
      <w:tr w:rsidR="00D71DC6" w:rsidRPr="000B35E2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0B35E2" w:rsidRDefault="00D71DC6" w:rsidP="00002712">
            <w:r w:rsidRPr="000B35E2">
              <w:t xml:space="preserve">  Bežné transfery (640)</w:t>
            </w:r>
            <w:r w:rsidRPr="000B35E2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  <w:rPr>
                <w:highlight w:val="yellow"/>
              </w:rPr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  <w:rPr>
                <w:highlight w:val="yellow"/>
              </w:rPr>
            </w:pPr>
            <w:r w:rsidRPr="000B35E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  <w:rPr>
                <w:highlight w:val="yellow"/>
              </w:rPr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tabs>
                <w:tab w:val="left" w:pos="390"/>
                <w:tab w:val="center" w:pos="700"/>
              </w:tabs>
              <w:jc w:val="center"/>
              <w:rPr>
                <w:highlight w:val="yellow"/>
              </w:rPr>
            </w:pPr>
            <w:r w:rsidRPr="000B35E2"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0B35E2" w:rsidRDefault="00D71DC6" w:rsidP="00002712">
            <w:r w:rsidRPr="000B35E2">
              <w:t> </w:t>
            </w:r>
          </w:p>
        </w:tc>
      </w:tr>
      <w:tr w:rsidR="00D71DC6" w:rsidRPr="000B35E2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0B35E2" w:rsidRDefault="00D71DC6" w:rsidP="00002712">
            <w:pPr>
              <w:rPr>
                <w:b/>
                <w:bCs/>
              </w:rPr>
            </w:pPr>
            <w:r w:rsidRPr="000B35E2">
              <w:rPr>
                <w:b/>
                <w:bCs/>
              </w:rPr>
              <w:t>Kapitálové výdavky (700)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216 000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0B35E2" w:rsidRDefault="00D71DC6" w:rsidP="00002712">
            <w:r w:rsidRPr="000B35E2">
              <w:t> </w:t>
            </w:r>
          </w:p>
        </w:tc>
      </w:tr>
      <w:tr w:rsidR="00D71DC6" w:rsidRPr="000B35E2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0B35E2" w:rsidRDefault="00D71DC6" w:rsidP="00002712">
            <w:r w:rsidRPr="000B35E2">
              <w:t xml:space="preserve">  Obstarávanie kapitálových aktív – špeciálne stroje (713005)</w:t>
            </w:r>
            <w:r w:rsidRPr="000B35E2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0B35E2" w:rsidRDefault="00D71DC6" w:rsidP="00002712"/>
        </w:tc>
      </w:tr>
      <w:tr w:rsidR="00D71DC6" w:rsidRPr="000B35E2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0B35E2" w:rsidRDefault="00D71DC6" w:rsidP="00002712">
            <w:r w:rsidRPr="000B35E2">
              <w:t xml:space="preserve">  Obstarávanie kapitálových aktív – softvér (711003)</w:t>
            </w:r>
            <w:r w:rsidRPr="000B35E2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216 000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0B35E2" w:rsidRDefault="00D71DC6" w:rsidP="00002712">
            <w:r w:rsidRPr="000B35E2">
              <w:t>Analýza, testovanie...</w:t>
            </w:r>
          </w:p>
        </w:tc>
      </w:tr>
      <w:tr w:rsidR="00D71DC6" w:rsidRPr="000B35E2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0B35E2" w:rsidRDefault="00D71DC6" w:rsidP="00002712">
            <w:r w:rsidRPr="000B35E2">
              <w:t xml:space="preserve">  Kapitálové transfery (720)</w:t>
            </w:r>
            <w:r w:rsidRPr="000B35E2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DC6" w:rsidRPr="000B35E2" w:rsidRDefault="00D71DC6" w:rsidP="00002712">
            <w:pPr>
              <w:jc w:val="center"/>
            </w:pPr>
            <w:r w:rsidRPr="000B35E2"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0B35E2" w:rsidRDefault="00D71DC6" w:rsidP="00002712"/>
        </w:tc>
      </w:tr>
      <w:tr w:rsidR="00D71DC6" w:rsidRPr="000B35E2" w:rsidTr="00002712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0B35E2" w:rsidRDefault="00D71DC6" w:rsidP="00002712">
            <w:pPr>
              <w:rPr>
                <w:b/>
                <w:bCs/>
              </w:rPr>
            </w:pPr>
            <w:r w:rsidRPr="000B35E2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0B35E2" w:rsidRDefault="00D71DC6" w:rsidP="00002712">
            <w:r w:rsidRPr="000B35E2">
              <w:t> </w:t>
            </w:r>
          </w:p>
        </w:tc>
      </w:tr>
      <w:tr w:rsidR="00D71DC6" w:rsidRPr="000B35E2" w:rsidTr="00002712">
        <w:trPr>
          <w:trHeight w:val="25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0B35E2" w:rsidRDefault="00D71DC6" w:rsidP="00002712">
            <w:pPr>
              <w:rPr>
                <w:b/>
                <w:bCs/>
              </w:rPr>
            </w:pPr>
            <w:r w:rsidRPr="000B35E2">
              <w:rPr>
                <w:b/>
                <w:bCs/>
              </w:rPr>
              <w:t>Dopad na výdavky verejnej správy celkom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 xml:space="preserve">480 000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0B35E2" w:rsidRDefault="00D71DC6" w:rsidP="00002712">
            <w:pPr>
              <w:jc w:val="center"/>
              <w:rPr>
                <w:b/>
                <w:bCs/>
              </w:rPr>
            </w:pPr>
            <w:r w:rsidRPr="000B35E2">
              <w:rPr>
                <w:b/>
                <w:bCs/>
              </w:rPr>
              <w:t>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1DC6" w:rsidRPr="000B35E2" w:rsidRDefault="00D71DC6" w:rsidP="00002712">
            <w:r w:rsidRPr="000B35E2">
              <w:t> </w:t>
            </w:r>
          </w:p>
        </w:tc>
      </w:tr>
    </w:tbl>
    <w:p w:rsidR="00D71DC6" w:rsidRPr="007D5748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7D5748">
        <w:rPr>
          <w:bCs/>
          <w:sz w:val="20"/>
          <w:szCs w:val="20"/>
        </w:rPr>
        <w:t>2 –  výdavky rozpísať až do položiek platnej ekonomickej klasifikácie</w:t>
      </w:r>
    </w:p>
    <w:p w:rsidR="00D71DC6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Pr="007D5748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Pr="007D5748" w:rsidRDefault="00D71DC6" w:rsidP="00D71DC6">
      <w:pPr>
        <w:tabs>
          <w:tab w:val="num" w:pos="1080"/>
        </w:tabs>
        <w:ind w:left="-900"/>
        <w:jc w:val="both"/>
        <w:rPr>
          <w:bCs/>
          <w:sz w:val="20"/>
          <w:szCs w:val="20"/>
        </w:rPr>
      </w:pPr>
    </w:p>
    <w:p w:rsidR="00D71DC6" w:rsidRDefault="00D71DC6" w:rsidP="00D71DC6">
      <w:pPr>
        <w:tabs>
          <w:tab w:val="num" w:pos="1080"/>
        </w:tabs>
        <w:jc w:val="right"/>
        <w:rPr>
          <w:bCs/>
        </w:rPr>
      </w:pPr>
    </w:p>
    <w:p w:rsidR="00D71DC6" w:rsidRDefault="00D71DC6" w:rsidP="00D71DC6">
      <w:pPr>
        <w:tabs>
          <w:tab w:val="num" w:pos="1080"/>
        </w:tabs>
        <w:jc w:val="right"/>
        <w:rPr>
          <w:bCs/>
        </w:rPr>
      </w:pPr>
    </w:p>
    <w:p w:rsidR="00D71DC6" w:rsidRDefault="00D71DC6" w:rsidP="00D71DC6">
      <w:pPr>
        <w:tabs>
          <w:tab w:val="num" w:pos="1080"/>
        </w:tabs>
        <w:jc w:val="right"/>
        <w:rPr>
          <w:bCs/>
        </w:rPr>
      </w:pPr>
    </w:p>
    <w:p w:rsidR="00D71DC6" w:rsidRDefault="00D71DC6" w:rsidP="00D71DC6">
      <w:pPr>
        <w:tabs>
          <w:tab w:val="num" w:pos="1080"/>
        </w:tabs>
        <w:jc w:val="right"/>
        <w:rPr>
          <w:bCs/>
        </w:rPr>
      </w:pPr>
    </w:p>
    <w:p w:rsidR="00D71DC6" w:rsidRDefault="00D71DC6" w:rsidP="00D71DC6">
      <w:pPr>
        <w:tabs>
          <w:tab w:val="num" w:pos="1080"/>
        </w:tabs>
        <w:jc w:val="right"/>
        <w:rPr>
          <w:bCs/>
        </w:rPr>
      </w:pPr>
    </w:p>
    <w:p w:rsidR="00D71DC6" w:rsidRDefault="00D71DC6" w:rsidP="00D71DC6">
      <w:pPr>
        <w:tabs>
          <w:tab w:val="num" w:pos="1080"/>
        </w:tabs>
        <w:jc w:val="right"/>
        <w:rPr>
          <w:bCs/>
        </w:rPr>
      </w:pPr>
    </w:p>
    <w:p w:rsidR="00D71DC6" w:rsidRDefault="00D71DC6" w:rsidP="00D71DC6">
      <w:pPr>
        <w:tabs>
          <w:tab w:val="num" w:pos="1080"/>
        </w:tabs>
        <w:jc w:val="right"/>
        <w:rPr>
          <w:bCs/>
        </w:rPr>
      </w:pPr>
    </w:p>
    <w:p w:rsidR="00D71DC6" w:rsidRDefault="00D71DC6" w:rsidP="00D71DC6">
      <w:pPr>
        <w:tabs>
          <w:tab w:val="num" w:pos="1080"/>
        </w:tabs>
        <w:jc w:val="right"/>
        <w:rPr>
          <w:bCs/>
        </w:rPr>
      </w:pPr>
    </w:p>
    <w:p w:rsidR="00D71DC6" w:rsidRDefault="00D71DC6" w:rsidP="00D71DC6">
      <w:pPr>
        <w:tabs>
          <w:tab w:val="num" w:pos="1080"/>
        </w:tabs>
        <w:jc w:val="right"/>
        <w:rPr>
          <w:bCs/>
        </w:rPr>
      </w:pPr>
    </w:p>
    <w:p w:rsidR="00D71DC6" w:rsidRDefault="00D71DC6" w:rsidP="00D71DC6">
      <w:pPr>
        <w:tabs>
          <w:tab w:val="num" w:pos="1080"/>
        </w:tabs>
        <w:rPr>
          <w:bCs/>
        </w:rPr>
      </w:pPr>
      <w:r>
        <w:rPr>
          <w:bCs/>
        </w:rPr>
        <w:t xml:space="preserve">            </w:t>
      </w:r>
    </w:p>
    <w:p w:rsidR="00D71DC6" w:rsidRDefault="00D71DC6" w:rsidP="00D71DC6">
      <w:pPr>
        <w:tabs>
          <w:tab w:val="num" w:pos="1080"/>
        </w:tabs>
        <w:jc w:val="right"/>
        <w:rPr>
          <w:bCs/>
        </w:rPr>
      </w:pPr>
      <w:r>
        <w:rPr>
          <w:bCs/>
        </w:rPr>
        <w:lastRenderedPageBreak/>
        <w:t xml:space="preserve">Tabuľka č. 5 </w:t>
      </w:r>
    </w:p>
    <w:p w:rsidR="00D71DC6" w:rsidRPr="00372587" w:rsidRDefault="00D71DC6" w:rsidP="00D71DC6">
      <w:pPr>
        <w:tabs>
          <w:tab w:val="num" w:pos="1080"/>
        </w:tabs>
        <w:rPr>
          <w:b/>
          <w:bCs/>
          <w:szCs w:val="20"/>
        </w:rPr>
      </w:pPr>
      <w:r w:rsidRPr="00372587">
        <w:rPr>
          <w:b/>
          <w:bCs/>
          <w:szCs w:val="20"/>
        </w:rPr>
        <w:t>Ministerstvo vnútra Slovenskej republiky</w:t>
      </w:r>
    </w:p>
    <w:p w:rsidR="00D71DC6" w:rsidRPr="00372587" w:rsidRDefault="00D71DC6" w:rsidP="00D71DC6">
      <w:pPr>
        <w:tabs>
          <w:tab w:val="num" w:pos="1080"/>
        </w:tabs>
        <w:rPr>
          <w:bCs/>
        </w:rPr>
      </w:pPr>
    </w:p>
    <w:tbl>
      <w:tblPr>
        <w:tblW w:w="15585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8"/>
        <w:gridCol w:w="1715"/>
        <w:gridCol w:w="1805"/>
        <w:gridCol w:w="2442"/>
        <w:gridCol w:w="1739"/>
        <w:gridCol w:w="1636"/>
      </w:tblGrid>
      <w:tr w:rsidR="00D71DC6" w:rsidRPr="007D5748" w:rsidTr="00002712">
        <w:trPr>
          <w:cantSplit/>
          <w:trHeight w:val="255"/>
        </w:trPr>
        <w:tc>
          <w:tcPr>
            <w:tcW w:w="6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Zamestnanosť</w:t>
            </w:r>
          </w:p>
        </w:tc>
        <w:tc>
          <w:tcPr>
            <w:tcW w:w="7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poznámka</w:t>
            </w:r>
          </w:p>
        </w:tc>
      </w:tr>
      <w:tr w:rsidR="00D71DC6" w:rsidRPr="007D5748" w:rsidTr="00002712">
        <w:trPr>
          <w:cantSplit/>
          <w:trHeight w:val="255"/>
        </w:trPr>
        <w:tc>
          <w:tcPr>
            <w:tcW w:w="6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rPr>
                <w:b/>
                <w:bCs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DC6" w:rsidRPr="007D5748" w:rsidRDefault="00D71DC6" w:rsidP="00002712">
            <w:pPr>
              <w:rPr>
                <w:b/>
                <w:bCs/>
                <w:color w:val="FFFFFF"/>
              </w:rPr>
            </w:pPr>
          </w:p>
        </w:tc>
      </w:tr>
      <w:tr w:rsidR="00D71DC6" w:rsidRPr="007D5748" w:rsidTr="00002712">
        <w:trPr>
          <w:trHeight w:val="25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Počet zamestnancov celkom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7D5748" w:rsidRDefault="00D71DC6" w:rsidP="00002712">
            <w:r w:rsidRPr="007D5748">
              <w:t> </w:t>
            </w:r>
          </w:p>
        </w:tc>
      </w:tr>
      <w:tr w:rsidR="00D71DC6" w:rsidRPr="007D5748" w:rsidTr="00002712">
        <w:trPr>
          <w:trHeight w:val="25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7D5748" w:rsidRDefault="00D71DC6" w:rsidP="00002712"/>
        </w:tc>
      </w:tr>
      <w:tr w:rsidR="00D71DC6" w:rsidRPr="007D5748" w:rsidTr="00002712">
        <w:trPr>
          <w:trHeight w:val="25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Priemerný mzdový výdavok (v eurách)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7D5748" w:rsidRDefault="00D71DC6" w:rsidP="00002712">
            <w:r w:rsidRPr="007D5748">
              <w:t> </w:t>
            </w:r>
          </w:p>
        </w:tc>
      </w:tr>
      <w:tr w:rsidR="00D71DC6" w:rsidRPr="007D5748" w:rsidTr="00002712">
        <w:trPr>
          <w:trHeight w:val="25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</w:pPr>
            <w: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284B51" w:rsidRDefault="00D71DC6" w:rsidP="000027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</w:pPr>
            <w: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7D5748" w:rsidRDefault="00D71DC6" w:rsidP="00002712">
            <w:r w:rsidRPr="007D5748">
              <w:t> </w:t>
            </w:r>
          </w:p>
        </w:tc>
      </w:tr>
      <w:tr w:rsidR="00D71DC6" w:rsidRPr="007D5748" w:rsidTr="00002712">
        <w:trPr>
          <w:trHeight w:val="25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7D5748" w:rsidRDefault="00D71DC6" w:rsidP="00002712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Osobné výdavky celkom (v eurách)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71DC6" w:rsidRPr="007D5748" w:rsidRDefault="00D71DC6" w:rsidP="00002712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D71DC6" w:rsidRPr="007D5748" w:rsidTr="00002712">
        <w:trPr>
          <w:trHeight w:val="25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7D5748" w:rsidRDefault="00D71DC6" w:rsidP="00002712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D71DC6" w:rsidRPr="007D5748" w:rsidTr="00002712">
        <w:trPr>
          <w:trHeight w:val="25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</w:pPr>
            <w: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</w:pPr>
            <w:r>
              <w:t>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</w:pPr>
            <w: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7D5748" w:rsidRDefault="00D71DC6" w:rsidP="00002712">
            <w:r w:rsidRPr="007D5748">
              <w:t> </w:t>
            </w:r>
          </w:p>
        </w:tc>
      </w:tr>
      <w:tr w:rsidR="00D71DC6" w:rsidRPr="007D5748" w:rsidTr="00002712">
        <w:trPr>
          <w:trHeight w:val="25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Poistné a príspevok do poisťovní (620)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7D5748" w:rsidRDefault="00D71DC6" w:rsidP="00002712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</w:tr>
      <w:tr w:rsidR="00D71DC6" w:rsidRPr="007D5748" w:rsidTr="00002712">
        <w:trPr>
          <w:trHeight w:val="255"/>
        </w:trPr>
        <w:tc>
          <w:tcPr>
            <w:tcW w:w="6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r w:rsidRPr="007D5748">
              <w:rPr>
                <w:b/>
                <w:bCs/>
              </w:rPr>
              <w:t xml:space="preserve">   z toho vplyv na ŠR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</w:pPr>
            <w: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</w:pPr>
            <w:r>
              <w:t>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DC6" w:rsidRPr="007D5748" w:rsidRDefault="00D71DC6" w:rsidP="00002712">
            <w:pPr>
              <w:jc w:val="center"/>
            </w:pPr>
            <w: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DC6" w:rsidRPr="007D5748" w:rsidRDefault="00D71DC6" w:rsidP="00002712">
            <w:r w:rsidRPr="007D5748">
              <w:t> </w:t>
            </w:r>
          </w:p>
        </w:tc>
      </w:tr>
      <w:tr w:rsidR="00D71DC6" w:rsidRPr="006E0293" w:rsidTr="00002712">
        <w:trPr>
          <w:trHeight w:val="255"/>
        </w:trPr>
        <w:tc>
          <w:tcPr>
            <w:tcW w:w="155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DC6" w:rsidRDefault="00D71DC6" w:rsidP="00002712">
            <w:pPr>
              <w:rPr>
                <w:b/>
                <w:bCs/>
                <w:sz w:val="20"/>
                <w:szCs w:val="20"/>
              </w:rPr>
            </w:pPr>
          </w:p>
          <w:p w:rsidR="00D71DC6" w:rsidRPr="00372587" w:rsidRDefault="00D71DC6" w:rsidP="0000271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</w:t>
            </w:r>
            <w:r w:rsidRPr="00F10B53">
              <w:rPr>
                <w:b/>
                <w:bCs/>
                <w:szCs w:val="20"/>
              </w:rPr>
              <w:t xml:space="preserve">Ministerstvo zahraničných vecí </w:t>
            </w:r>
            <w:r>
              <w:rPr>
                <w:b/>
                <w:bCs/>
                <w:szCs w:val="20"/>
              </w:rPr>
              <w:t>a európskych záležitostí</w:t>
            </w:r>
            <w:r w:rsidRPr="00F10B53">
              <w:rPr>
                <w:b/>
                <w:bCs/>
                <w:szCs w:val="20"/>
              </w:rPr>
              <w:t xml:space="preserve"> Slovenskej republiky</w:t>
            </w:r>
          </w:p>
          <w:p w:rsidR="00D71DC6" w:rsidRPr="00372587" w:rsidRDefault="00D71DC6" w:rsidP="00002712">
            <w:pPr>
              <w:tabs>
                <w:tab w:val="num" w:pos="1080"/>
              </w:tabs>
              <w:rPr>
                <w:bCs/>
              </w:rPr>
            </w:pPr>
          </w:p>
          <w:tbl>
            <w:tblPr>
              <w:tblW w:w="1543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88"/>
              <w:gridCol w:w="1698"/>
              <w:gridCol w:w="1788"/>
              <w:gridCol w:w="2418"/>
              <w:gridCol w:w="1722"/>
              <w:gridCol w:w="1620"/>
            </w:tblGrid>
            <w:tr w:rsidR="00D71DC6" w:rsidRPr="007D5748" w:rsidTr="00002712">
              <w:trPr>
                <w:cantSplit/>
                <w:trHeight w:val="255"/>
              </w:trPr>
              <w:tc>
                <w:tcPr>
                  <w:tcW w:w="6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 w:rsidRPr="007D5748">
                    <w:rPr>
                      <w:b/>
                      <w:bCs/>
                    </w:rPr>
                    <w:t>Zamestnanosť</w:t>
                  </w:r>
                </w:p>
              </w:tc>
              <w:tc>
                <w:tcPr>
                  <w:tcW w:w="762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 w:rsidRPr="007D5748">
                    <w:rPr>
                      <w:b/>
                      <w:bCs/>
                    </w:rPr>
                    <w:t>Vplyv na rozpočet verejnej správy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 w:rsidRPr="007D5748">
                    <w:rPr>
                      <w:b/>
                      <w:bCs/>
                    </w:rPr>
                    <w:t>poznámka</w:t>
                  </w:r>
                </w:p>
              </w:tc>
            </w:tr>
            <w:tr w:rsidR="00D71DC6" w:rsidRPr="007D5748" w:rsidTr="00002712">
              <w:trPr>
                <w:cantSplit/>
                <w:trHeight w:val="255"/>
              </w:trPr>
              <w:tc>
                <w:tcPr>
                  <w:tcW w:w="6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71DC6" w:rsidRPr="007D5748" w:rsidRDefault="00D71DC6" w:rsidP="0000271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2020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D71DC6" w:rsidRPr="007D5748" w:rsidRDefault="00D71DC6" w:rsidP="00002712">
                  <w:pPr>
                    <w:rPr>
                      <w:b/>
                      <w:bCs/>
                      <w:color w:val="FFFFFF"/>
                    </w:rPr>
                  </w:pPr>
                </w:p>
              </w:tc>
            </w:tr>
            <w:tr w:rsidR="00D71DC6" w:rsidRPr="007D5748" w:rsidTr="00002712">
              <w:trPr>
                <w:trHeight w:val="255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rPr>
                      <w:b/>
                      <w:bCs/>
                    </w:rPr>
                  </w:pPr>
                  <w:r w:rsidRPr="007D5748">
                    <w:rPr>
                      <w:b/>
                      <w:bCs/>
                    </w:rPr>
                    <w:t>Počet zamestnancov celkom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1DC6" w:rsidRPr="007D5748" w:rsidRDefault="00D71DC6" w:rsidP="00002712">
                  <w:r w:rsidRPr="007D5748">
                    <w:t> </w:t>
                  </w:r>
                </w:p>
              </w:tc>
            </w:tr>
            <w:tr w:rsidR="00D71DC6" w:rsidRPr="007D5748" w:rsidTr="00002712">
              <w:trPr>
                <w:trHeight w:val="255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rPr>
                      <w:b/>
                      <w:bCs/>
                    </w:rPr>
                  </w:pPr>
                  <w:r w:rsidRPr="007D5748">
                    <w:rPr>
                      <w:b/>
                      <w:bCs/>
                    </w:rPr>
                    <w:t xml:space="preserve">   z toho vplyv na ŠR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1DC6" w:rsidRPr="007D5748" w:rsidRDefault="00D71DC6" w:rsidP="00002712"/>
              </w:tc>
            </w:tr>
            <w:tr w:rsidR="00D71DC6" w:rsidRPr="007D5748" w:rsidTr="00002712">
              <w:trPr>
                <w:trHeight w:val="255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rPr>
                      <w:b/>
                      <w:bCs/>
                    </w:rPr>
                  </w:pPr>
                  <w:r w:rsidRPr="007D5748">
                    <w:rPr>
                      <w:b/>
                      <w:bCs/>
                    </w:rPr>
                    <w:t>Priemerný mzdový výdavok (v eurách)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1DC6" w:rsidRPr="007D5748" w:rsidRDefault="00D71DC6" w:rsidP="00002712">
                  <w:r w:rsidRPr="007D5748">
                    <w:t> </w:t>
                  </w:r>
                </w:p>
              </w:tc>
            </w:tr>
            <w:tr w:rsidR="00D71DC6" w:rsidRPr="007D5748" w:rsidTr="00002712">
              <w:trPr>
                <w:trHeight w:val="255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r w:rsidRPr="007D5748">
                    <w:rPr>
                      <w:b/>
                      <w:bCs/>
                    </w:rPr>
                    <w:t xml:space="preserve">   z toho vplyv na ŠR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284B51" w:rsidRDefault="00D71DC6" w:rsidP="000027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1DC6" w:rsidRPr="007D5748" w:rsidRDefault="00D71DC6" w:rsidP="00002712">
                  <w:r w:rsidRPr="007D5748">
                    <w:t> </w:t>
                  </w:r>
                </w:p>
              </w:tc>
            </w:tr>
            <w:tr w:rsidR="00D71DC6" w:rsidRPr="007D5748" w:rsidTr="00002712">
              <w:trPr>
                <w:trHeight w:val="255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71DC6" w:rsidRPr="007D5748" w:rsidRDefault="00D71DC6" w:rsidP="00002712">
                  <w:pPr>
                    <w:rPr>
                      <w:b/>
                      <w:bCs/>
                    </w:rPr>
                  </w:pPr>
                  <w:r w:rsidRPr="007D5748">
                    <w:rPr>
                      <w:b/>
                      <w:bCs/>
                    </w:rPr>
                    <w:t>Osobné výdavky celkom (v eurách)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</w:tcPr>
                <w:p w:rsidR="00D71DC6" w:rsidRPr="007D5748" w:rsidRDefault="00D71DC6" w:rsidP="00002712">
                  <w:pPr>
                    <w:rPr>
                      <w:b/>
                      <w:bCs/>
                    </w:rPr>
                  </w:pPr>
                  <w:r w:rsidRPr="007D5748">
                    <w:rPr>
                      <w:b/>
                      <w:bCs/>
                    </w:rPr>
                    <w:t> </w:t>
                  </w:r>
                </w:p>
              </w:tc>
            </w:tr>
            <w:tr w:rsidR="00D71DC6" w:rsidRPr="007D5748" w:rsidTr="00002712">
              <w:trPr>
                <w:trHeight w:val="255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rPr>
                      <w:b/>
                      <w:bCs/>
                    </w:rPr>
                  </w:pPr>
                  <w:r w:rsidRPr="007D5748">
                    <w:rPr>
                      <w:b/>
                      <w:bCs/>
                    </w:rPr>
                    <w:t>Mzdy, platy, služobné príjmy a ostatné osobné vyrovnania (610)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1DC6" w:rsidRPr="007D5748" w:rsidRDefault="00D71DC6" w:rsidP="00002712">
                  <w:pPr>
                    <w:rPr>
                      <w:b/>
                      <w:bCs/>
                    </w:rPr>
                  </w:pPr>
                  <w:r w:rsidRPr="007D5748">
                    <w:rPr>
                      <w:b/>
                      <w:bCs/>
                    </w:rPr>
                    <w:t> </w:t>
                  </w:r>
                </w:p>
              </w:tc>
            </w:tr>
            <w:tr w:rsidR="00D71DC6" w:rsidRPr="007D5748" w:rsidTr="00002712">
              <w:trPr>
                <w:trHeight w:val="255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r w:rsidRPr="007D5748">
                    <w:rPr>
                      <w:b/>
                      <w:bCs/>
                    </w:rPr>
                    <w:t xml:space="preserve">   z toho vplyv na ŠR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1DC6" w:rsidRPr="007D5748" w:rsidRDefault="00D71DC6" w:rsidP="00002712">
                  <w:r w:rsidRPr="007D5748">
                    <w:t> </w:t>
                  </w:r>
                </w:p>
              </w:tc>
            </w:tr>
            <w:tr w:rsidR="00D71DC6" w:rsidRPr="007D5748" w:rsidTr="00002712">
              <w:trPr>
                <w:trHeight w:val="255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rPr>
                      <w:b/>
                      <w:bCs/>
                    </w:rPr>
                  </w:pPr>
                  <w:r w:rsidRPr="007D5748">
                    <w:rPr>
                      <w:b/>
                      <w:bCs/>
                    </w:rPr>
                    <w:t>Poistné a príspevok do poisťovní (620)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1DC6" w:rsidRPr="007D5748" w:rsidRDefault="00D71DC6" w:rsidP="00002712">
                  <w:pPr>
                    <w:rPr>
                      <w:b/>
                      <w:bCs/>
                    </w:rPr>
                  </w:pPr>
                  <w:r w:rsidRPr="007D5748">
                    <w:rPr>
                      <w:b/>
                      <w:bCs/>
                    </w:rPr>
                    <w:t> </w:t>
                  </w:r>
                </w:p>
              </w:tc>
            </w:tr>
            <w:tr w:rsidR="00D71DC6" w:rsidRPr="007D5748" w:rsidTr="00002712">
              <w:trPr>
                <w:trHeight w:val="255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r w:rsidRPr="007D5748">
                    <w:rPr>
                      <w:b/>
                      <w:bCs/>
                    </w:rPr>
                    <w:t xml:space="preserve">   z toho vplyv na ŠR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71DC6" w:rsidRPr="007D5748" w:rsidRDefault="00D71DC6" w:rsidP="00002712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1DC6" w:rsidRPr="007D5748" w:rsidRDefault="00D71DC6" w:rsidP="00002712">
                  <w:r w:rsidRPr="007D5748">
                    <w:t> </w:t>
                  </w:r>
                </w:p>
              </w:tc>
            </w:tr>
          </w:tbl>
          <w:p w:rsidR="00D71DC6" w:rsidRDefault="00D71DC6" w:rsidP="00002712">
            <w:pPr>
              <w:rPr>
                <w:b/>
                <w:bCs/>
                <w:sz w:val="20"/>
                <w:szCs w:val="20"/>
              </w:rPr>
            </w:pPr>
          </w:p>
          <w:p w:rsidR="00D71DC6" w:rsidRPr="00E31EA5" w:rsidRDefault="00D71DC6" w:rsidP="00002712">
            <w:pPr>
              <w:jc w:val="both"/>
              <w:rPr>
                <w:b/>
                <w:sz w:val="20"/>
                <w:szCs w:val="20"/>
              </w:rPr>
            </w:pPr>
            <w:r w:rsidRPr="00E31EA5">
              <w:rPr>
                <w:b/>
                <w:sz w:val="20"/>
                <w:szCs w:val="20"/>
              </w:rPr>
              <w:t>Poznámky:</w:t>
            </w:r>
          </w:p>
          <w:p w:rsidR="00D71DC6" w:rsidRPr="00E31EA5" w:rsidRDefault="00D71DC6" w:rsidP="00002712">
            <w:pPr>
              <w:jc w:val="both"/>
              <w:rPr>
                <w:sz w:val="20"/>
                <w:szCs w:val="20"/>
              </w:rPr>
            </w:pPr>
            <w:r w:rsidRPr="00E31EA5">
              <w:rPr>
                <w:sz w:val="20"/>
                <w:szCs w:val="20"/>
              </w:rPr>
              <w:t>Ak sa vplyv týka viacerých subjektov verejnej správy, vypĺňa sa samostatná tabuľka za každý subjekt. Ak sa týka rôznych skupín zamestnancov, je potrebné počty, mzdy a poistné rozpísať samostatne podľa spôsobu odmeňovania (napr. policajti, colníci ...).</w:t>
            </w:r>
          </w:p>
          <w:p w:rsidR="00D71DC6" w:rsidRPr="00E31EA5" w:rsidRDefault="00D71DC6" w:rsidP="00002712">
            <w:pPr>
              <w:jc w:val="both"/>
              <w:rPr>
                <w:sz w:val="20"/>
                <w:szCs w:val="20"/>
              </w:rPr>
            </w:pPr>
            <w:r w:rsidRPr="00E31EA5">
              <w:rPr>
                <w:sz w:val="20"/>
                <w:szCs w:val="20"/>
              </w:rPr>
              <w:t>Priemerný mzdový výdavok je tvorený podielom mzdových výdavkov na jedného zamestnanca na jeden kalendárny mesiac bežného roka.</w:t>
            </w:r>
          </w:p>
          <w:p w:rsidR="00D71DC6" w:rsidRPr="00E31EA5" w:rsidRDefault="00D71DC6" w:rsidP="00002712">
            <w:pPr>
              <w:jc w:val="both"/>
              <w:rPr>
                <w:sz w:val="20"/>
                <w:szCs w:val="20"/>
              </w:rPr>
            </w:pPr>
            <w:r w:rsidRPr="00E31EA5">
              <w:rPr>
                <w:sz w:val="20"/>
                <w:szCs w:val="20"/>
              </w:rPr>
              <w:t>Kategórie 610 a 620 sú z tejto prílohy prenášané do príslušných kategórií prílohy „výdavky“.</w:t>
            </w:r>
          </w:p>
        </w:tc>
      </w:tr>
    </w:tbl>
    <w:p w:rsidR="00D71DC6" w:rsidRDefault="00D71DC6" w:rsidP="00D71DC6">
      <w:pPr>
        <w:rPr>
          <w:b/>
          <w:bCs/>
        </w:rPr>
        <w:sectPr w:rsidR="00D71DC6" w:rsidSect="00F10B53">
          <w:pgSz w:w="16838" w:h="11906" w:orient="landscape"/>
          <w:pgMar w:top="993" w:right="1418" w:bottom="993" w:left="1418" w:header="709" w:footer="709" w:gutter="0"/>
          <w:cols w:space="708"/>
          <w:docGrid w:linePitch="360"/>
        </w:sectPr>
      </w:pPr>
    </w:p>
    <w:p w:rsidR="00D71DC6" w:rsidRPr="00E31EA5" w:rsidRDefault="00D71DC6" w:rsidP="00D71DC6">
      <w:pPr>
        <w:jc w:val="both"/>
        <w:rPr>
          <w:sz w:val="20"/>
          <w:szCs w:val="20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1701"/>
        <w:gridCol w:w="992"/>
      </w:tblGrid>
      <w:tr w:rsidR="00D71DC6" w:rsidRPr="005C4B9C" w:rsidTr="00002712">
        <w:trPr>
          <w:trHeight w:val="20"/>
        </w:trPr>
        <w:tc>
          <w:tcPr>
            <w:tcW w:w="9371" w:type="dxa"/>
            <w:gridSpan w:val="5"/>
            <w:shd w:val="clear" w:color="auto" w:fill="BFBFBF"/>
            <w:vAlign w:val="center"/>
          </w:tcPr>
          <w:p w:rsidR="00D71DC6" w:rsidRPr="005C4B9C" w:rsidRDefault="00D71DC6" w:rsidP="00002712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D71DC6" w:rsidRPr="005C4B9C" w:rsidRDefault="00D71DC6" w:rsidP="00002712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</w:rPr>
              <w:t>Budovanie základných pilierov informatizácie</w:t>
            </w:r>
          </w:p>
        </w:tc>
      </w:tr>
      <w:tr w:rsidR="00D71DC6" w:rsidRPr="005C4B9C" w:rsidTr="00002712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D71DC6" w:rsidRPr="005C4B9C" w:rsidRDefault="00D71DC6" w:rsidP="00002712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D71DC6" w:rsidRPr="005C4B9C" w:rsidRDefault="00D71DC6" w:rsidP="00002712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A – nová služba</w:t>
            </w:r>
          </w:p>
          <w:p w:rsidR="00D71DC6" w:rsidRPr="005C4B9C" w:rsidRDefault="00D71DC6" w:rsidP="00002712">
            <w:pPr>
              <w:jc w:val="center"/>
              <w:rPr>
                <w:i/>
                <w:iCs/>
                <w:szCs w:val="22"/>
              </w:rPr>
            </w:pPr>
            <w:r w:rsidRPr="005C4B9C">
              <w:rPr>
                <w:b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D71DC6" w:rsidRPr="005C4B9C" w:rsidRDefault="00D71DC6" w:rsidP="00002712">
            <w:pPr>
              <w:spacing w:after="200"/>
              <w:jc w:val="center"/>
              <w:rPr>
                <w:szCs w:val="22"/>
              </w:rPr>
            </w:pPr>
            <w:r w:rsidRPr="005C4B9C">
              <w:rPr>
                <w:b/>
                <w:szCs w:val="22"/>
              </w:rPr>
              <w:t>Kód služby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D71DC6" w:rsidRPr="005C4B9C" w:rsidRDefault="00D71DC6" w:rsidP="00002712">
            <w:pPr>
              <w:jc w:val="center"/>
              <w:rPr>
                <w:i/>
                <w:iCs/>
                <w:szCs w:val="22"/>
              </w:rPr>
            </w:pPr>
            <w:r w:rsidRPr="005C4B9C">
              <w:rPr>
                <w:b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D71DC6" w:rsidRPr="005C4B9C" w:rsidRDefault="00D71DC6" w:rsidP="0000271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Úroveň elektroni</w:t>
            </w:r>
            <w:r w:rsidRPr="005C4B9C">
              <w:rPr>
                <w:b/>
                <w:szCs w:val="22"/>
              </w:rPr>
              <w:t>zácie služby</w:t>
            </w:r>
          </w:p>
          <w:p w:rsidR="00D71DC6" w:rsidRPr="005C4B9C" w:rsidRDefault="00D71DC6" w:rsidP="00002712">
            <w:pPr>
              <w:jc w:val="center"/>
              <w:rPr>
                <w:i/>
                <w:iCs/>
                <w:szCs w:val="22"/>
              </w:rPr>
            </w:pPr>
            <w:r w:rsidRPr="005C4B9C">
              <w:rPr>
                <w:b/>
                <w:szCs w:val="22"/>
              </w:rPr>
              <w:t>(0 až 5)</w:t>
            </w:r>
          </w:p>
        </w:tc>
      </w:tr>
      <w:tr w:rsidR="00D71DC6" w:rsidRPr="009C48F9" w:rsidTr="00002712">
        <w:trPr>
          <w:trHeight w:val="1957"/>
        </w:trPr>
        <w:tc>
          <w:tcPr>
            <w:tcW w:w="3956" w:type="dxa"/>
          </w:tcPr>
          <w:p w:rsidR="00D71DC6" w:rsidRPr="005C16CF" w:rsidRDefault="00D71DC6" w:rsidP="00002712">
            <w:pPr>
              <w:jc w:val="both"/>
              <w:rPr>
                <w:szCs w:val="22"/>
              </w:rPr>
            </w:pPr>
            <w:r w:rsidRPr="005C16CF">
              <w:rPr>
                <w:b/>
                <w:szCs w:val="22"/>
              </w:rPr>
              <w:t>6.1.</w:t>
            </w:r>
            <w:r w:rsidRPr="005C16CF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D71DC6" w:rsidRPr="005C16CF" w:rsidRDefault="00D71DC6" w:rsidP="00002712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16CF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16CF">
              <w:rPr>
                <w:i/>
                <w:iCs/>
                <w:szCs w:val="22"/>
              </w:rPr>
              <w:t>eGovernment</w:t>
            </w:r>
            <w:proofErr w:type="spellEnd"/>
            <w:r w:rsidRPr="005C16CF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16CF">
              <w:rPr>
                <w:i/>
                <w:iCs/>
                <w:szCs w:val="22"/>
              </w:rPr>
              <w:t>metainformačnom</w:t>
            </w:r>
            <w:proofErr w:type="spellEnd"/>
            <w:r w:rsidRPr="005C16CF">
              <w:rPr>
                <w:i/>
                <w:iCs/>
                <w:szCs w:val="22"/>
              </w:rPr>
              <w:t xml:space="preserve"> systéme verejnej správy.)</w:t>
            </w:r>
            <w:r w:rsidRPr="005C16CF">
              <w:rPr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D71DC6" w:rsidRPr="005C16CF" w:rsidRDefault="00D71DC6" w:rsidP="00002712">
            <w:pPr>
              <w:jc w:val="center"/>
              <w:rPr>
                <w:b/>
                <w:iCs/>
              </w:rPr>
            </w:pPr>
          </w:p>
        </w:tc>
        <w:tc>
          <w:tcPr>
            <w:tcW w:w="1560" w:type="dxa"/>
            <w:vAlign w:val="center"/>
          </w:tcPr>
          <w:p w:rsidR="00D71DC6" w:rsidRPr="005C16CF" w:rsidRDefault="00D71DC6" w:rsidP="00002712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1DC6" w:rsidRPr="007B25DA" w:rsidRDefault="00D71DC6" w:rsidP="00002712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D71DC6" w:rsidRPr="007B25DA" w:rsidRDefault="00D71DC6" w:rsidP="00002712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71DC6" w:rsidRPr="005C4B9C" w:rsidTr="00002712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D71DC6" w:rsidRPr="005C4B9C" w:rsidRDefault="00D71DC6" w:rsidP="00002712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D71DC6" w:rsidRPr="005C4B9C" w:rsidRDefault="00D71DC6" w:rsidP="00002712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A – nový systém</w:t>
            </w:r>
          </w:p>
          <w:p w:rsidR="00D71DC6" w:rsidRPr="005C4B9C" w:rsidRDefault="00D71DC6" w:rsidP="00002712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D71DC6" w:rsidRPr="005C4B9C" w:rsidRDefault="00D71DC6" w:rsidP="00002712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Kód systému</w:t>
            </w:r>
          </w:p>
        </w:tc>
        <w:tc>
          <w:tcPr>
            <w:tcW w:w="2693" w:type="dxa"/>
            <w:gridSpan w:val="2"/>
            <w:shd w:val="clear" w:color="auto" w:fill="C0C0C0"/>
            <w:vAlign w:val="center"/>
          </w:tcPr>
          <w:p w:rsidR="00D71DC6" w:rsidRPr="005C4B9C" w:rsidRDefault="00D71DC6" w:rsidP="00002712">
            <w:pPr>
              <w:jc w:val="center"/>
              <w:rPr>
                <w:b/>
              </w:rPr>
            </w:pPr>
            <w:r w:rsidRPr="005C4B9C">
              <w:rPr>
                <w:b/>
                <w:szCs w:val="22"/>
              </w:rPr>
              <w:t>Názov systému</w:t>
            </w:r>
          </w:p>
        </w:tc>
      </w:tr>
      <w:tr w:rsidR="00D71DC6" w:rsidRPr="009C48F9" w:rsidTr="00002712">
        <w:trPr>
          <w:trHeight w:val="1468"/>
        </w:trPr>
        <w:tc>
          <w:tcPr>
            <w:tcW w:w="3956" w:type="dxa"/>
          </w:tcPr>
          <w:p w:rsidR="00D71DC6" w:rsidRPr="009C48F9" w:rsidRDefault="00D71DC6" w:rsidP="00002712">
            <w:pPr>
              <w:jc w:val="both"/>
            </w:pPr>
            <w:r w:rsidRPr="009C48F9">
              <w:rPr>
                <w:b/>
              </w:rPr>
              <w:t>6.2.</w:t>
            </w:r>
            <w:r w:rsidRPr="009C48F9">
              <w:t xml:space="preserve"> Predpokladá predložený návrh zmenu existujúceho alebo vytvorenie nového informačného systému verejnej správy?</w:t>
            </w:r>
          </w:p>
          <w:p w:rsidR="00D71DC6" w:rsidRPr="009C48F9" w:rsidRDefault="00D71DC6" w:rsidP="00002712">
            <w:pPr>
              <w:spacing w:line="20" w:lineRule="atLeast"/>
              <w:jc w:val="both"/>
            </w:pPr>
            <w:r w:rsidRPr="009C48F9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9C48F9">
              <w:rPr>
                <w:i/>
                <w:iCs/>
              </w:rPr>
              <w:t>metainformačného</w:t>
            </w:r>
            <w:proofErr w:type="spellEnd"/>
            <w:r w:rsidRPr="009C48F9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  <w:vAlign w:val="center"/>
          </w:tcPr>
          <w:p w:rsidR="00D71DC6" w:rsidRPr="009C48F9" w:rsidRDefault="00D71DC6" w:rsidP="00002712">
            <w:pPr>
              <w:jc w:val="center"/>
              <w:rPr>
                <w:b/>
                <w:sz w:val="22"/>
                <w:szCs w:val="22"/>
              </w:rPr>
            </w:pPr>
            <w:r w:rsidRPr="009C48F9">
              <w:rPr>
                <w:b/>
                <w:iCs/>
              </w:rPr>
              <w:t>B</w:t>
            </w:r>
          </w:p>
        </w:tc>
        <w:tc>
          <w:tcPr>
            <w:tcW w:w="1560" w:type="dxa"/>
            <w:vAlign w:val="center"/>
          </w:tcPr>
          <w:p w:rsidR="00D71DC6" w:rsidRPr="009C48F9" w:rsidRDefault="00D71DC6" w:rsidP="00002712">
            <w:pPr>
              <w:jc w:val="center"/>
              <w:rPr>
                <w:b/>
                <w:sz w:val="22"/>
                <w:szCs w:val="22"/>
              </w:rPr>
            </w:pPr>
            <w:r>
              <w:t>isvs_180</w:t>
            </w:r>
          </w:p>
        </w:tc>
        <w:tc>
          <w:tcPr>
            <w:tcW w:w="2693" w:type="dxa"/>
            <w:gridSpan w:val="2"/>
            <w:vAlign w:val="center"/>
          </w:tcPr>
          <w:p w:rsidR="00D71DC6" w:rsidRPr="009C48F9" w:rsidRDefault="00D71DC6" w:rsidP="00002712">
            <w:pPr>
              <w:jc w:val="center"/>
              <w:rPr>
                <w:b/>
                <w:sz w:val="22"/>
                <w:szCs w:val="22"/>
              </w:rPr>
            </w:pPr>
            <w:r>
              <w:t>Elektronická identifikačná karta</w:t>
            </w:r>
          </w:p>
        </w:tc>
      </w:tr>
      <w:tr w:rsidR="00D71DC6" w:rsidRPr="009C48F9" w:rsidTr="00002712">
        <w:trPr>
          <w:trHeight w:val="641"/>
        </w:trPr>
        <w:tc>
          <w:tcPr>
            <w:tcW w:w="3956" w:type="dxa"/>
          </w:tcPr>
          <w:p w:rsidR="00D71DC6" w:rsidRPr="009C48F9" w:rsidRDefault="00D71DC6" w:rsidP="00002712">
            <w:pPr>
              <w:jc w:val="both"/>
              <w:rPr>
                <w:b/>
              </w:rPr>
            </w:pPr>
          </w:p>
        </w:tc>
        <w:tc>
          <w:tcPr>
            <w:tcW w:w="1162" w:type="dxa"/>
            <w:vAlign w:val="center"/>
          </w:tcPr>
          <w:p w:rsidR="00D71DC6" w:rsidRPr="009C48F9" w:rsidRDefault="00D71DC6" w:rsidP="0000271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B</w:t>
            </w:r>
          </w:p>
        </w:tc>
        <w:tc>
          <w:tcPr>
            <w:tcW w:w="1560" w:type="dxa"/>
            <w:vAlign w:val="center"/>
          </w:tcPr>
          <w:p w:rsidR="00D71DC6" w:rsidRDefault="00D71DC6" w:rsidP="00002712">
            <w:pPr>
              <w:jc w:val="center"/>
            </w:pPr>
            <w:r>
              <w:t>isvs_4862</w:t>
            </w:r>
          </w:p>
        </w:tc>
        <w:tc>
          <w:tcPr>
            <w:tcW w:w="2693" w:type="dxa"/>
            <w:gridSpan w:val="2"/>
            <w:vAlign w:val="center"/>
          </w:tcPr>
          <w:p w:rsidR="00D71DC6" w:rsidRDefault="00D71DC6" w:rsidP="00002712">
            <w:pPr>
              <w:jc w:val="center"/>
            </w:pPr>
            <w:r>
              <w:t>Informačný systém Doklady</w:t>
            </w:r>
          </w:p>
        </w:tc>
      </w:tr>
      <w:tr w:rsidR="00D71DC6" w:rsidRPr="005C4B9C" w:rsidTr="00002712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D71DC6" w:rsidRPr="005C4B9C" w:rsidRDefault="00D71DC6" w:rsidP="00002712">
            <w:pPr>
              <w:spacing w:line="20" w:lineRule="atLeast"/>
              <w:ind w:hanging="55"/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D71DC6" w:rsidRPr="005C4B9C" w:rsidRDefault="00D71DC6" w:rsidP="00002712">
            <w:pPr>
              <w:jc w:val="center"/>
              <w:rPr>
                <w:b/>
                <w:i/>
                <w:iCs/>
                <w:szCs w:val="22"/>
              </w:rPr>
            </w:pPr>
            <w:r w:rsidRPr="005C4B9C">
              <w:rPr>
                <w:b/>
                <w:szCs w:val="22"/>
              </w:rPr>
              <w:t>Rezortná úroveň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D71DC6" w:rsidRPr="005C4B9C" w:rsidRDefault="00D71DC6" w:rsidP="00002712">
            <w:pPr>
              <w:jc w:val="center"/>
              <w:rPr>
                <w:b/>
                <w:i/>
                <w:iCs/>
                <w:szCs w:val="22"/>
              </w:rPr>
            </w:pPr>
            <w:r w:rsidRPr="005C4B9C">
              <w:rPr>
                <w:b/>
                <w:szCs w:val="22"/>
              </w:rPr>
              <w:t>Nadrezortná úroveň</w:t>
            </w:r>
          </w:p>
          <w:p w:rsidR="00D71DC6" w:rsidRPr="005C4B9C" w:rsidRDefault="00D71DC6" w:rsidP="00002712">
            <w:pPr>
              <w:jc w:val="center"/>
              <w:rPr>
                <w:b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BFBFBF"/>
            <w:vAlign w:val="center"/>
          </w:tcPr>
          <w:p w:rsidR="00D71DC6" w:rsidRPr="005C4B9C" w:rsidRDefault="00D71DC6" w:rsidP="00002712">
            <w:pPr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A - z prostriedkov EÚ   B - z ďalších zdrojov financovania</w:t>
            </w:r>
          </w:p>
        </w:tc>
      </w:tr>
      <w:tr w:rsidR="00D71DC6" w:rsidRPr="005C4B9C" w:rsidTr="00002712">
        <w:trPr>
          <w:trHeight w:val="1150"/>
        </w:trPr>
        <w:tc>
          <w:tcPr>
            <w:tcW w:w="3956" w:type="dxa"/>
          </w:tcPr>
          <w:p w:rsidR="00D71DC6" w:rsidRPr="005C4B9C" w:rsidRDefault="00D71DC6" w:rsidP="00002712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D71DC6" w:rsidRPr="005C4B9C" w:rsidRDefault="00D71DC6" w:rsidP="00002712">
            <w:pPr>
              <w:spacing w:line="20" w:lineRule="atLeast"/>
              <w:jc w:val="both"/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D71DC6" w:rsidRDefault="00D71DC6" w:rsidP="00002712">
            <w:pPr>
              <w:jc w:val="center"/>
              <w:rPr>
                <w:b/>
                <w:i/>
                <w:iCs/>
              </w:rPr>
            </w:pPr>
          </w:p>
          <w:p w:rsidR="00D71DC6" w:rsidRDefault="00D71DC6" w:rsidP="00002712">
            <w:pPr>
              <w:jc w:val="center"/>
              <w:rPr>
                <w:b/>
                <w:i/>
                <w:iCs/>
              </w:rPr>
            </w:pPr>
          </w:p>
          <w:p w:rsidR="00D71DC6" w:rsidRPr="001B55F9" w:rsidRDefault="00D71DC6" w:rsidP="0000271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X</w:t>
            </w:r>
          </w:p>
        </w:tc>
        <w:tc>
          <w:tcPr>
            <w:tcW w:w="1560" w:type="dxa"/>
            <w:vAlign w:val="center"/>
          </w:tcPr>
          <w:p w:rsidR="00D71DC6" w:rsidRPr="000F6744" w:rsidRDefault="00D71DC6" w:rsidP="00002712">
            <w:pPr>
              <w:jc w:val="center"/>
            </w:pPr>
          </w:p>
        </w:tc>
        <w:tc>
          <w:tcPr>
            <w:tcW w:w="2693" w:type="dxa"/>
            <w:gridSpan w:val="2"/>
          </w:tcPr>
          <w:p w:rsidR="00D71DC6" w:rsidRPr="005C4B9C" w:rsidRDefault="00D71DC6" w:rsidP="00002712">
            <w:pPr>
              <w:jc w:val="center"/>
              <w:rPr>
                <w:i/>
                <w:iCs/>
              </w:rPr>
            </w:pPr>
          </w:p>
        </w:tc>
      </w:tr>
    </w:tbl>
    <w:p w:rsidR="00D71DC6" w:rsidRPr="005C4B9C" w:rsidRDefault="00D71DC6" w:rsidP="00D71DC6">
      <w:pPr>
        <w:rPr>
          <w:b/>
          <w:bCs/>
        </w:rPr>
      </w:pPr>
    </w:p>
    <w:p w:rsidR="00D71DC6" w:rsidRPr="005C4B9C" w:rsidRDefault="00D71DC6" w:rsidP="00D71DC6">
      <w:pPr>
        <w:rPr>
          <w:b/>
          <w:bCs/>
        </w:rPr>
      </w:pPr>
    </w:p>
    <w:p w:rsidR="00D71DC6" w:rsidRDefault="00D71DC6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D71DC6" w:rsidRPr="00732E57" w:rsidRDefault="00D71DC6" w:rsidP="00D71DC6">
      <w:pPr>
        <w:jc w:val="right"/>
        <w:rPr>
          <w:rFonts w:eastAsia="Calibri"/>
          <w:lang w:eastAsia="en-US"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D71DC6" w:rsidRPr="005C4B9C" w:rsidTr="00002712">
        <w:trPr>
          <w:trHeight w:val="822"/>
        </w:trPr>
        <w:tc>
          <w:tcPr>
            <w:tcW w:w="9371" w:type="dxa"/>
            <w:shd w:val="clear" w:color="auto" w:fill="BFBFBF"/>
            <w:vAlign w:val="center"/>
          </w:tcPr>
          <w:p w:rsidR="00D71DC6" w:rsidRPr="00B1784E" w:rsidRDefault="00D71DC6" w:rsidP="00002712">
            <w:pPr>
              <w:jc w:val="center"/>
              <w:rPr>
                <w:b/>
                <w:bCs/>
                <w:sz w:val="32"/>
                <w:szCs w:val="32"/>
              </w:rPr>
            </w:pPr>
            <w:r w:rsidRPr="00B1784E">
              <w:rPr>
                <w:b/>
                <w:bCs/>
                <w:sz w:val="32"/>
                <w:szCs w:val="32"/>
              </w:rPr>
              <w:t xml:space="preserve">Analýza </w:t>
            </w:r>
            <w:r w:rsidRPr="00964DDF">
              <w:rPr>
                <w:b/>
                <w:bCs/>
                <w:sz w:val="32"/>
                <w:szCs w:val="32"/>
              </w:rPr>
              <w:t>vplyvov na služby verejnej správy pre občana</w:t>
            </w:r>
          </w:p>
          <w:p w:rsidR="00D71DC6" w:rsidRPr="005C4B9C" w:rsidRDefault="00D71DC6" w:rsidP="00002712">
            <w:pPr>
              <w:rPr>
                <w:b/>
                <w:i/>
                <w:iCs/>
                <w:sz w:val="2"/>
                <w:szCs w:val="22"/>
              </w:rPr>
            </w:pPr>
          </w:p>
        </w:tc>
      </w:tr>
      <w:tr w:rsidR="00D71DC6" w:rsidRPr="005C4B9C" w:rsidTr="00002712">
        <w:trPr>
          <w:trHeight w:val="367"/>
        </w:trPr>
        <w:tc>
          <w:tcPr>
            <w:tcW w:w="9371" w:type="dxa"/>
            <w:shd w:val="clear" w:color="auto" w:fill="C0C0C0"/>
            <w:vAlign w:val="center"/>
          </w:tcPr>
          <w:p w:rsidR="00D71DC6" w:rsidRPr="00F5355E" w:rsidRDefault="00D71DC6" w:rsidP="00002712">
            <w:pPr>
              <w:jc w:val="center"/>
              <w:rPr>
                <w:b/>
              </w:rPr>
            </w:pPr>
            <w:r w:rsidRPr="00F5355E">
              <w:rPr>
                <w:b/>
              </w:rPr>
              <w:t xml:space="preserve">7.1 Identifikácia služby verejnej správy, ktorá je dotknutá návrhom </w:t>
            </w:r>
          </w:p>
        </w:tc>
      </w:tr>
      <w:tr w:rsidR="00D71DC6" w:rsidRPr="005C4B9C" w:rsidTr="00002712">
        <w:trPr>
          <w:trHeight w:val="316"/>
        </w:trPr>
        <w:tc>
          <w:tcPr>
            <w:tcW w:w="9371" w:type="dxa"/>
          </w:tcPr>
          <w:p w:rsidR="00D71DC6" w:rsidRPr="0001036C" w:rsidRDefault="00D71DC6" w:rsidP="00002712">
            <w:pPr>
              <w:rPr>
                <w:b/>
                <w:i/>
              </w:rPr>
            </w:pPr>
            <w:r w:rsidRPr="0001036C">
              <w:rPr>
                <w:b/>
              </w:rPr>
              <w:t>7.1.1 Predpokladá predložený návrh zmenu existujúcej služby verejnej správy alebo vytvorenie novej služby?</w:t>
            </w:r>
            <w:r w:rsidRPr="0001036C">
              <w:rPr>
                <w:i/>
              </w:rPr>
              <w:t xml:space="preserve"> 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</w:tcPr>
          <w:p w:rsidR="00D71DC6" w:rsidRPr="007B13D1" w:rsidRDefault="00D71DC6" w:rsidP="00002712">
            <w:pPr>
              <w:rPr>
                <w:b/>
                <w:i/>
                <w:sz w:val="20"/>
                <w:szCs w:val="20"/>
              </w:rPr>
            </w:pPr>
            <w:r w:rsidRPr="007B13D1">
              <w:rPr>
                <w:i/>
                <w:sz w:val="20"/>
                <w:szCs w:val="20"/>
              </w:rPr>
              <w:t xml:space="preserve">Zmena existujúcej služby (konkretizujte a popíšte) </w:t>
            </w:r>
          </w:p>
        </w:tc>
      </w:tr>
      <w:tr w:rsidR="00D71DC6" w:rsidRPr="005C4B9C" w:rsidTr="00002712">
        <w:trPr>
          <w:trHeight w:val="655"/>
        </w:trPr>
        <w:tc>
          <w:tcPr>
            <w:tcW w:w="9371" w:type="dxa"/>
          </w:tcPr>
          <w:p w:rsidR="00D71DC6" w:rsidRPr="007B13D1" w:rsidRDefault="00D71DC6" w:rsidP="00002712">
            <w:pPr>
              <w:rPr>
                <w:sz w:val="20"/>
                <w:szCs w:val="20"/>
              </w:rPr>
            </w:pPr>
            <w:r w:rsidRPr="005C0FEB">
              <w:rPr>
                <w:sz w:val="20"/>
                <w:szCs w:val="20"/>
              </w:rPr>
              <w:t>Cieľom predloženého návrhu zákona je vytvoriť predpoklady na spustenie elektronického zdravotníctva do praxe používaním elektronického dokladu pre všetkých občanov SR. Občiansky preukaz s čipom (s podobou tváre alebo bez podoby tváre) je v termíne po 31.</w:t>
            </w:r>
            <w:r>
              <w:rPr>
                <w:sz w:val="20"/>
                <w:szCs w:val="20"/>
              </w:rPr>
              <w:t xml:space="preserve"> </w:t>
            </w:r>
            <w:r w:rsidRPr="005C0FEB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 </w:t>
            </w:r>
            <w:r w:rsidRPr="005C0FEB">
              <w:rPr>
                <w:sz w:val="20"/>
                <w:szCs w:val="20"/>
              </w:rPr>
              <w:t>2021 definovaný ako jediný autentifikačný prostriedok pre umožnenie prístupu k elektronickým zdravotným záznamom z elektronickej zdravotnej knižky občana v stanovenom rozsahu podľa zákona č. 153/2013 Z. z. o národnom zdravotníckom informačnom systéme a o zmene a doplnení niektorých zákonov v znení neskorších predpisov.</w:t>
            </w:r>
          </w:p>
        </w:tc>
      </w:tr>
      <w:tr w:rsidR="00D71DC6" w:rsidRPr="005C4B9C" w:rsidTr="00002712">
        <w:trPr>
          <w:trHeight w:val="212"/>
        </w:trPr>
        <w:tc>
          <w:tcPr>
            <w:tcW w:w="9371" w:type="dxa"/>
          </w:tcPr>
          <w:p w:rsidR="00D71DC6" w:rsidRPr="007B13D1" w:rsidRDefault="00D71DC6" w:rsidP="00002712">
            <w:pPr>
              <w:rPr>
                <w:i/>
                <w:sz w:val="20"/>
                <w:szCs w:val="20"/>
              </w:rPr>
            </w:pPr>
            <w:r w:rsidRPr="007B13D1">
              <w:rPr>
                <w:i/>
                <w:sz w:val="20"/>
                <w:szCs w:val="20"/>
              </w:rPr>
              <w:t>Nová služba (konkretizujte a popíšte)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Pr="005C0FEB" w:rsidRDefault="00D71DC6" w:rsidP="00002712">
            <w:pPr>
              <w:rPr>
                <w:sz w:val="20"/>
                <w:szCs w:val="20"/>
              </w:rPr>
            </w:pPr>
            <w:r w:rsidRPr="005C0FEB">
              <w:rPr>
                <w:sz w:val="20"/>
                <w:szCs w:val="20"/>
              </w:rPr>
              <w:t xml:space="preserve">Zavedenie </w:t>
            </w:r>
            <w:r w:rsidRPr="005C0FEB">
              <w:rPr>
                <w:b/>
                <w:sz w:val="20"/>
                <w:szCs w:val="20"/>
              </w:rPr>
              <w:t>možnosti</w:t>
            </w:r>
            <w:r w:rsidRPr="005C0FEB">
              <w:rPr>
                <w:sz w:val="20"/>
                <w:szCs w:val="20"/>
              </w:rPr>
              <w:t xml:space="preserve"> požiadať o vydanie občianskeho preukazu pre osobu bez trvalého pobytu v SR. Ide o početnú skupinu občanov Slovenskej republiky s pobytom mimo jej územia, ktorí nemajú zákonnú možnosť byť držiteľom občianskeho preukazu a teda nemajú ani možnosť využívať elektronickú funkcionalitu občianskych preukazov, čo je možné v porovnaní s občanmi Slovenskej republiky s trvalým pobytom na území Slovenskej republiky považovať za diskriminačné. </w:t>
            </w:r>
          </w:p>
          <w:p w:rsidR="00D71DC6" w:rsidRPr="007B13D1" w:rsidRDefault="00D71DC6" w:rsidP="00002712">
            <w:pPr>
              <w:rPr>
                <w:sz w:val="20"/>
                <w:szCs w:val="20"/>
              </w:rPr>
            </w:pPr>
            <w:r w:rsidRPr="005C0FEB">
              <w:rPr>
                <w:sz w:val="20"/>
                <w:szCs w:val="20"/>
              </w:rPr>
              <w:t xml:space="preserve">Zavedenie </w:t>
            </w:r>
            <w:r w:rsidRPr="005C0FEB">
              <w:rPr>
                <w:b/>
                <w:sz w:val="20"/>
                <w:szCs w:val="20"/>
              </w:rPr>
              <w:t>možnosti</w:t>
            </w:r>
            <w:r w:rsidRPr="005C0FEB">
              <w:rPr>
                <w:sz w:val="20"/>
                <w:szCs w:val="20"/>
              </w:rPr>
              <w:t xml:space="preserve"> požiadať o vydanie občianskeho preukazu aj pre osobu mladšiu ako 15 rokov. Tento doklad bude možné použiť pri cestovaní v rámci Európskej únie a tiež do ďalších štátov, ktoré ho ako cestovný doklad uznávajú rovnocenne, tak ako je to u občanov starších ako 15 rokov  a tiež na prihlasovanie do elektronických služieb.</w:t>
            </w:r>
          </w:p>
        </w:tc>
      </w:tr>
      <w:tr w:rsidR="00D71DC6" w:rsidRPr="005C4B9C" w:rsidTr="00002712">
        <w:trPr>
          <w:trHeight w:val="122"/>
        </w:trPr>
        <w:tc>
          <w:tcPr>
            <w:tcW w:w="9371" w:type="dxa"/>
          </w:tcPr>
          <w:p w:rsidR="00D71DC6" w:rsidRPr="0001036C" w:rsidRDefault="00D71DC6" w:rsidP="00002712">
            <w:pPr>
              <w:rPr>
                <w:b/>
              </w:rPr>
            </w:pPr>
            <w:r w:rsidRPr="0001036C">
              <w:rPr>
                <w:b/>
              </w:rPr>
              <w:t>7.1.2 Špecifikácia služby verejnej správy, ktorá je dotknutá návrhom</w:t>
            </w:r>
          </w:p>
        </w:tc>
      </w:tr>
      <w:tr w:rsidR="00D71DC6" w:rsidRPr="005C4B9C" w:rsidTr="00002712">
        <w:trPr>
          <w:trHeight w:val="248"/>
        </w:trPr>
        <w:tc>
          <w:tcPr>
            <w:tcW w:w="9371" w:type="dxa"/>
          </w:tcPr>
          <w:p w:rsidR="00D71DC6" w:rsidRPr="007B13D1" w:rsidRDefault="00D71DC6" w:rsidP="00002712">
            <w:pPr>
              <w:rPr>
                <w:i/>
                <w:sz w:val="20"/>
                <w:szCs w:val="20"/>
              </w:rPr>
            </w:pPr>
            <w:r w:rsidRPr="007B13D1">
              <w:rPr>
                <w:i/>
                <w:sz w:val="20"/>
                <w:szCs w:val="20"/>
              </w:rPr>
              <w:t xml:space="preserve">Názov služby 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Pr="005C0FEB" w:rsidRDefault="00D71DC6" w:rsidP="00002712">
            <w:pPr>
              <w:rPr>
                <w:sz w:val="20"/>
                <w:szCs w:val="20"/>
              </w:rPr>
            </w:pPr>
            <w:r w:rsidRPr="005C0FEB">
              <w:rPr>
                <w:sz w:val="20"/>
                <w:szCs w:val="20"/>
              </w:rPr>
              <w:t xml:space="preserve">Poskytovanie prístupu k elektronickým zdravotným záznamom z elektronickej zdravotnej knižky. </w:t>
            </w:r>
          </w:p>
          <w:p w:rsidR="00D71DC6" w:rsidRPr="005C0FEB" w:rsidRDefault="00D71DC6" w:rsidP="00002712">
            <w:pPr>
              <w:rPr>
                <w:sz w:val="20"/>
                <w:szCs w:val="20"/>
              </w:rPr>
            </w:pPr>
            <w:r w:rsidRPr="005C0FEB">
              <w:rPr>
                <w:sz w:val="20"/>
                <w:szCs w:val="20"/>
              </w:rPr>
              <w:t>Zavedenie možnosti požiadať o vydanie občianskeho preukazu pre osobu bez trvalého pobytu v SR.</w:t>
            </w:r>
          </w:p>
          <w:p w:rsidR="00D71DC6" w:rsidRPr="007B13D1" w:rsidRDefault="00D71DC6" w:rsidP="00002712">
            <w:pPr>
              <w:rPr>
                <w:sz w:val="20"/>
                <w:szCs w:val="20"/>
              </w:rPr>
            </w:pPr>
            <w:r w:rsidRPr="005C0FEB">
              <w:rPr>
                <w:sz w:val="20"/>
                <w:szCs w:val="20"/>
              </w:rPr>
              <w:t>Zavedenie možnosti požiadať o vydanie občianskeho preukazu aj pre osobu mladšiu ako 15 rokov.</w:t>
            </w:r>
          </w:p>
        </w:tc>
      </w:tr>
      <w:tr w:rsidR="00D71DC6" w:rsidRPr="005C4B9C" w:rsidTr="00002712">
        <w:trPr>
          <w:trHeight w:val="248"/>
        </w:trPr>
        <w:tc>
          <w:tcPr>
            <w:tcW w:w="9371" w:type="dxa"/>
          </w:tcPr>
          <w:p w:rsidR="00D71DC6" w:rsidRPr="007B13D1" w:rsidRDefault="00D71DC6" w:rsidP="00002712">
            <w:pPr>
              <w:rPr>
                <w:b/>
                <w:i/>
                <w:sz w:val="20"/>
                <w:szCs w:val="20"/>
              </w:rPr>
            </w:pPr>
            <w:r w:rsidRPr="007B13D1">
              <w:rPr>
                <w:i/>
                <w:sz w:val="20"/>
                <w:szCs w:val="20"/>
              </w:rPr>
              <w:t>Platná právna úprava, na základe ktorej je služba poskytovaná (ak ide o zmenu existujúcej služby)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Pr="005C0FEB" w:rsidRDefault="00D71DC6" w:rsidP="00002712">
            <w:pPr>
              <w:rPr>
                <w:sz w:val="20"/>
                <w:szCs w:val="20"/>
              </w:rPr>
            </w:pPr>
            <w:r w:rsidRPr="005C0FEB">
              <w:rPr>
                <w:sz w:val="20"/>
                <w:szCs w:val="20"/>
              </w:rPr>
              <w:t>Zákon č. 153/2013 Z. z. o národnom zdravotníckom informačnom systéme a o zmene a doplnení niektorých zákonov</w:t>
            </w:r>
            <w:r>
              <w:rPr>
                <w:sz w:val="20"/>
                <w:szCs w:val="20"/>
              </w:rPr>
              <w:t xml:space="preserve"> v znení neskorších predpisov.</w:t>
            </w:r>
          </w:p>
          <w:p w:rsidR="00D71DC6" w:rsidRPr="007B13D1" w:rsidRDefault="00D71DC6" w:rsidP="00002712">
            <w:pPr>
              <w:rPr>
                <w:sz w:val="20"/>
                <w:szCs w:val="20"/>
              </w:rPr>
            </w:pPr>
            <w:r w:rsidRPr="005C0FEB">
              <w:rPr>
                <w:sz w:val="20"/>
                <w:szCs w:val="20"/>
              </w:rPr>
              <w:t>Zákon č. 224/2006 Z. z. o občianskych preukazoch a o zmene a doplnení niektorých zákonov</w:t>
            </w:r>
            <w:r>
              <w:rPr>
                <w:sz w:val="20"/>
                <w:szCs w:val="20"/>
              </w:rPr>
              <w:t xml:space="preserve"> v znení neskorších predpisov.</w:t>
            </w:r>
          </w:p>
        </w:tc>
      </w:tr>
      <w:tr w:rsidR="00D71DC6" w:rsidRPr="005C4B9C" w:rsidTr="00002712">
        <w:trPr>
          <w:trHeight w:val="220"/>
        </w:trPr>
        <w:tc>
          <w:tcPr>
            <w:tcW w:w="9371" w:type="dxa"/>
          </w:tcPr>
          <w:p w:rsidR="00D71DC6" w:rsidRPr="007B13D1" w:rsidRDefault="00D71DC6" w:rsidP="00002712">
            <w:pPr>
              <w:rPr>
                <w:b/>
                <w:i/>
                <w:sz w:val="20"/>
                <w:szCs w:val="20"/>
              </w:rPr>
            </w:pPr>
            <w:r w:rsidRPr="007B13D1">
              <w:rPr>
                <w:i/>
                <w:sz w:val="20"/>
                <w:szCs w:val="20"/>
              </w:rPr>
              <w:t xml:space="preserve">Subjekt, ktorý je na základe platnej právnej úpravy oprávnený službu poskytovať 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Default="00D71DC6" w:rsidP="0000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Okresné riaditeľstvá PZ.</w:t>
            </w:r>
          </w:p>
          <w:p w:rsidR="00D71DC6" w:rsidRDefault="00D71DC6" w:rsidP="00002712">
            <w:pPr>
              <w:rPr>
                <w:sz w:val="20"/>
                <w:szCs w:val="20"/>
              </w:rPr>
            </w:pPr>
            <w:r w:rsidRPr="007B13D1">
              <w:rPr>
                <w:sz w:val="20"/>
                <w:szCs w:val="20"/>
              </w:rPr>
              <w:t>Ministerstvo vnútra SR</w:t>
            </w:r>
            <w:r>
              <w:rPr>
                <w:sz w:val="20"/>
                <w:szCs w:val="20"/>
              </w:rPr>
              <w:t>.</w:t>
            </w:r>
          </w:p>
          <w:p w:rsidR="00D71DC6" w:rsidRPr="007B13D1" w:rsidRDefault="00D71DC6" w:rsidP="00002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zahraničných vecí a európskych záležitostí SR.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Pr="00F5355E" w:rsidRDefault="00D71DC6" w:rsidP="00002712">
            <w:pPr>
              <w:rPr>
                <w:b/>
                <w:i/>
                <w:szCs w:val="20"/>
              </w:rPr>
            </w:pPr>
            <w:r w:rsidRPr="00F5355E">
              <w:rPr>
                <w:b/>
                <w:szCs w:val="20"/>
              </w:rPr>
              <w:t xml:space="preserve">7.1.3 O aký vplyv na službu verejnej správy ide? </w:t>
            </w:r>
          </w:p>
        </w:tc>
      </w:tr>
      <w:tr w:rsidR="00D71DC6" w:rsidRPr="005C4B9C" w:rsidTr="00002712">
        <w:trPr>
          <w:trHeight w:val="256"/>
        </w:trPr>
        <w:tc>
          <w:tcPr>
            <w:tcW w:w="9371" w:type="dxa"/>
          </w:tcPr>
          <w:p w:rsidR="00D71DC6" w:rsidRPr="007B13D1" w:rsidRDefault="00D71DC6" w:rsidP="00002712">
            <w:pPr>
              <w:rPr>
                <w:b/>
                <w:i/>
                <w:sz w:val="20"/>
                <w:szCs w:val="20"/>
              </w:rPr>
            </w:pPr>
            <w:r w:rsidRPr="007B13D1">
              <w:rPr>
                <w:i/>
                <w:sz w:val="20"/>
                <w:szCs w:val="20"/>
              </w:rPr>
              <w:t xml:space="preserve">Priamy vplyv (popíšte) </w:t>
            </w:r>
          </w:p>
        </w:tc>
      </w:tr>
      <w:tr w:rsidR="00D71DC6" w:rsidRPr="005C4B9C" w:rsidTr="00002712">
        <w:trPr>
          <w:trHeight w:val="72"/>
        </w:trPr>
        <w:tc>
          <w:tcPr>
            <w:tcW w:w="9371" w:type="dxa"/>
            <w:vAlign w:val="center"/>
          </w:tcPr>
          <w:p w:rsidR="00D71DC6" w:rsidRDefault="00D71DC6" w:rsidP="00002712">
            <w:pPr>
              <w:rPr>
                <w:sz w:val="20"/>
                <w:szCs w:val="20"/>
              </w:rPr>
            </w:pPr>
            <w:r w:rsidRPr="005C0FEB">
              <w:rPr>
                <w:sz w:val="20"/>
                <w:szCs w:val="20"/>
              </w:rPr>
              <w:t>Namiesto preukazov poistenca sa začnú najneskôr od 1.</w:t>
            </w:r>
            <w:r>
              <w:rPr>
                <w:sz w:val="20"/>
                <w:szCs w:val="20"/>
              </w:rPr>
              <w:t xml:space="preserve"> </w:t>
            </w:r>
            <w:r w:rsidRPr="005C0FE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5C0FEB">
              <w:rPr>
                <w:sz w:val="20"/>
                <w:szCs w:val="20"/>
              </w:rPr>
              <w:t xml:space="preserve">2022 používať pre prístup k elektronickým zdravotným záznamom z elektronickej zdravotnej knižky v stanovenom rozsahu občianske preukazy s čipom. </w:t>
            </w:r>
          </w:p>
          <w:p w:rsidR="00D71DC6" w:rsidRDefault="00D71DC6" w:rsidP="00002712">
            <w:pPr>
              <w:rPr>
                <w:sz w:val="20"/>
                <w:szCs w:val="20"/>
              </w:rPr>
            </w:pPr>
            <w:r w:rsidRPr="005C0FEB">
              <w:rPr>
                <w:sz w:val="20"/>
                <w:szCs w:val="20"/>
              </w:rPr>
              <w:t xml:space="preserve">Začnú sa vydávať občianske preukazy aj pre občanov SR bez trvalého pobytu v SR – voliteľné. </w:t>
            </w:r>
          </w:p>
          <w:p w:rsidR="00D71DC6" w:rsidRPr="007B13D1" w:rsidRDefault="00D71DC6" w:rsidP="00002712">
            <w:pPr>
              <w:rPr>
                <w:sz w:val="20"/>
                <w:szCs w:val="20"/>
              </w:rPr>
            </w:pPr>
            <w:r w:rsidRPr="005C0FEB">
              <w:rPr>
                <w:sz w:val="20"/>
                <w:szCs w:val="20"/>
              </w:rPr>
              <w:t>Začnú sa vydávať občianske preukazy aj pre osoby mladšie ako 15 rokov – voliteľné.</w:t>
            </w:r>
          </w:p>
        </w:tc>
      </w:tr>
      <w:tr w:rsidR="00D71DC6" w:rsidRPr="005C4B9C" w:rsidTr="00002712">
        <w:trPr>
          <w:trHeight w:val="20"/>
        </w:trPr>
        <w:tc>
          <w:tcPr>
            <w:tcW w:w="9371" w:type="dxa"/>
          </w:tcPr>
          <w:p w:rsidR="00D71DC6" w:rsidRPr="007B13D1" w:rsidRDefault="00D71DC6" w:rsidP="00002712">
            <w:pPr>
              <w:rPr>
                <w:b/>
                <w:i/>
                <w:sz w:val="20"/>
                <w:szCs w:val="20"/>
              </w:rPr>
            </w:pPr>
            <w:r w:rsidRPr="007B13D1">
              <w:rPr>
                <w:i/>
                <w:sz w:val="20"/>
                <w:szCs w:val="20"/>
              </w:rPr>
              <w:t xml:space="preserve">Nepriamy vplyv (popíšte) 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</w:tcPr>
          <w:p w:rsidR="00D71DC6" w:rsidRPr="005C0FEB" w:rsidRDefault="00D71DC6" w:rsidP="00002712">
            <w:pPr>
              <w:rPr>
                <w:sz w:val="20"/>
                <w:szCs w:val="20"/>
              </w:rPr>
            </w:pPr>
            <w:r w:rsidRPr="005C0FEB">
              <w:rPr>
                <w:b/>
                <w:sz w:val="20"/>
                <w:szCs w:val="20"/>
              </w:rPr>
              <w:t>I.</w:t>
            </w:r>
            <w:r w:rsidRPr="005C0FEB">
              <w:rPr>
                <w:sz w:val="20"/>
                <w:szCs w:val="20"/>
              </w:rPr>
              <w:t xml:space="preserve"> Navrhuje sa z úradnej moci pre občanov mladších ako 15 rokov vydávať občiansky preukaz bez podoby tváre, rovnako pre občanov starších ako 65 rokov, ktorí nemajú občiansky preukaz s čipom. Obe služby budú fungovať automaticky bez potreby občana navštíviť potrebný úrad a budú priamo zaslané na adresu pobytu občana. Pozitívny efekt – úspora času, prostriedkov na dostavenie sa na príslušný úrad.</w:t>
            </w:r>
          </w:p>
          <w:p w:rsidR="00D71DC6" w:rsidRPr="005C0FEB" w:rsidRDefault="00D71DC6" w:rsidP="00002712">
            <w:pPr>
              <w:rPr>
                <w:sz w:val="20"/>
                <w:szCs w:val="20"/>
              </w:rPr>
            </w:pPr>
            <w:r w:rsidRPr="005C0FEB">
              <w:rPr>
                <w:b/>
                <w:sz w:val="20"/>
                <w:szCs w:val="20"/>
              </w:rPr>
              <w:t>II.</w:t>
            </w:r>
            <w:r w:rsidRPr="005C0FEB">
              <w:rPr>
                <w:sz w:val="20"/>
                <w:szCs w:val="20"/>
              </w:rPr>
              <w:t xml:space="preserve"> Zavedenie </w:t>
            </w:r>
            <w:r w:rsidRPr="005C0FEB">
              <w:rPr>
                <w:b/>
                <w:sz w:val="20"/>
                <w:szCs w:val="20"/>
              </w:rPr>
              <w:t>možnosti</w:t>
            </w:r>
            <w:r w:rsidRPr="005C0FEB">
              <w:rPr>
                <w:sz w:val="20"/>
                <w:szCs w:val="20"/>
              </w:rPr>
              <w:t xml:space="preserve"> požiadať o vydanie občianskeho preukazu pre osobu bez trvalého pobytu v SR – Pozitívny efekt na občanov SR žijúcich v zahraničí (cestovanie bez cestovného pasu v EÚ a ďalších štátoch, komunikácia s orgánmi verejnej moci)</w:t>
            </w:r>
            <w:r>
              <w:rPr>
                <w:sz w:val="20"/>
                <w:szCs w:val="20"/>
              </w:rPr>
              <w:t>.</w:t>
            </w:r>
          </w:p>
          <w:p w:rsidR="00D71DC6" w:rsidRPr="007B13D1" w:rsidRDefault="00D71DC6" w:rsidP="00002712">
            <w:pPr>
              <w:rPr>
                <w:sz w:val="20"/>
                <w:szCs w:val="20"/>
              </w:rPr>
            </w:pPr>
            <w:r w:rsidRPr="005C0FEB">
              <w:rPr>
                <w:b/>
                <w:sz w:val="20"/>
                <w:szCs w:val="20"/>
              </w:rPr>
              <w:lastRenderedPageBreak/>
              <w:t>III.</w:t>
            </w:r>
            <w:r w:rsidRPr="005C0FEB">
              <w:rPr>
                <w:sz w:val="20"/>
                <w:szCs w:val="20"/>
              </w:rPr>
              <w:t xml:space="preserve"> Zavedenie </w:t>
            </w:r>
            <w:r w:rsidRPr="005C0FEB">
              <w:rPr>
                <w:b/>
                <w:sz w:val="20"/>
                <w:szCs w:val="20"/>
              </w:rPr>
              <w:t>možnosti</w:t>
            </w:r>
            <w:r w:rsidRPr="005C0FEB">
              <w:rPr>
                <w:sz w:val="20"/>
                <w:szCs w:val="20"/>
              </w:rPr>
              <w:t xml:space="preserve"> požiadať o vydanie občianskeho preukazu aj pre osobu mladšiu ako 15 rokov – Pozitívny efekt (cestovanie bez cestovného pasu v EÚ a ďalších krajinách, ďalšie využitie napr. v školách e-learning a pod.)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71DC6" w:rsidRDefault="00D71DC6" w:rsidP="00D71DC6"/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D71DC6" w:rsidRPr="005C4B9C" w:rsidTr="00002712">
        <w:trPr>
          <w:trHeight w:val="20"/>
        </w:trPr>
        <w:tc>
          <w:tcPr>
            <w:tcW w:w="9371" w:type="dxa"/>
            <w:shd w:val="clear" w:color="auto" w:fill="C0C0C0"/>
            <w:vAlign w:val="center"/>
          </w:tcPr>
          <w:p w:rsidR="00D71DC6" w:rsidRPr="0001036C" w:rsidRDefault="00D71DC6" w:rsidP="00002712">
            <w:pPr>
              <w:jc w:val="center"/>
              <w:rPr>
                <w:b/>
              </w:rPr>
            </w:pPr>
            <w:r w:rsidRPr="0001036C">
              <w:rPr>
                <w:b/>
              </w:rPr>
              <w:t>7.2 Vplyv služieb verejnej správy na občana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Pr="0001036C" w:rsidRDefault="00D71DC6" w:rsidP="00002712">
            <w:pPr>
              <w:rPr>
                <w:b/>
              </w:rPr>
            </w:pPr>
            <w:r w:rsidRPr="0001036C">
              <w:rPr>
                <w:b/>
              </w:rPr>
              <w:t xml:space="preserve">7.2.1 Náklady </w:t>
            </w:r>
          </w:p>
        </w:tc>
      </w:tr>
      <w:tr w:rsidR="00D71DC6" w:rsidRPr="005C4B9C" w:rsidTr="00002712">
        <w:trPr>
          <w:trHeight w:val="226"/>
        </w:trPr>
        <w:tc>
          <w:tcPr>
            <w:tcW w:w="9371" w:type="dxa"/>
            <w:vAlign w:val="center"/>
          </w:tcPr>
          <w:p w:rsidR="00D71DC6" w:rsidRPr="007B13D1" w:rsidRDefault="00D71DC6" w:rsidP="00002712">
            <w:pPr>
              <w:rPr>
                <w:b/>
                <w:sz w:val="20"/>
                <w:szCs w:val="20"/>
              </w:rPr>
            </w:pPr>
            <w:r w:rsidRPr="007B13D1">
              <w:rPr>
                <w:i/>
                <w:sz w:val="20"/>
                <w:szCs w:val="20"/>
              </w:rPr>
              <w:t xml:space="preserve">Zníženie priamych finančných nákladov 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Pr="00AD3342" w:rsidRDefault="00D71DC6" w:rsidP="00002712">
            <w:pPr>
              <w:rPr>
                <w:sz w:val="20"/>
                <w:szCs w:val="20"/>
              </w:rPr>
            </w:pPr>
            <w:r w:rsidRPr="00847BCD">
              <w:rPr>
                <w:b/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AD3342">
              <w:rPr>
                <w:sz w:val="20"/>
                <w:szCs w:val="20"/>
              </w:rPr>
              <w:t>Nemá vplyv</w:t>
            </w:r>
            <w:r>
              <w:rPr>
                <w:sz w:val="20"/>
                <w:szCs w:val="20"/>
              </w:rPr>
              <w:t>.</w:t>
            </w:r>
          </w:p>
          <w:p w:rsidR="00D71DC6" w:rsidRPr="00AD3342" w:rsidRDefault="00D71DC6" w:rsidP="00002712">
            <w:pPr>
              <w:rPr>
                <w:sz w:val="20"/>
                <w:szCs w:val="20"/>
              </w:rPr>
            </w:pPr>
            <w:r w:rsidRPr="00847BCD">
              <w:rPr>
                <w:b/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Pr="00AD3342">
              <w:rPr>
                <w:sz w:val="20"/>
                <w:szCs w:val="20"/>
              </w:rPr>
              <w:t>Zníženie poplatkov oproti poplatku za vydanie cestovného pasu pre občanov SR, ktorí nemajú trvalý pobyt na území SR a tak nemôžu mať občiansky preukaz – cca 45</w:t>
            </w:r>
            <w:r>
              <w:rPr>
                <w:sz w:val="20"/>
                <w:szCs w:val="20"/>
              </w:rPr>
              <w:t>.</w:t>
            </w:r>
            <w:r w:rsidRPr="00AD3342">
              <w:rPr>
                <w:sz w:val="20"/>
                <w:szCs w:val="20"/>
              </w:rPr>
              <w:t>400 osôb – rozdiel poplatku cestovný pas-občiansky preukaz (33</w:t>
            </w:r>
            <w:r>
              <w:rPr>
                <w:sz w:val="20"/>
                <w:szCs w:val="20"/>
              </w:rPr>
              <w:t xml:space="preserve"> </w:t>
            </w:r>
            <w:r w:rsidRPr="00AD3342">
              <w:rPr>
                <w:sz w:val="20"/>
                <w:szCs w:val="20"/>
              </w:rPr>
              <w:t>€ - 4,50</w:t>
            </w:r>
            <w:r>
              <w:rPr>
                <w:sz w:val="20"/>
                <w:szCs w:val="20"/>
              </w:rPr>
              <w:t xml:space="preserve"> </w:t>
            </w:r>
            <w:r w:rsidRPr="00AD3342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 xml:space="preserve"> </w:t>
            </w:r>
            <w:r w:rsidRPr="00AD3342">
              <w:rPr>
                <w:sz w:val="20"/>
                <w:szCs w:val="20"/>
              </w:rPr>
              <w:t xml:space="preserve">= </w:t>
            </w:r>
            <w:r w:rsidRPr="00AD3342">
              <w:rPr>
                <w:b/>
                <w:sz w:val="20"/>
                <w:szCs w:val="20"/>
              </w:rPr>
              <w:t>-28,50 €/osoba</w:t>
            </w:r>
            <w:r>
              <w:rPr>
                <w:sz w:val="20"/>
                <w:szCs w:val="20"/>
              </w:rPr>
              <w:t>).</w:t>
            </w:r>
          </w:p>
          <w:p w:rsidR="00D71DC6" w:rsidRPr="007B13D1" w:rsidRDefault="00D71DC6" w:rsidP="00002712">
            <w:pPr>
              <w:rPr>
                <w:sz w:val="20"/>
                <w:szCs w:val="20"/>
              </w:rPr>
            </w:pPr>
            <w:r w:rsidRPr="00847BCD">
              <w:rPr>
                <w:b/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 xml:space="preserve"> </w:t>
            </w:r>
            <w:r w:rsidRPr="00AD3342">
              <w:rPr>
                <w:sz w:val="20"/>
                <w:szCs w:val="20"/>
              </w:rPr>
              <w:t>Zníženie poplatkov oproti poplatku za vydanie cestovného pasu pre osoby mladšie ako 15 rokov</w:t>
            </w:r>
            <w:r>
              <w:rPr>
                <w:sz w:val="20"/>
                <w:szCs w:val="20"/>
              </w:rPr>
              <w:t xml:space="preserve"> – </w:t>
            </w:r>
            <w:r w:rsidRPr="00AD3342">
              <w:rPr>
                <w:sz w:val="20"/>
                <w:szCs w:val="20"/>
              </w:rPr>
              <w:t>cca 855</w:t>
            </w:r>
            <w:r>
              <w:rPr>
                <w:sz w:val="20"/>
                <w:szCs w:val="20"/>
              </w:rPr>
              <w:t>.</w:t>
            </w:r>
            <w:r w:rsidRPr="00AD3342">
              <w:rPr>
                <w:sz w:val="20"/>
                <w:szCs w:val="20"/>
              </w:rPr>
              <w:t>000 osôb – rozdiel poplatku cestovný pas-občiansky preukaz (8</w:t>
            </w:r>
            <w:r>
              <w:rPr>
                <w:sz w:val="20"/>
                <w:szCs w:val="20"/>
              </w:rPr>
              <w:t xml:space="preserve"> </w:t>
            </w:r>
            <w:r w:rsidRPr="00AD3342">
              <w:rPr>
                <w:sz w:val="20"/>
                <w:szCs w:val="20"/>
              </w:rPr>
              <w:t>€ - 4,50</w:t>
            </w:r>
            <w:r>
              <w:rPr>
                <w:sz w:val="20"/>
                <w:szCs w:val="20"/>
              </w:rPr>
              <w:t xml:space="preserve"> </w:t>
            </w:r>
            <w:r w:rsidRPr="00AD3342">
              <w:rPr>
                <w:sz w:val="20"/>
                <w:szCs w:val="20"/>
              </w:rPr>
              <w:t xml:space="preserve">€ = </w:t>
            </w:r>
            <w:r w:rsidRPr="00AD3342">
              <w:rPr>
                <w:b/>
                <w:sz w:val="20"/>
                <w:szCs w:val="20"/>
              </w:rPr>
              <w:t>-3,50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3342">
              <w:rPr>
                <w:b/>
                <w:sz w:val="20"/>
                <w:szCs w:val="20"/>
              </w:rPr>
              <w:t>€/osoba</w:t>
            </w:r>
            <w:r w:rsidRPr="00AD3342">
              <w:rPr>
                <w:sz w:val="20"/>
                <w:szCs w:val="20"/>
              </w:rPr>
              <w:t xml:space="preserve"> do veku 6 rokov a</w:t>
            </w:r>
            <w:r>
              <w:rPr>
                <w:sz w:val="20"/>
                <w:szCs w:val="20"/>
              </w:rPr>
              <w:t> </w:t>
            </w:r>
            <w:r w:rsidRPr="00AD334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AD3342">
              <w:rPr>
                <w:sz w:val="20"/>
                <w:szCs w:val="20"/>
              </w:rPr>
              <w:t>€ - 4,50</w:t>
            </w:r>
            <w:r>
              <w:rPr>
                <w:sz w:val="20"/>
                <w:szCs w:val="20"/>
              </w:rPr>
              <w:t xml:space="preserve"> </w:t>
            </w:r>
            <w:r w:rsidRPr="00AD3342">
              <w:rPr>
                <w:sz w:val="20"/>
                <w:szCs w:val="20"/>
              </w:rPr>
              <w:t xml:space="preserve">€ = </w:t>
            </w:r>
            <w:r w:rsidRPr="00AD3342">
              <w:rPr>
                <w:b/>
                <w:sz w:val="20"/>
                <w:szCs w:val="20"/>
              </w:rPr>
              <w:t>-8,50 €/osoba</w:t>
            </w:r>
            <w:r w:rsidRPr="00AD3342">
              <w:rPr>
                <w:sz w:val="20"/>
                <w:szCs w:val="20"/>
              </w:rPr>
              <w:t xml:space="preserve"> od veku 6 rokov do veku 15 rokov</w:t>
            </w:r>
            <w:r>
              <w:rPr>
                <w:sz w:val="20"/>
                <w:szCs w:val="20"/>
              </w:rPr>
              <w:t>.</w:t>
            </w:r>
          </w:p>
        </w:tc>
      </w:tr>
      <w:tr w:rsidR="00D71DC6" w:rsidRPr="005C4B9C" w:rsidTr="00002712">
        <w:trPr>
          <w:trHeight w:val="294"/>
        </w:trPr>
        <w:tc>
          <w:tcPr>
            <w:tcW w:w="9371" w:type="dxa"/>
            <w:vAlign w:val="center"/>
          </w:tcPr>
          <w:p w:rsidR="00D71DC6" w:rsidRPr="007B13D1" w:rsidRDefault="00D71DC6" w:rsidP="00002712">
            <w:pPr>
              <w:rPr>
                <w:i/>
                <w:sz w:val="20"/>
                <w:szCs w:val="20"/>
              </w:rPr>
            </w:pPr>
            <w:r w:rsidRPr="007B13D1">
              <w:rPr>
                <w:i/>
                <w:sz w:val="20"/>
                <w:szCs w:val="20"/>
              </w:rPr>
              <w:t>Zvýšenie priamych finančných nákladov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Pr="00847BCD" w:rsidRDefault="00D71DC6" w:rsidP="00002712">
            <w:pPr>
              <w:rPr>
                <w:sz w:val="20"/>
                <w:szCs w:val="20"/>
              </w:rPr>
            </w:pPr>
            <w:r w:rsidRPr="00847BCD">
              <w:rPr>
                <w:b/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847BCD">
              <w:rPr>
                <w:sz w:val="20"/>
                <w:szCs w:val="20"/>
              </w:rPr>
              <w:t>Nemá vplyv</w:t>
            </w:r>
            <w:r>
              <w:rPr>
                <w:sz w:val="20"/>
                <w:szCs w:val="20"/>
              </w:rPr>
              <w:t>.</w:t>
            </w:r>
          </w:p>
          <w:p w:rsidR="00D71DC6" w:rsidRPr="00847BCD" w:rsidRDefault="00D71DC6" w:rsidP="00002712">
            <w:pPr>
              <w:rPr>
                <w:sz w:val="20"/>
                <w:szCs w:val="20"/>
              </w:rPr>
            </w:pPr>
            <w:r w:rsidRPr="00847BCD">
              <w:rPr>
                <w:b/>
                <w:sz w:val="20"/>
                <w:szCs w:val="20"/>
              </w:rPr>
              <w:t>II.</w:t>
            </w:r>
            <w:r w:rsidRPr="00847BCD">
              <w:rPr>
                <w:sz w:val="20"/>
                <w:szCs w:val="20"/>
              </w:rPr>
              <w:t xml:space="preserve"> Zaplatenie správneho poplatku: 4,50</w:t>
            </w:r>
            <w:r>
              <w:rPr>
                <w:sz w:val="20"/>
                <w:szCs w:val="20"/>
              </w:rPr>
              <w:t xml:space="preserve"> </w:t>
            </w:r>
            <w:r w:rsidRPr="00847BCD">
              <w:rPr>
                <w:sz w:val="20"/>
                <w:szCs w:val="20"/>
              </w:rPr>
              <w:t>€/osoba za podanie žiadosti o občiansky preukaz; v porovnaní s poplatkom za vydanie cestovného pasu (33</w:t>
            </w:r>
            <w:r>
              <w:rPr>
                <w:sz w:val="20"/>
                <w:szCs w:val="20"/>
              </w:rPr>
              <w:t xml:space="preserve"> </w:t>
            </w:r>
            <w:r w:rsidRPr="00847BCD">
              <w:rPr>
                <w:sz w:val="20"/>
                <w:szCs w:val="20"/>
              </w:rPr>
              <w:t>€) viď predchádzajúci text zníženie priamych finančných nákladov</w:t>
            </w:r>
          </w:p>
          <w:p w:rsidR="00D71DC6" w:rsidRPr="007B13D1" w:rsidRDefault="00D71DC6" w:rsidP="00002712">
            <w:pPr>
              <w:rPr>
                <w:i/>
                <w:sz w:val="20"/>
                <w:szCs w:val="20"/>
              </w:rPr>
            </w:pPr>
            <w:r w:rsidRPr="00847BCD">
              <w:rPr>
                <w:b/>
                <w:sz w:val="20"/>
                <w:szCs w:val="20"/>
              </w:rPr>
              <w:t>III.</w:t>
            </w:r>
            <w:r w:rsidRPr="00847BCD">
              <w:rPr>
                <w:sz w:val="20"/>
                <w:szCs w:val="20"/>
              </w:rPr>
              <w:t xml:space="preserve"> Zaplatenie správneho poplatku: 4,50</w:t>
            </w:r>
            <w:r>
              <w:rPr>
                <w:sz w:val="20"/>
                <w:szCs w:val="20"/>
              </w:rPr>
              <w:t xml:space="preserve"> </w:t>
            </w:r>
            <w:r w:rsidRPr="00847BCD">
              <w:rPr>
                <w:sz w:val="20"/>
                <w:szCs w:val="20"/>
              </w:rPr>
              <w:t>€/osoba za podanie žiadosti o vydanie občianskeho preukazu; v porovnaní s poplatkami za vydanie cestovného pasu (13</w:t>
            </w:r>
            <w:r>
              <w:rPr>
                <w:sz w:val="20"/>
                <w:szCs w:val="20"/>
              </w:rPr>
              <w:t xml:space="preserve"> </w:t>
            </w:r>
            <w:r w:rsidRPr="00847BCD">
              <w:rPr>
                <w:sz w:val="20"/>
                <w:szCs w:val="20"/>
              </w:rPr>
              <w:t>€ a</w:t>
            </w:r>
            <w:r>
              <w:rPr>
                <w:sz w:val="20"/>
                <w:szCs w:val="20"/>
              </w:rPr>
              <w:t> </w:t>
            </w:r>
            <w:r w:rsidRPr="00847BC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847BCD">
              <w:rPr>
                <w:sz w:val="20"/>
                <w:szCs w:val="20"/>
              </w:rPr>
              <w:t xml:space="preserve">€) viď predchádzajúci text </w:t>
            </w:r>
            <w:r>
              <w:rPr>
                <w:sz w:val="20"/>
                <w:szCs w:val="20"/>
              </w:rPr>
              <w:t>Z</w:t>
            </w:r>
            <w:r w:rsidRPr="00847BCD">
              <w:rPr>
                <w:sz w:val="20"/>
                <w:szCs w:val="20"/>
              </w:rPr>
              <w:t>níženie priamych finančných nákladov</w:t>
            </w:r>
          </w:p>
        </w:tc>
      </w:tr>
      <w:tr w:rsidR="00D71DC6" w:rsidRPr="005C4B9C" w:rsidTr="00002712">
        <w:trPr>
          <w:trHeight w:val="214"/>
        </w:trPr>
        <w:tc>
          <w:tcPr>
            <w:tcW w:w="9371" w:type="dxa"/>
            <w:vAlign w:val="center"/>
          </w:tcPr>
          <w:p w:rsidR="00D71DC6" w:rsidRPr="007B13D1" w:rsidRDefault="00D71DC6" w:rsidP="00002712">
            <w:pPr>
              <w:rPr>
                <w:i/>
                <w:sz w:val="20"/>
                <w:szCs w:val="20"/>
              </w:rPr>
            </w:pPr>
            <w:r w:rsidRPr="007B13D1">
              <w:rPr>
                <w:i/>
                <w:sz w:val="20"/>
                <w:szCs w:val="20"/>
              </w:rPr>
              <w:t>Zníženie nepriamych finančných nákladov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Pr="007B13D1" w:rsidRDefault="00D71DC6" w:rsidP="0000271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Bez vplyvu.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Pr="007B13D1" w:rsidRDefault="00D71DC6" w:rsidP="00002712">
            <w:pPr>
              <w:rPr>
                <w:i/>
                <w:sz w:val="20"/>
                <w:szCs w:val="20"/>
              </w:rPr>
            </w:pPr>
            <w:r w:rsidRPr="007B13D1">
              <w:rPr>
                <w:i/>
                <w:sz w:val="20"/>
                <w:szCs w:val="20"/>
              </w:rPr>
              <w:t>Zvýšenie nepriamych finančných nákladov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Pr="00847BCD" w:rsidRDefault="00D71DC6" w:rsidP="00002712">
            <w:pPr>
              <w:rPr>
                <w:sz w:val="20"/>
                <w:szCs w:val="20"/>
              </w:rPr>
            </w:pPr>
            <w:r w:rsidRPr="00847BCD">
              <w:rPr>
                <w:b/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847BCD">
              <w:rPr>
                <w:sz w:val="20"/>
                <w:szCs w:val="20"/>
              </w:rPr>
              <w:t>Nemá vplyv</w:t>
            </w:r>
            <w:r>
              <w:rPr>
                <w:sz w:val="20"/>
                <w:szCs w:val="20"/>
              </w:rPr>
              <w:t>.</w:t>
            </w:r>
          </w:p>
          <w:p w:rsidR="00D71DC6" w:rsidRPr="00847BCD" w:rsidRDefault="00D71DC6" w:rsidP="00002712">
            <w:pPr>
              <w:rPr>
                <w:sz w:val="20"/>
                <w:szCs w:val="20"/>
              </w:rPr>
            </w:pPr>
            <w:r w:rsidRPr="00847BCD">
              <w:rPr>
                <w:b/>
                <w:sz w:val="20"/>
                <w:szCs w:val="20"/>
              </w:rPr>
              <w:t>II.</w:t>
            </w:r>
            <w:r w:rsidRPr="00847B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Náklady potrebné na dostavenie sa na úrad.</w:t>
            </w:r>
          </w:p>
          <w:p w:rsidR="00D71DC6" w:rsidRPr="007B13D1" w:rsidRDefault="00D71DC6" w:rsidP="00002712">
            <w:pPr>
              <w:rPr>
                <w:i/>
                <w:sz w:val="20"/>
                <w:szCs w:val="20"/>
              </w:rPr>
            </w:pPr>
            <w:r w:rsidRPr="00847BCD">
              <w:rPr>
                <w:b/>
                <w:sz w:val="20"/>
                <w:szCs w:val="20"/>
              </w:rPr>
              <w:t>III.</w:t>
            </w:r>
            <w:r w:rsidRPr="00847B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Náklady potrebné na dostavenie sa na úrad.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Pr="0001036C" w:rsidRDefault="00D71DC6" w:rsidP="00002712">
            <w:pPr>
              <w:rPr>
                <w:i/>
                <w:iCs/>
              </w:rPr>
            </w:pPr>
            <w:r w:rsidRPr="0001036C">
              <w:rPr>
                <w:b/>
              </w:rPr>
              <w:t xml:space="preserve">7.2.2 Časový vplyv </w:t>
            </w:r>
          </w:p>
        </w:tc>
      </w:tr>
      <w:tr w:rsidR="00D71DC6" w:rsidRPr="005C4B9C" w:rsidTr="00002712">
        <w:trPr>
          <w:trHeight w:val="20"/>
        </w:trPr>
        <w:tc>
          <w:tcPr>
            <w:tcW w:w="9371" w:type="dxa"/>
            <w:vAlign w:val="center"/>
          </w:tcPr>
          <w:p w:rsidR="00D71DC6" w:rsidRPr="007B13D1" w:rsidRDefault="00D71DC6" w:rsidP="00002712">
            <w:pPr>
              <w:rPr>
                <w:b/>
                <w:sz w:val="20"/>
                <w:szCs w:val="20"/>
              </w:rPr>
            </w:pPr>
            <w:r w:rsidRPr="007B13D1">
              <w:rPr>
                <w:i/>
                <w:sz w:val="20"/>
                <w:szCs w:val="20"/>
              </w:rPr>
              <w:t>Zvýšenie času vybavenia požiadavky (popíšte)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Pr="007B13D1" w:rsidRDefault="00D71DC6" w:rsidP="0000271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Bez vplyvu.</w:t>
            </w:r>
          </w:p>
        </w:tc>
      </w:tr>
      <w:tr w:rsidR="00D71DC6" w:rsidRPr="005C4B9C" w:rsidTr="00002712">
        <w:trPr>
          <w:trHeight w:val="20"/>
        </w:trPr>
        <w:tc>
          <w:tcPr>
            <w:tcW w:w="9371" w:type="dxa"/>
            <w:vAlign w:val="center"/>
          </w:tcPr>
          <w:p w:rsidR="00D71DC6" w:rsidRPr="007B13D1" w:rsidRDefault="00D71DC6" w:rsidP="00002712">
            <w:pPr>
              <w:rPr>
                <w:b/>
                <w:sz w:val="20"/>
                <w:szCs w:val="20"/>
              </w:rPr>
            </w:pPr>
            <w:r w:rsidRPr="007B13D1">
              <w:rPr>
                <w:i/>
                <w:sz w:val="20"/>
                <w:szCs w:val="20"/>
              </w:rPr>
              <w:t>Zníženie času  vybavenia požiadavky (popíšte)</w:t>
            </w:r>
          </w:p>
        </w:tc>
      </w:tr>
      <w:tr w:rsidR="00D71DC6" w:rsidRPr="005C4B9C" w:rsidTr="00002712">
        <w:trPr>
          <w:trHeight w:val="397"/>
        </w:trPr>
        <w:tc>
          <w:tcPr>
            <w:tcW w:w="9371" w:type="dxa"/>
            <w:vAlign w:val="center"/>
          </w:tcPr>
          <w:p w:rsidR="00D71DC6" w:rsidRPr="007B13D1" w:rsidRDefault="00D71DC6" w:rsidP="00002712">
            <w:pPr>
              <w:rPr>
                <w:b/>
                <w:sz w:val="20"/>
                <w:szCs w:val="20"/>
              </w:rPr>
            </w:pPr>
            <w:r w:rsidRPr="00847BCD">
              <w:rPr>
                <w:sz w:val="20"/>
                <w:szCs w:val="20"/>
              </w:rPr>
              <w:t>Z časového pohľadu ide v prípade vydávania občianskych preukazov bez podoby tváre o pozitívny efekt, nakoľko nie je potrebné dostaviť sa na príslušný úrad, ale bude vydaný automaticky na základe údajov z príslušného informačného systému MV SR</w:t>
            </w:r>
            <w:r>
              <w:rPr>
                <w:sz w:val="20"/>
                <w:szCs w:val="20"/>
              </w:rPr>
              <w:t>.</w:t>
            </w:r>
          </w:p>
        </w:tc>
      </w:tr>
      <w:tr w:rsidR="00D71DC6" w:rsidRPr="005C4B9C" w:rsidTr="00002712">
        <w:trPr>
          <w:trHeight w:val="328"/>
        </w:trPr>
        <w:tc>
          <w:tcPr>
            <w:tcW w:w="9371" w:type="dxa"/>
          </w:tcPr>
          <w:p w:rsidR="00D71DC6" w:rsidRPr="0001036C" w:rsidRDefault="00D71DC6" w:rsidP="00002712">
            <w:pPr>
              <w:rPr>
                <w:b/>
              </w:rPr>
            </w:pPr>
            <w:r w:rsidRPr="0001036C">
              <w:rPr>
                <w:b/>
              </w:rPr>
              <w:t xml:space="preserve">7.2.3 Ktorá skupina občanov bude predloženým návrhom ovplyvnená? </w:t>
            </w:r>
          </w:p>
          <w:p w:rsidR="00D71DC6" w:rsidRPr="007B13D1" w:rsidRDefault="00D71DC6" w:rsidP="00002712">
            <w:pPr>
              <w:rPr>
                <w:i/>
                <w:iCs/>
                <w:sz w:val="20"/>
                <w:szCs w:val="20"/>
              </w:rPr>
            </w:pPr>
            <w:r w:rsidRPr="007B13D1">
              <w:rPr>
                <w:i/>
                <w:iCs/>
                <w:sz w:val="20"/>
                <w:szCs w:val="20"/>
              </w:rPr>
              <w:t>Špecifikujte skupinu občanov, ktorá bude návrhom ovplyvnená (napr. držitelia vodičských oprávnení). Aká je  veľkosť tejto skupiny?</w:t>
            </w:r>
          </w:p>
        </w:tc>
      </w:tr>
      <w:tr w:rsidR="00D71DC6" w:rsidRPr="005C4B9C" w:rsidTr="00002712">
        <w:trPr>
          <w:trHeight w:val="487"/>
        </w:trPr>
        <w:tc>
          <w:tcPr>
            <w:tcW w:w="9371" w:type="dxa"/>
          </w:tcPr>
          <w:p w:rsidR="00D71DC6" w:rsidRPr="00847BCD" w:rsidRDefault="00D71DC6" w:rsidP="00002712">
            <w:pPr>
              <w:rPr>
                <w:iCs/>
                <w:sz w:val="20"/>
                <w:szCs w:val="20"/>
              </w:rPr>
            </w:pPr>
            <w:r w:rsidRPr="00847BCD">
              <w:rPr>
                <w:iCs/>
                <w:sz w:val="20"/>
                <w:szCs w:val="20"/>
              </w:rPr>
              <w:t>• Občania mladší ako 15 rokov s trvalým pobytom v SR – cca 890</w:t>
            </w:r>
            <w:r>
              <w:rPr>
                <w:iCs/>
                <w:sz w:val="20"/>
                <w:szCs w:val="20"/>
              </w:rPr>
              <w:t>.</w:t>
            </w:r>
            <w:r w:rsidRPr="00847BCD">
              <w:rPr>
                <w:iCs/>
                <w:sz w:val="20"/>
                <w:szCs w:val="20"/>
              </w:rPr>
              <w:t>000</w:t>
            </w:r>
          </w:p>
          <w:p w:rsidR="00D71DC6" w:rsidRPr="00847BCD" w:rsidRDefault="00D71DC6" w:rsidP="00002712">
            <w:pPr>
              <w:rPr>
                <w:iCs/>
                <w:sz w:val="20"/>
                <w:szCs w:val="20"/>
              </w:rPr>
            </w:pPr>
            <w:r w:rsidRPr="00847BCD">
              <w:rPr>
                <w:iCs/>
                <w:sz w:val="20"/>
                <w:szCs w:val="20"/>
              </w:rPr>
              <w:t>• Občania starší ako 65 rokov s trvalým pobytom v SR, ktorí nemajú občiansky preukaz s čipom – cca 530</w:t>
            </w:r>
            <w:r>
              <w:rPr>
                <w:iCs/>
                <w:sz w:val="20"/>
                <w:szCs w:val="20"/>
              </w:rPr>
              <w:t>.</w:t>
            </w:r>
            <w:r w:rsidRPr="00847BCD">
              <w:rPr>
                <w:iCs/>
                <w:sz w:val="20"/>
                <w:szCs w:val="20"/>
              </w:rPr>
              <w:t>000</w:t>
            </w:r>
          </w:p>
          <w:p w:rsidR="00D71DC6" w:rsidRPr="0001036C" w:rsidRDefault="00D71DC6" w:rsidP="00002712">
            <w:pPr>
              <w:rPr>
                <w:iCs/>
              </w:rPr>
            </w:pPr>
            <w:r w:rsidRPr="00847BCD">
              <w:rPr>
                <w:iCs/>
                <w:sz w:val="20"/>
                <w:szCs w:val="20"/>
              </w:rPr>
              <w:t>• Občania bez trvalého pobytu v SR (teda bez občianskeho preukazu) – cca 700</w:t>
            </w:r>
            <w:r>
              <w:rPr>
                <w:iCs/>
                <w:sz w:val="20"/>
                <w:szCs w:val="20"/>
              </w:rPr>
              <w:t>.</w:t>
            </w:r>
            <w:r w:rsidRPr="00847BCD">
              <w:rPr>
                <w:iCs/>
                <w:sz w:val="20"/>
                <w:szCs w:val="20"/>
              </w:rPr>
              <w:t>000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</w:tcPr>
          <w:p w:rsidR="00D71DC6" w:rsidRPr="0001036C" w:rsidRDefault="00D71DC6" w:rsidP="00002712">
            <w:pPr>
              <w:rPr>
                <w:i/>
                <w:iCs/>
              </w:rPr>
            </w:pPr>
            <w:r w:rsidRPr="0001036C">
              <w:rPr>
                <w:b/>
              </w:rPr>
              <w:t xml:space="preserve">7.2.4 Vyplývajú z návrhu pre občana pri vybavení svojej požiadavky nové povinnosti alebo zanikajú už existujúce povinnosti?  </w:t>
            </w:r>
          </w:p>
        </w:tc>
      </w:tr>
      <w:tr w:rsidR="00D71DC6" w:rsidRPr="005C4B9C" w:rsidTr="00002712">
        <w:trPr>
          <w:trHeight w:val="20"/>
        </w:trPr>
        <w:tc>
          <w:tcPr>
            <w:tcW w:w="9371" w:type="dxa"/>
          </w:tcPr>
          <w:p w:rsidR="00D71DC6" w:rsidRPr="007B13D1" w:rsidRDefault="00D71DC6" w:rsidP="00002712">
            <w:pPr>
              <w:rPr>
                <w:i/>
                <w:iCs/>
                <w:sz w:val="20"/>
                <w:szCs w:val="20"/>
              </w:rPr>
            </w:pPr>
            <w:r w:rsidRPr="007B13D1">
              <w:rPr>
                <w:i/>
                <w:iCs/>
                <w:sz w:val="20"/>
                <w:szCs w:val="20"/>
              </w:rPr>
              <w:t xml:space="preserve">Nové povinnosti (identifikujte) 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Pr="004C138F" w:rsidRDefault="00D71DC6" w:rsidP="00002712">
            <w:pPr>
              <w:rPr>
                <w:sz w:val="20"/>
                <w:szCs w:val="20"/>
              </w:rPr>
            </w:pPr>
            <w:r w:rsidRPr="004C138F">
              <w:rPr>
                <w:b/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4C138F">
              <w:rPr>
                <w:sz w:val="20"/>
                <w:szCs w:val="20"/>
              </w:rPr>
              <w:t>Žiadne</w:t>
            </w:r>
            <w:r>
              <w:rPr>
                <w:sz w:val="20"/>
                <w:szCs w:val="20"/>
              </w:rPr>
              <w:t>.</w:t>
            </w:r>
          </w:p>
          <w:p w:rsidR="00D71DC6" w:rsidRPr="004C138F" w:rsidRDefault="00D71DC6" w:rsidP="00002712">
            <w:pPr>
              <w:rPr>
                <w:sz w:val="20"/>
                <w:szCs w:val="20"/>
              </w:rPr>
            </w:pPr>
            <w:r w:rsidRPr="004C138F">
              <w:rPr>
                <w:b/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Pr="004C138F">
              <w:rPr>
                <w:sz w:val="20"/>
                <w:szCs w:val="20"/>
              </w:rPr>
              <w:t>Predloženie potrebných dokumentov k žiadosti o</w:t>
            </w:r>
            <w:r>
              <w:rPr>
                <w:sz w:val="20"/>
                <w:szCs w:val="20"/>
              </w:rPr>
              <w:t> </w:t>
            </w:r>
            <w:r w:rsidRPr="004C138F">
              <w:rPr>
                <w:sz w:val="20"/>
                <w:szCs w:val="20"/>
              </w:rPr>
              <w:t>vydanie</w:t>
            </w:r>
            <w:r>
              <w:rPr>
                <w:sz w:val="20"/>
                <w:szCs w:val="20"/>
              </w:rPr>
              <w:t>.</w:t>
            </w:r>
          </w:p>
          <w:p w:rsidR="00D71DC6" w:rsidRPr="007B13D1" w:rsidRDefault="00D71DC6" w:rsidP="00002712">
            <w:pPr>
              <w:rPr>
                <w:i/>
                <w:iCs/>
                <w:sz w:val="20"/>
                <w:szCs w:val="20"/>
              </w:rPr>
            </w:pPr>
            <w:r w:rsidRPr="004C138F">
              <w:rPr>
                <w:b/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 xml:space="preserve"> </w:t>
            </w:r>
            <w:r w:rsidRPr="004C138F">
              <w:rPr>
                <w:sz w:val="20"/>
                <w:szCs w:val="20"/>
              </w:rPr>
              <w:t>Predloženie potrebných dokumentov k žiadosti o</w:t>
            </w:r>
            <w:r>
              <w:rPr>
                <w:sz w:val="20"/>
                <w:szCs w:val="20"/>
              </w:rPr>
              <w:t> </w:t>
            </w:r>
            <w:r w:rsidRPr="004C138F">
              <w:rPr>
                <w:sz w:val="20"/>
                <w:szCs w:val="20"/>
              </w:rPr>
              <w:t>vydanie</w:t>
            </w:r>
            <w:r>
              <w:rPr>
                <w:sz w:val="20"/>
                <w:szCs w:val="20"/>
              </w:rPr>
              <w:t>.</w:t>
            </w:r>
          </w:p>
        </w:tc>
      </w:tr>
      <w:tr w:rsidR="00D71DC6" w:rsidRPr="005C4B9C" w:rsidTr="00002712">
        <w:trPr>
          <w:trHeight w:val="20"/>
        </w:trPr>
        <w:tc>
          <w:tcPr>
            <w:tcW w:w="9371" w:type="dxa"/>
          </w:tcPr>
          <w:p w:rsidR="00D71DC6" w:rsidRPr="007B13D1" w:rsidRDefault="00D71DC6" w:rsidP="00002712">
            <w:pPr>
              <w:rPr>
                <w:i/>
                <w:iCs/>
                <w:sz w:val="20"/>
                <w:szCs w:val="20"/>
              </w:rPr>
            </w:pPr>
            <w:r w:rsidRPr="007B13D1">
              <w:rPr>
                <w:i/>
                <w:iCs/>
                <w:sz w:val="20"/>
                <w:szCs w:val="20"/>
              </w:rPr>
              <w:t>Zanikajúce povinnosti (identifikujte)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</w:tcPr>
          <w:p w:rsidR="00D71DC6" w:rsidRPr="007B13D1" w:rsidRDefault="00D71DC6" w:rsidP="00002712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Žiadne.</w:t>
            </w:r>
          </w:p>
        </w:tc>
      </w:tr>
    </w:tbl>
    <w:p w:rsidR="00D71DC6" w:rsidRDefault="00D71DC6" w:rsidP="00D71DC6"/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D71DC6" w:rsidRPr="005C4B9C" w:rsidTr="00002712">
        <w:trPr>
          <w:trHeight w:val="20"/>
        </w:trPr>
        <w:tc>
          <w:tcPr>
            <w:tcW w:w="9371" w:type="dxa"/>
            <w:shd w:val="clear" w:color="auto" w:fill="BFBFBF"/>
            <w:vAlign w:val="center"/>
          </w:tcPr>
          <w:p w:rsidR="00D71DC6" w:rsidRPr="00F5355E" w:rsidRDefault="00D71DC6" w:rsidP="00002712">
            <w:pPr>
              <w:jc w:val="center"/>
              <w:rPr>
                <w:b/>
              </w:rPr>
            </w:pPr>
            <w:r w:rsidRPr="00F5355E">
              <w:rPr>
                <w:b/>
              </w:rPr>
              <w:t>7.3 Vplyv na procesy služieb vo verejnej správe</w:t>
            </w:r>
          </w:p>
        </w:tc>
      </w:tr>
      <w:tr w:rsidR="00D71DC6" w:rsidRPr="005C4B9C" w:rsidTr="00002712">
        <w:trPr>
          <w:trHeight w:val="390"/>
        </w:trPr>
        <w:tc>
          <w:tcPr>
            <w:tcW w:w="9371" w:type="dxa"/>
          </w:tcPr>
          <w:p w:rsidR="00D71DC6" w:rsidRDefault="00D71DC6" w:rsidP="00002712">
            <w:pPr>
              <w:rPr>
                <w:b/>
              </w:rPr>
            </w:pPr>
            <w:r>
              <w:rPr>
                <w:b/>
              </w:rPr>
              <w:t>7.3.1</w:t>
            </w:r>
            <w:r w:rsidRPr="00B1784E">
              <w:rPr>
                <w:b/>
              </w:rPr>
              <w:t xml:space="preserve"> Ktoré sú dotknuté subjekty </w:t>
            </w:r>
            <w:r>
              <w:rPr>
                <w:b/>
              </w:rPr>
              <w:t>verejnej správy</w:t>
            </w:r>
            <w:r w:rsidRPr="00B1784E">
              <w:rPr>
                <w:b/>
              </w:rPr>
              <w:t xml:space="preserve">? </w:t>
            </w:r>
          </w:p>
          <w:p w:rsidR="00D71DC6" w:rsidRPr="007B13D1" w:rsidRDefault="00D71DC6" w:rsidP="00002712">
            <w:pPr>
              <w:rPr>
                <w:i/>
                <w:iCs/>
                <w:sz w:val="20"/>
                <w:szCs w:val="20"/>
              </w:rPr>
            </w:pPr>
            <w:r w:rsidRPr="007B13D1">
              <w:rPr>
                <w:i/>
                <w:sz w:val="20"/>
                <w:szCs w:val="20"/>
              </w:rPr>
              <w:t xml:space="preserve">Ktoré subjekty verejnej správy sú účastné procesu poskytnutia služby? 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Default="00D71DC6" w:rsidP="0000271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Útvary</w:t>
            </w:r>
            <w:r w:rsidRPr="007B13D1">
              <w:rPr>
                <w:sz w:val="20"/>
              </w:rPr>
              <w:t xml:space="preserve"> Policajného zboru.</w:t>
            </w:r>
          </w:p>
          <w:p w:rsidR="00D71DC6" w:rsidRDefault="00D71DC6" w:rsidP="00002712">
            <w:pPr>
              <w:rPr>
                <w:sz w:val="20"/>
              </w:rPr>
            </w:pPr>
            <w:r>
              <w:rPr>
                <w:sz w:val="20"/>
              </w:rPr>
              <w:t xml:space="preserve">Národné </w:t>
            </w:r>
            <w:proofErr w:type="spellStart"/>
            <w:r>
              <w:rPr>
                <w:sz w:val="20"/>
              </w:rPr>
              <w:t>personalizačné</w:t>
            </w:r>
            <w:proofErr w:type="spellEnd"/>
            <w:r>
              <w:rPr>
                <w:sz w:val="20"/>
              </w:rPr>
              <w:t xml:space="preserve"> centrum.</w:t>
            </w:r>
          </w:p>
          <w:p w:rsidR="00D71DC6" w:rsidRDefault="00D71DC6" w:rsidP="00002712">
            <w:pPr>
              <w:rPr>
                <w:sz w:val="20"/>
              </w:rPr>
            </w:pPr>
            <w:r>
              <w:rPr>
                <w:sz w:val="20"/>
              </w:rPr>
              <w:t>Ministerstvo vnútra SR.</w:t>
            </w:r>
          </w:p>
          <w:p w:rsidR="00D71DC6" w:rsidRPr="006F4542" w:rsidRDefault="00D71DC6" w:rsidP="00002712">
            <w:r>
              <w:rPr>
                <w:sz w:val="20"/>
                <w:szCs w:val="20"/>
              </w:rPr>
              <w:t>Ministerstvo zahraničných vecí a európskych záležitostí SR.</w:t>
            </w:r>
          </w:p>
        </w:tc>
      </w:tr>
      <w:tr w:rsidR="00D71DC6" w:rsidRPr="005C4B9C" w:rsidTr="00002712">
        <w:trPr>
          <w:trHeight w:val="20"/>
        </w:trPr>
        <w:tc>
          <w:tcPr>
            <w:tcW w:w="9371" w:type="dxa"/>
          </w:tcPr>
          <w:p w:rsidR="00D71DC6" w:rsidRPr="005C4B9C" w:rsidRDefault="00D71DC6" w:rsidP="00002712">
            <w:pPr>
              <w:rPr>
                <w:i/>
                <w:iCs/>
              </w:rPr>
            </w:pPr>
            <w:r>
              <w:rPr>
                <w:b/>
              </w:rPr>
              <w:t xml:space="preserve">7.3.2 </w:t>
            </w:r>
            <w:r w:rsidRPr="00B1784E">
              <w:rPr>
                <w:b/>
              </w:rPr>
              <w:t xml:space="preserve">Vyplývajú z návrhu pre orgán </w:t>
            </w:r>
            <w:r>
              <w:rPr>
                <w:b/>
              </w:rPr>
              <w:t>verejnej správy</w:t>
            </w:r>
            <w:r w:rsidRPr="00B1784E">
              <w:rPr>
                <w:b/>
              </w:rPr>
              <w:t xml:space="preserve"> pri vybavení požiadavky nové povinnosti al</w:t>
            </w:r>
            <w:r>
              <w:rPr>
                <w:b/>
              </w:rPr>
              <w:t xml:space="preserve">ebo </w:t>
            </w:r>
            <w:r w:rsidRPr="0095420F">
              <w:rPr>
                <w:b/>
              </w:rPr>
              <w:t xml:space="preserve">zanikajú </w:t>
            </w:r>
            <w:r>
              <w:rPr>
                <w:b/>
              </w:rPr>
              <w:t xml:space="preserve">už existujúce </w:t>
            </w:r>
            <w:r w:rsidRPr="0095420F">
              <w:rPr>
                <w:b/>
              </w:rPr>
              <w:t>povinnosti?</w:t>
            </w:r>
            <w:r w:rsidRPr="00B1784E">
              <w:rPr>
                <w:b/>
              </w:rPr>
              <w:t xml:space="preserve">  </w:t>
            </w:r>
            <w:r>
              <w:rPr>
                <w:iCs/>
              </w:rPr>
              <w:t xml:space="preserve"> </w:t>
            </w:r>
          </w:p>
        </w:tc>
      </w:tr>
      <w:tr w:rsidR="00D71DC6" w:rsidRPr="005C4B9C" w:rsidTr="00002712">
        <w:trPr>
          <w:trHeight w:val="20"/>
        </w:trPr>
        <w:tc>
          <w:tcPr>
            <w:tcW w:w="9371" w:type="dxa"/>
          </w:tcPr>
          <w:p w:rsidR="00D71DC6" w:rsidRPr="007B13D1" w:rsidRDefault="00D71DC6" w:rsidP="00002712">
            <w:pPr>
              <w:rPr>
                <w:i/>
                <w:iCs/>
                <w:sz w:val="20"/>
                <w:szCs w:val="20"/>
              </w:rPr>
            </w:pPr>
            <w:r w:rsidRPr="007B13D1">
              <w:rPr>
                <w:i/>
                <w:iCs/>
                <w:sz w:val="20"/>
                <w:szCs w:val="20"/>
              </w:rPr>
              <w:t>Nové povinnosti (identifikujte)</w:t>
            </w:r>
          </w:p>
        </w:tc>
      </w:tr>
      <w:tr w:rsidR="00D71DC6" w:rsidRPr="005C4B9C" w:rsidTr="00002712">
        <w:trPr>
          <w:trHeight w:val="444"/>
        </w:trPr>
        <w:tc>
          <w:tcPr>
            <w:tcW w:w="9371" w:type="dxa"/>
          </w:tcPr>
          <w:p w:rsidR="00D71DC6" w:rsidRPr="004C138F" w:rsidRDefault="00D71DC6" w:rsidP="00002712">
            <w:pPr>
              <w:rPr>
                <w:sz w:val="20"/>
                <w:szCs w:val="20"/>
              </w:rPr>
            </w:pPr>
            <w:r w:rsidRPr="004C138F">
              <w:rPr>
                <w:sz w:val="20"/>
                <w:szCs w:val="20"/>
              </w:rPr>
              <w:t xml:space="preserve">Vplyv na materiálno technické zabezpečenie </w:t>
            </w:r>
            <w:proofErr w:type="spellStart"/>
            <w:r w:rsidRPr="004C138F">
              <w:rPr>
                <w:sz w:val="20"/>
                <w:szCs w:val="20"/>
              </w:rPr>
              <w:t>personalizačných</w:t>
            </w:r>
            <w:proofErr w:type="spellEnd"/>
            <w:r w:rsidRPr="004C138F">
              <w:rPr>
                <w:sz w:val="20"/>
                <w:szCs w:val="20"/>
              </w:rPr>
              <w:t xml:space="preserve"> zariadení, potreba ich obmeny, resp. doplnenia</w:t>
            </w:r>
            <w:r>
              <w:rPr>
                <w:sz w:val="20"/>
                <w:szCs w:val="20"/>
              </w:rPr>
              <w:t>.</w:t>
            </w:r>
          </w:p>
          <w:p w:rsidR="00D71DC6" w:rsidRPr="007B13D1" w:rsidRDefault="00D71DC6" w:rsidP="00002712">
            <w:pPr>
              <w:rPr>
                <w:iCs/>
                <w:sz w:val="20"/>
                <w:szCs w:val="20"/>
              </w:rPr>
            </w:pPr>
            <w:r w:rsidRPr="004C138F">
              <w:rPr>
                <w:sz w:val="20"/>
                <w:szCs w:val="20"/>
              </w:rPr>
              <w:t>Potrebná úprava príslušných informačných systémov</w:t>
            </w:r>
          </w:p>
        </w:tc>
      </w:tr>
      <w:tr w:rsidR="00D71DC6" w:rsidRPr="005C4B9C" w:rsidTr="00002712">
        <w:trPr>
          <w:trHeight w:val="20"/>
        </w:trPr>
        <w:tc>
          <w:tcPr>
            <w:tcW w:w="9371" w:type="dxa"/>
          </w:tcPr>
          <w:p w:rsidR="00D71DC6" w:rsidRPr="007B13D1" w:rsidRDefault="00D71DC6" w:rsidP="00002712">
            <w:pPr>
              <w:rPr>
                <w:i/>
                <w:iCs/>
                <w:sz w:val="20"/>
                <w:szCs w:val="20"/>
              </w:rPr>
            </w:pPr>
            <w:r w:rsidRPr="007B13D1">
              <w:rPr>
                <w:i/>
                <w:iCs/>
                <w:sz w:val="20"/>
                <w:szCs w:val="20"/>
              </w:rPr>
              <w:t>Zanikajúce povinnosti (identifikujte)</w:t>
            </w:r>
          </w:p>
        </w:tc>
      </w:tr>
      <w:tr w:rsidR="00D71DC6" w:rsidRPr="005C4B9C" w:rsidTr="00002712">
        <w:trPr>
          <w:trHeight w:val="42"/>
        </w:trPr>
        <w:tc>
          <w:tcPr>
            <w:tcW w:w="9371" w:type="dxa"/>
            <w:vAlign w:val="center"/>
          </w:tcPr>
          <w:p w:rsidR="00D71DC6" w:rsidRPr="007B13D1" w:rsidRDefault="00D71DC6" w:rsidP="00002712">
            <w:pPr>
              <w:rPr>
                <w:i/>
                <w:iCs/>
                <w:sz w:val="20"/>
                <w:szCs w:val="20"/>
              </w:rPr>
            </w:pPr>
            <w:r w:rsidRPr="007B13D1">
              <w:rPr>
                <w:sz w:val="20"/>
                <w:szCs w:val="20"/>
              </w:rPr>
              <w:t xml:space="preserve">Nie </w:t>
            </w:r>
          </w:p>
        </w:tc>
      </w:tr>
    </w:tbl>
    <w:p w:rsidR="00D71DC6" w:rsidRDefault="00D71DC6" w:rsidP="00D71DC6">
      <w:pPr>
        <w:autoSpaceDE w:val="0"/>
        <w:autoSpaceDN w:val="0"/>
        <w:jc w:val="center"/>
        <w:rPr>
          <w:rFonts w:eastAsia="Calibri"/>
          <w:b/>
          <w:bCs/>
          <w:color w:val="000000"/>
          <w:sz w:val="36"/>
          <w:szCs w:val="28"/>
          <w:lang w:eastAsia="en-US"/>
        </w:rPr>
      </w:pPr>
    </w:p>
    <w:p w:rsidR="00D71DC6" w:rsidRDefault="00D71DC6" w:rsidP="00D71DC6">
      <w:pPr>
        <w:pStyle w:val="Odsekzoznamu"/>
        <w:autoSpaceDE w:val="0"/>
        <w:autoSpaceDN w:val="0"/>
        <w:rPr>
          <w:rFonts w:eastAsia="Calibri"/>
          <w:bCs/>
          <w:color w:val="000000"/>
          <w:lang w:eastAsia="en-US"/>
        </w:rPr>
      </w:pPr>
    </w:p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  <w:bookmarkStart w:id="1" w:name="_GoBack"/>
      <w:bookmarkEnd w:id="1"/>
    </w:p>
    <w:sectPr w:rsidR="006931EC" w:rsidRPr="00543B8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16" w:rsidRDefault="006F0516">
      <w:r>
        <w:separator/>
      </w:r>
    </w:p>
  </w:endnote>
  <w:endnote w:type="continuationSeparator" w:id="0">
    <w:p w:rsidR="006F0516" w:rsidRDefault="006F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C6" w:rsidRDefault="00D71DC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D71DC6" w:rsidRDefault="00D71DC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C6" w:rsidRDefault="00D71DC6" w:rsidP="007A55A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C6" w:rsidRDefault="00D71DC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71DC6" w:rsidRDefault="00D71DC6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91242918"/>
      <w:docPartObj>
        <w:docPartGallery w:val="Page Numbers (Bottom of Page)"/>
        <w:docPartUnique/>
      </w:docPartObj>
    </w:sdtPr>
    <w:sdtEndPr/>
    <w:sdtContent>
      <w:p w:rsidR="003535D9" w:rsidRPr="003535D9" w:rsidRDefault="003535D9" w:rsidP="003535D9">
        <w:pPr>
          <w:pStyle w:val="Pta"/>
          <w:jc w:val="center"/>
          <w:rPr>
            <w:sz w:val="20"/>
            <w:szCs w:val="20"/>
          </w:rPr>
        </w:pPr>
        <w:r w:rsidRPr="003535D9">
          <w:rPr>
            <w:sz w:val="20"/>
            <w:szCs w:val="20"/>
          </w:rPr>
          <w:fldChar w:fldCharType="begin"/>
        </w:r>
        <w:r w:rsidRPr="003535D9">
          <w:rPr>
            <w:sz w:val="20"/>
            <w:szCs w:val="20"/>
          </w:rPr>
          <w:instrText>PAGE   \* MERGEFORMAT</w:instrText>
        </w:r>
        <w:r w:rsidRPr="003535D9">
          <w:rPr>
            <w:sz w:val="20"/>
            <w:szCs w:val="20"/>
          </w:rPr>
          <w:fldChar w:fldCharType="separate"/>
        </w:r>
        <w:r w:rsidR="00D71DC6">
          <w:rPr>
            <w:noProof/>
            <w:sz w:val="20"/>
            <w:szCs w:val="20"/>
          </w:rPr>
          <w:t>14</w:t>
        </w:r>
        <w:r w:rsidRPr="003535D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16" w:rsidRDefault="006F0516">
      <w:r>
        <w:separator/>
      </w:r>
    </w:p>
  </w:footnote>
  <w:footnote w:type="continuationSeparator" w:id="0">
    <w:p w:rsidR="006F0516" w:rsidRDefault="006F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C6" w:rsidRDefault="00D71DC6" w:rsidP="0097389B">
    <w:pPr>
      <w:pStyle w:val="Hlavika"/>
      <w:jc w:val="right"/>
    </w:pPr>
    <w:r>
      <w:t>Príloha č. 2</w:t>
    </w:r>
  </w:p>
  <w:p w:rsidR="00D71DC6" w:rsidRPr="00EB59C8" w:rsidRDefault="00D71DC6" w:rsidP="0097389B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C6" w:rsidRPr="0024067A" w:rsidRDefault="00D71DC6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C6" w:rsidRPr="000A15AE" w:rsidRDefault="00D71DC6" w:rsidP="0097389B">
    <w:pPr>
      <w:pStyle w:val="Hlavika"/>
      <w:jc w:val="right"/>
    </w:pPr>
    <w: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3AE2"/>
    <w:multiLevelType w:val="hybridMultilevel"/>
    <w:tmpl w:val="6FDA6290"/>
    <w:lvl w:ilvl="0" w:tplc="041B000F">
      <w:start w:val="1"/>
      <w:numFmt w:val="decimal"/>
      <w:lvlText w:val="%1."/>
      <w:lvlJc w:val="left"/>
      <w:pPr>
        <w:ind w:left="847" w:hanging="360"/>
      </w:pPr>
    </w:lvl>
    <w:lvl w:ilvl="1" w:tplc="041B0019" w:tentative="1">
      <w:start w:val="1"/>
      <w:numFmt w:val="lowerLetter"/>
      <w:lvlText w:val="%2."/>
      <w:lvlJc w:val="left"/>
      <w:pPr>
        <w:ind w:left="1567" w:hanging="360"/>
      </w:pPr>
    </w:lvl>
    <w:lvl w:ilvl="2" w:tplc="041B001B" w:tentative="1">
      <w:start w:val="1"/>
      <w:numFmt w:val="lowerRoman"/>
      <w:lvlText w:val="%3."/>
      <w:lvlJc w:val="right"/>
      <w:pPr>
        <w:ind w:left="2287" w:hanging="180"/>
      </w:pPr>
    </w:lvl>
    <w:lvl w:ilvl="3" w:tplc="041B000F" w:tentative="1">
      <w:start w:val="1"/>
      <w:numFmt w:val="decimal"/>
      <w:lvlText w:val="%4."/>
      <w:lvlJc w:val="left"/>
      <w:pPr>
        <w:ind w:left="3007" w:hanging="360"/>
      </w:pPr>
    </w:lvl>
    <w:lvl w:ilvl="4" w:tplc="041B0019" w:tentative="1">
      <w:start w:val="1"/>
      <w:numFmt w:val="lowerLetter"/>
      <w:lvlText w:val="%5."/>
      <w:lvlJc w:val="left"/>
      <w:pPr>
        <w:ind w:left="3727" w:hanging="360"/>
      </w:pPr>
    </w:lvl>
    <w:lvl w:ilvl="5" w:tplc="041B001B" w:tentative="1">
      <w:start w:val="1"/>
      <w:numFmt w:val="lowerRoman"/>
      <w:lvlText w:val="%6."/>
      <w:lvlJc w:val="right"/>
      <w:pPr>
        <w:ind w:left="4447" w:hanging="180"/>
      </w:pPr>
    </w:lvl>
    <w:lvl w:ilvl="6" w:tplc="041B000F" w:tentative="1">
      <w:start w:val="1"/>
      <w:numFmt w:val="decimal"/>
      <w:lvlText w:val="%7."/>
      <w:lvlJc w:val="left"/>
      <w:pPr>
        <w:ind w:left="5167" w:hanging="360"/>
      </w:pPr>
    </w:lvl>
    <w:lvl w:ilvl="7" w:tplc="041B0019" w:tentative="1">
      <w:start w:val="1"/>
      <w:numFmt w:val="lowerLetter"/>
      <w:lvlText w:val="%8."/>
      <w:lvlJc w:val="left"/>
      <w:pPr>
        <w:ind w:left="5887" w:hanging="360"/>
      </w:pPr>
    </w:lvl>
    <w:lvl w:ilvl="8" w:tplc="041B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C79A8"/>
    <w:multiLevelType w:val="hybridMultilevel"/>
    <w:tmpl w:val="AE9E75E4"/>
    <w:lvl w:ilvl="0" w:tplc="B3A44D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00432"/>
    <w:multiLevelType w:val="hybridMultilevel"/>
    <w:tmpl w:val="6A1C301A"/>
    <w:lvl w:ilvl="0" w:tplc="8CE84D42">
      <w:start w:val="1"/>
      <w:numFmt w:val="lowerLetter"/>
      <w:lvlText w:val="%1)"/>
      <w:lvlJc w:val="left"/>
      <w:pPr>
        <w:ind w:left="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7" w:hanging="360"/>
      </w:pPr>
    </w:lvl>
    <w:lvl w:ilvl="2" w:tplc="041B001B" w:tentative="1">
      <w:start w:val="1"/>
      <w:numFmt w:val="lowerRoman"/>
      <w:lvlText w:val="%3."/>
      <w:lvlJc w:val="right"/>
      <w:pPr>
        <w:ind w:left="1927" w:hanging="180"/>
      </w:pPr>
    </w:lvl>
    <w:lvl w:ilvl="3" w:tplc="041B000F" w:tentative="1">
      <w:start w:val="1"/>
      <w:numFmt w:val="decimal"/>
      <w:lvlText w:val="%4."/>
      <w:lvlJc w:val="left"/>
      <w:pPr>
        <w:ind w:left="2647" w:hanging="360"/>
      </w:pPr>
    </w:lvl>
    <w:lvl w:ilvl="4" w:tplc="041B0019" w:tentative="1">
      <w:start w:val="1"/>
      <w:numFmt w:val="lowerLetter"/>
      <w:lvlText w:val="%5."/>
      <w:lvlJc w:val="left"/>
      <w:pPr>
        <w:ind w:left="3367" w:hanging="360"/>
      </w:pPr>
    </w:lvl>
    <w:lvl w:ilvl="5" w:tplc="041B001B" w:tentative="1">
      <w:start w:val="1"/>
      <w:numFmt w:val="lowerRoman"/>
      <w:lvlText w:val="%6."/>
      <w:lvlJc w:val="right"/>
      <w:pPr>
        <w:ind w:left="4087" w:hanging="180"/>
      </w:pPr>
    </w:lvl>
    <w:lvl w:ilvl="6" w:tplc="041B000F" w:tentative="1">
      <w:start w:val="1"/>
      <w:numFmt w:val="decimal"/>
      <w:lvlText w:val="%7."/>
      <w:lvlJc w:val="left"/>
      <w:pPr>
        <w:ind w:left="4807" w:hanging="360"/>
      </w:pPr>
    </w:lvl>
    <w:lvl w:ilvl="7" w:tplc="041B0019" w:tentative="1">
      <w:start w:val="1"/>
      <w:numFmt w:val="lowerLetter"/>
      <w:lvlText w:val="%8."/>
      <w:lvlJc w:val="left"/>
      <w:pPr>
        <w:ind w:left="5527" w:hanging="360"/>
      </w:pPr>
    </w:lvl>
    <w:lvl w:ilvl="8" w:tplc="041B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31C6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2F5D"/>
    <w:rsid w:val="00120181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3518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0FE2"/>
    <w:rsid w:val="00351D80"/>
    <w:rsid w:val="003535D9"/>
    <w:rsid w:val="003562FC"/>
    <w:rsid w:val="00357F38"/>
    <w:rsid w:val="003606E9"/>
    <w:rsid w:val="00362A9B"/>
    <w:rsid w:val="003636C0"/>
    <w:rsid w:val="0036409B"/>
    <w:rsid w:val="00366FF3"/>
    <w:rsid w:val="0037638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E7D58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2400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6C2E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516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085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01A1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09E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01A6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064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3EC7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6360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0C36"/>
    <w:rsid w:val="00CF18ED"/>
    <w:rsid w:val="00CF43C8"/>
    <w:rsid w:val="00D0094D"/>
    <w:rsid w:val="00D0245F"/>
    <w:rsid w:val="00D03F32"/>
    <w:rsid w:val="00D04A1B"/>
    <w:rsid w:val="00D04DAD"/>
    <w:rsid w:val="00D05495"/>
    <w:rsid w:val="00D071A3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1DC6"/>
    <w:rsid w:val="00D72553"/>
    <w:rsid w:val="00D743B0"/>
    <w:rsid w:val="00D750E6"/>
    <w:rsid w:val="00D7657D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7776F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BFD61"/>
  <w14:defaultImageDpi w14:val="96"/>
  <w15:docId w15:val="{E1ADE9BB-9822-401F-A4B1-6C068BDD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376383"/>
    <w:rPr>
      <w:color w:val="0000FF"/>
      <w:u w:val="single"/>
    </w:rPr>
  </w:style>
  <w:style w:type="character" w:styleId="Siln">
    <w:name w:val="Strong"/>
    <w:uiPriority w:val="22"/>
    <w:qFormat/>
    <w:rsid w:val="00376383"/>
    <w:rPr>
      <w:b/>
      <w:bCs/>
    </w:rPr>
  </w:style>
  <w:style w:type="paragraph" w:styleId="Odsekzoznamu">
    <w:name w:val="List Paragraph"/>
    <w:basedOn w:val="Normlny"/>
    <w:uiPriority w:val="34"/>
    <w:qFormat/>
    <w:rsid w:val="008601A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30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3085"/>
    <w:rPr>
      <w:rFonts w:ascii="Segoe UI" w:hAnsi="Segoe UI" w:cs="Segoe UI"/>
      <w:sz w:val="18"/>
      <w:szCs w:val="18"/>
    </w:rPr>
  </w:style>
  <w:style w:type="character" w:styleId="slostrany">
    <w:name w:val="page number"/>
    <w:basedOn w:val="Predvolenpsmoodseku"/>
    <w:uiPriority w:val="99"/>
    <w:rsid w:val="00D71D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uran@minv.sk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fsr.sk/files/archiv/uhp/3370/76/Usmernenie-MF_hodnotenie-investicii_20180129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cepremier.gov.sk/sekcie/investicie/narodny-investicny-plan/vladne-materialy/ramec-na-hodnotenie-verejnych-investicnych-projektov-v-sr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5.4.2019 14:32:43"/>
    <f:field ref="objchangedby" par="" text="Administrator, System"/>
    <f:field ref="objmodifiedat" par="" text="5.4.2019 14:32:4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4494</Words>
  <Characters>25622</Characters>
  <Application>Microsoft Office Word</Application>
  <DocSecurity>0</DocSecurity>
  <Lines>213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Marianna Ferancova</cp:lastModifiedBy>
  <cp:revision>4</cp:revision>
  <cp:lastPrinted>2019-05-28T12:51:00Z</cp:lastPrinted>
  <dcterms:created xsi:type="dcterms:W3CDTF">2019-07-24T08:46:00Z</dcterms:created>
  <dcterms:modified xsi:type="dcterms:W3CDTF">2019-08-01T08:04:00Z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Martin Birnstein</vt:lpwstr>
  </property>
  <property fmtid="{D5CDD505-2E9C-101B-9397-08002B2CF9AE}" pid="9" name="FSC#SKEDITIONSLOVLEX@103.510:zodppredkladatel">
    <vt:lpwstr>Ing. Denisa Saková</vt:lpwstr>
  </property>
  <property fmtid="{D5CDD505-2E9C-101B-9397-08002B2CF9AE}" pid="10" name="FSC#SKEDITIONSLOVLEX@103.510:nazovpredpis">
    <vt:lpwstr>, ktorým sa mení a dopĺňa zákon č. 8/2009 Z. z. o cestnej premávke a o zmene a doplnení niektorých zákonov v znení neskorších predpisov a ktorým sa menia a dopĺňajú niektoré zákony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vnútra Slovenskej republiky</vt:lpwstr>
  </property>
  <property fmtid="{D5CDD505-2E9C-101B-9397-08002B2CF9AE}" pid="13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2018</vt:lpwstr>
  </property>
  <property fmtid="{D5CDD505-2E9C-101B-9397-08002B2CF9AE}" pid="16" name="FSC#SKEDITIONSLOVLEX@103.510:plnynazovpredpis">
    <vt:lpwstr> Zákon, ktorým sa mení a dopĺňa zákon č. 8/2009 Z. z. o cestnej premávke a o zmene a doplnení niektorých zákonov v znení neskorších predpisov a ktorým sa menia a dopĺňajú niektoré zákony </vt:lpwstr>
  </property>
  <property fmtid="{D5CDD505-2E9C-101B-9397-08002B2CF9AE}" pid="17" name="FSC#SKEDITIONSLOVLEX@103.510:rezortcislopredpis">
    <vt:lpwstr>KM-OBL-177/2018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LP/2019/35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- čl. 91 ods. 1 písm. c) tretia časť hlava VI Zmluvy o fungovaní Európskej únie v platnom znení – Doprava  </vt:lpwstr>
  </property>
  <property fmtid="{D5CDD505-2E9C-101B-9397-08002B2CF9AE}" pid="37" name="FSC#SKEDITIONSLOVLEX@103.510:AttrStrListDocPropSekundarneLegPravoPO">
    <vt:lpwstr>- smernica Európskeho Parlamentu a Rady (EÚ) 2018/645 z 8. apríla 2018, ktorou sa mení smernica 2003/59/ES o základnej kvalifikácii a pravidelnom výcviku vodičov určitých cestných vozidiel nákladnej a osobnej dopravy a smernica 2006/126/ES o vodičských pr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- nie je obsiahnutá v judikatúre Súdneho dvora Európskej únie.</vt:lpwstr>
  </property>
  <property fmtid="{D5CDD505-2E9C-101B-9397-08002B2CF9AE}" pid="42" name="FSC#SKEDITIONSLOVLEX@103.510:AttrStrListDocPropLehotaPrebratieSmernice">
    <vt:lpwstr>- transpozičná lehota smernice 2018/645 je 23. máj 2020; 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- proti Slovenskej republike v súčasnosti neprebieha žiadne konanie;</vt:lpwstr>
  </property>
  <property fmtid="{D5CDD505-2E9C-101B-9397-08002B2CF9AE}" pid="45" name="FSC#SKEDITIONSLOVLEX@103.510:AttrStrListDocPropInfoUzPreberanePP">
    <vt:lpwstr>- smernica 2018/645 zatiaľ nie je prebratá; 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4. 6. 2018</vt:lpwstr>
  </property>
  <property fmtid="{D5CDD505-2E9C-101B-9397-08002B2CF9AE}" pid="49" name="FSC#SKEDITIONSLOVLEX@103.510:AttrDateDocPropUkonceniePKK">
    <vt:lpwstr>18. 6. 2018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&lt;p style="text-align: justify;"&gt;Predpokladá sa, že negatívny vplyv na rozpočet verejnej správy bude prevažne len jednorazový, najvyšší podiel sa predpokladá pri úprave informačných systémov evidencie vodičov a&amp;nbsp;evidencie vozidiel; nálady súvisiace s t</vt:lpwstr>
  </property>
  <property fmtid="{D5CDD505-2E9C-101B-9397-08002B2CF9AE}" pid="56" name="FSC#SKEDITIONSLOVLEX@103.510:AttrStrListDocPropAltRiesenia">
    <vt:lpwstr>Alternatívne riešenia boli zvažované na úseku zmien v evidencii vozidiel prostredníctvom elektronickej služby zavedenej na tento účel, vrátane vykonávania zmien držiteľov vozidiel. V súčasnosti sa zmeny v evidencii vozidiel vykonávajú na dopravnom inšpekt</vt:lpwstr>
  </property>
  <property fmtid="{D5CDD505-2E9C-101B-9397-08002B2CF9AE}" pid="57" name="FSC#SKEDITIONSLOVLEX@103.510:AttrStrListDocPropStanoviskoGest">
    <vt:lpwstr>&lt;p style="margin-left: 7.85pt; text-align: justify;"&gt;Komisia uplatnila k materiálu nasledovné pripomienky a odporúčania: Materiál predpokladá pozitívno-negatívne vplyvy na rozpočet verejnej správy, ktoré nie sú rozpočtovo zabezpečené; pozitívne vplyvy na 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vnútra</vt:lpwstr>
  </property>
  <property fmtid="{D5CDD505-2E9C-101B-9397-08002B2CF9AE}" pid="127" name="FSC#SKEDITIONSLOVLEX@103.510:AttrStrListDocPropUznesenieNaVedomie">
    <vt:lpwstr>predsedovi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 dopĺňa zákon č. 8/2009 Z. z. o cestnej premávke a o zmene a doplnení niektorých zákonov v znení neskorších predpisov a ktorým sa menia a dopĺňajú niektoré zákony (ďalej len „návrh zákona“) sa </vt:lpwstr>
  </property>
  <property fmtid="{D5CDD505-2E9C-101B-9397-08002B2CF9AE}" pid="130" name="FSC#COOSYSTEM@1.1:Container">
    <vt:lpwstr>COO.2145.1000.3.3289975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predmetného návrhu zákona informovaná prostredníctvom predbežnej informácie č.&amp;nbsp;PI/2018/105 zverejnenej na portáli Slov-Lex od 22. 5. 2018 s&amp;nbsp;termínom ukončenia možnosti zaslania vyjad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vnútra</vt:lpwstr>
  </property>
  <property fmtid="{D5CDD505-2E9C-101B-9397-08002B2CF9AE}" pid="145" name="FSC#SKEDITIONSLOVLEX@103.510:funkciaZodpPredAkuzativ">
    <vt:lpwstr>ministerke vnútra</vt:lpwstr>
  </property>
  <property fmtid="{D5CDD505-2E9C-101B-9397-08002B2CF9AE}" pid="146" name="FSC#SKEDITIONSLOVLEX@103.510:funkciaZodpPredDativ">
    <vt:lpwstr>ministerky vnútra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Denisa Saková_x000d_
ministerka vnútra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5. 4. 2019</vt:lpwstr>
  </property>
</Properties>
</file>