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7872A3" w:rsidRDefault="007872A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7872A3">
        <w:trPr>
          <w:divId w:val="178835051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1.  Základné údaje</w:t>
            </w:r>
          </w:p>
        </w:tc>
      </w:tr>
      <w:tr w:rsidR="007872A3">
        <w:trPr>
          <w:divId w:val="17883505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Názov materiálu</w:t>
            </w:r>
          </w:p>
        </w:tc>
      </w:tr>
      <w:tr w:rsidR="007872A3">
        <w:trPr>
          <w:divId w:val="17883505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Zákon, ktorým sa mení a dopĺňa zákon č. 40/1964 Zb. Občiansky zákonník v znení neskorších predpisov</w:t>
            </w:r>
          </w:p>
        </w:tc>
      </w:tr>
      <w:tr w:rsidR="007872A3">
        <w:trPr>
          <w:divId w:val="17883505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Predkladateľ (a spolupredkladateľ)</w:t>
            </w:r>
          </w:p>
        </w:tc>
      </w:tr>
      <w:tr w:rsidR="007872A3">
        <w:trPr>
          <w:divId w:val="17883505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Ministerstvo spravodlivosti Slovenskej republiky</w:t>
            </w:r>
          </w:p>
        </w:tc>
      </w:tr>
      <w:tr w:rsidR="007872A3">
        <w:trPr>
          <w:divId w:val="178835051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872A3">
        <w:trPr>
          <w:divId w:val="17883505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872A3">
        <w:trPr>
          <w:divId w:val="17883505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872A3">
        <w:trPr>
          <w:divId w:val="178835051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p>
        </w:tc>
      </w:tr>
      <w:tr w:rsidR="007872A3">
        <w:trPr>
          <w:divId w:val="17883505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Začiatok:    7.5.2019</w:t>
            </w:r>
            <w:r>
              <w:rPr>
                <w:rFonts w:ascii="Times" w:hAnsi="Times" w:cs="Times"/>
                <w:sz w:val="20"/>
                <w:szCs w:val="20"/>
              </w:rPr>
              <w:br/>
              <w:t>Ukončenie: 22.5.2019</w:t>
            </w:r>
          </w:p>
        </w:tc>
      </w:tr>
      <w:tr w:rsidR="007872A3">
        <w:trPr>
          <w:divId w:val="17883505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máj 2019</w:t>
            </w:r>
          </w:p>
        </w:tc>
      </w:tr>
      <w:tr w:rsidR="007872A3">
        <w:trPr>
          <w:divId w:val="178835051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august 2019</w:t>
            </w:r>
          </w:p>
        </w:tc>
      </w:tr>
    </w:tbl>
    <w:p w:rsidR="00325440" w:rsidRDefault="00325440" w:rsidP="00C579E9">
      <w:pPr>
        <w:pStyle w:val="Normlnywebov"/>
        <w:spacing w:before="0" w:beforeAutospacing="0" w:after="0" w:afterAutospacing="0"/>
        <w:rPr>
          <w:bCs/>
          <w:sz w:val="22"/>
          <w:szCs w:val="22"/>
        </w:rPr>
      </w:pPr>
    </w:p>
    <w:p w:rsidR="007872A3" w:rsidRDefault="007872A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2.  Definícia problému</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Navrhovaná právna úprava reaguje na nález Ústavného súdu Slovenskej republiky z 10. októbra 2018 (PL. ÚS 10/2016-53), ktorým bol vyslovený nesúlad ustanovenia § 446 zákona č. 40/1964 Zb. Občiansky zákonník v znení neskorších predpisov s čl. 12 ods. 1 a čl. 20 ods. 1 Ústavy Slovenskej republiky. Napadnutá právna úprava posúdenia nároku na náhradu straty na zárobku počas pracovnej neschopnosti poškodeného i jej sumy podľa právnej úpravy úrazového príplatku nerešpektuje požiadavku, aby takýto nárok bol uspokojovaný v súlade s princípom plnej náhrady skutočnej majetkovej škody, teda sumy, ktorú by poškodený dosiahol nebyť pracovnej neschopnosti vyplývajúcej z poškodenia jeho zdravia protiprávnym konaním. Napadnuté ustanovenie viazalo spôsob výpočtu náhrady škody na predpisy o sociálnom poistení, v zmysle ktorých mal poškodený nárok na náhradu za stratu na zárobku počas pracovnej neschopnosti len vo výške určenej spôsobom, akým sa určuje úrazový príplatok podľa zákona č. 461/2003 Z. z. o sociálnom poistení. Výpočet úrazového príplatku je nastavený tak, že jeho konečná výška predstavuje iba pomernú časť v porovnaní s priemerným príjmom poškodeného v období pred vzniknutím škody. Takáto právna úprava je nespravodlivá, pretože poškodený, ktorému bola spôsobená škoda na zdraví a ktorý je v dôsledku tejto škody práceneschopný, nemá nárok na náhradu skutočnej škody a ušlého zisku v plnom rozsahu. Nie menej dôležitým je aj fakt, že napadnuté ustanovenie neumožňuje poškodeným, ktorí počas pracovnej neschopnosti nemajú nárok na náhradu príjmu alebo nemocenské, domôcť sa akejkoľvek náhrady vzniknutej straty na zárobku. Ostatným dotknutým poškodeným, na druhej strane, garantuje náhradu straty na zárobku len v redukovanej výške, a to buď následkom uplatnenia daňovo-odvodových predpisov alebo z dôvodu spojenia s právnymi predpismi sociálneho poistenia.</w:t>
            </w: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3.  Ciele a výsledný stav</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Cieľom návrhu zákona je zosúladenie súčasnej právnej úpravy náhrady škody na zdraví spôsobenej protiprávnym konaním s čl. 12 ods. 1 a čl. 20 ods. 1 Ústavy Slovenskej republiky. Súčasná právna úprava spôsobu výpočtu náhrady za stratu na zárobku sa výrazne odkláňa od všeobecne uplatňovanej zásady úpravy zodpovednosti za škodu, podľa ktorej sa uhrádza skutočná škoda a ušlý zisk a tým pádom neumožňuje poškodenému, ktorému vznikla škoda na zdraví a s tým súvisiaca strata na zárobku počas pracovnej neschopnosti, ale aj po jej skončení, domôcť sa náhrady škody v takom rozsahu, v akom mu skutočne vznikla. V záujme poskytnutia ochrany základnému právu vlastniť majetok je cieľom návrhu zákona zabezpečiť dorovnanie príjmu poškodeného do sumy, ktorú by zarobil, ak by nedošlo k spôsobeniu škody.</w:t>
            </w: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4.  Dotknuté subjekty</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Fyzické osoby.</w:t>
            </w: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lastRenderedPageBreak/>
              <w:t>  5.  Alternatívne riešenia</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Neboli identifikované alternatívy k predloženým riešeniam, ktoré by naplnili cieľ.</w:t>
            </w: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6.  Vykonávacie predpisy</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xml:space="preserve">  7.  Transpozícia práva EÚ </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b/>
                <w:bCs/>
                <w:sz w:val="22"/>
                <w:szCs w:val="22"/>
              </w:rPr>
            </w:pPr>
          </w:p>
        </w:tc>
      </w:tr>
      <w:tr w:rsidR="007872A3">
        <w:trPr>
          <w:divId w:val="73042652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8.  Preskúmanie účelnosti**</w:t>
            </w:r>
          </w:p>
        </w:tc>
      </w:tr>
      <w:tr w:rsidR="007872A3">
        <w:trPr>
          <w:divId w:val="73042652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sz w:val="20"/>
                <w:szCs w:val="20"/>
              </w:rPr>
            </w:pPr>
            <w:r>
              <w:rPr>
                <w:rFonts w:ascii="Times" w:hAnsi="Times" w:cs="Times"/>
                <w:sz w:val="20"/>
                <w:szCs w:val="20"/>
              </w:rPr>
              <w:t>Preskúmanie účelnosti navrhovaného predpisu bude vykonávané priebežne po nadobudnutí účinnosti.</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7872A3" w:rsidRDefault="007872A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872A3">
        <w:trPr>
          <w:divId w:val="128596456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0"/>
                <w:szCs w:val="20"/>
              </w:rPr>
            </w:pPr>
            <w:r>
              <w:rPr>
                <w:rFonts w:ascii="Times" w:hAnsi="Times" w:cs="Times"/>
                <w:b/>
                <w:bCs/>
                <w:sz w:val="20"/>
                <w:szCs w:val="20"/>
              </w:rPr>
              <w:t>  9.   Vplyvy navrhovaného materiálu</w:t>
            </w:r>
          </w:p>
        </w:tc>
      </w:tr>
      <w:tr w:rsidR="007872A3">
        <w:trPr>
          <w:divId w:val="128596456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w:t>
            </w:r>
            <w:r w:rsidR="00503BD5">
              <w:rPr>
                <w:rFonts w:ascii="Times" w:hAnsi="Times" w:cs="Times"/>
                <w:sz w:val="20"/>
                <w:szCs w:val="20"/>
              </w:rPr>
              <w:t xml:space="preserve"> </w:t>
            </w:r>
            <w:bookmarkStart w:id="0" w:name="_GoBack"/>
            <w:bookmarkEnd w:id="0"/>
            <w:r w:rsidR="00503BD5">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872A3">
        <w:trPr>
          <w:divId w:val="128596456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872A3">
        <w:trPr>
          <w:divId w:val="128596456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872A3" w:rsidRDefault="007872A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72A3" w:rsidRDefault="007872A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7872A3" w:rsidRDefault="007872A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872A3">
        <w:trPr>
          <w:divId w:val="117966370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10.  Poznámky</w:t>
            </w:r>
          </w:p>
        </w:tc>
      </w:tr>
      <w:tr w:rsidR="007872A3">
        <w:trPr>
          <w:divId w:val="117966370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Pr="00345CB6" w:rsidRDefault="007872A3">
            <w:pPr>
              <w:pStyle w:val="Normlnywebov"/>
              <w:jc w:val="both"/>
              <w:rPr>
                <w:rFonts w:ascii="Times" w:hAnsi="Times" w:cs="Times"/>
                <w:sz w:val="20"/>
                <w:szCs w:val="20"/>
              </w:rPr>
            </w:pPr>
            <w:r w:rsidRPr="00345CB6">
              <w:rPr>
                <w:rFonts w:ascii="Times" w:hAnsi="Times" w:cs="Times"/>
                <w:sz w:val="20"/>
                <w:szCs w:val="20"/>
              </w:rPr>
              <w:t>Predkladaný návrh zákona má pozitívny vplyv na prístup obyvateľov k spravodlivosti a právnej ochrane, tým že dôsledne rešpektuje základný princíp súkromného práva – princíp náhrady skutočnej majetkovej škody v plnej výške. </w:t>
            </w:r>
          </w:p>
        </w:tc>
      </w:tr>
      <w:tr w:rsidR="007872A3">
        <w:trPr>
          <w:divId w:val="117966370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11.  Kontakt na spracovateľa</w:t>
            </w:r>
          </w:p>
        </w:tc>
      </w:tr>
      <w:tr w:rsidR="007872A3">
        <w:trPr>
          <w:divId w:val="117966370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Pr="00345CB6" w:rsidRDefault="007872A3">
            <w:pPr>
              <w:pStyle w:val="Normlnywebov"/>
              <w:jc w:val="both"/>
              <w:rPr>
                <w:rFonts w:ascii="Times" w:hAnsi="Times" w:cs="Times"/>
                <w:sz w:val="20"/>
                <w:szCs w:val="20"/>
              </w:rPr>
            </w:pPr>
            <w:r w:rsidRPr="00345CB6">
              <w:rPr>
                <w:rFonts w:ascii="Times" w:hAnsi="Times" w:cs="Times"/>
                <w:sz w:val="20"/>
                <w:szCs w:val="20"/>
              </w:rPr>
              <w:t>Mgr. Michaela Hanáková, Sekcia legislatívy, odbor legislatívy občianskeho a obchodného práva, Ministerstvo spravodlivosti Slovenskej republiky, michaela.hanakova@justice.sk.</w:t>
            </w:r>
          </w:p>
        </w:tc>
      </w:tr>
      <w:tr w:rsidR="007872A3">
        <w:trPr>
          <w:divId w:val="117966370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12.  Zdroje</w:t>
            </w:r>
          </w:p>
        </w:tc>
      </w:tr>
      <w:tr w:rsidR="007872A3">
        <w:trPr>
          <w:divId w:val="117966370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Default="007872A3">
            <w:pPr>
              <w:rPr>
                <w:rFonts w:ascii="Times" w:hAnsi="Times" w:cs="Times"/>
                <w:b/>
                <w:bCs/>
                <w:sz w:val="22"/>
                <w:szCs w:val="22"/>
              </w:rPr>
            </w:pPr>
          </w:p>
        </w:tc>
      </w:tr>
      <w:tr w:rsidR="007872A3">
        <w:trPr>
          <w:divId w:val="117966370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872A3" w:rsidRDefault="007872A3">
            <w:pPr>
              <w:rPr>
                <w:rFonts w:ascii="Times" w:hAnsi="Times" w:cs="Times"/>
                <w:b/>
                <w:bCs/>
                <w:sz w:val="22"/>
                <w:szCs w:val="22"/>
              </w:rPr>
            </w:pPr>
            <w:r>
              <w:rPr>
                <w:rFonts w:ascii="Times" w:hAnsi="Times" w:cs="Times"/>
                <w:b/>
                <w:bCs/>
                <w:sz w:val="22"/>
                <w:szCs w:val="22"/>
              </w:rPr>
              <w:t>  13.  Stanovisko Komisie pre posudzovanie vybraných vplyvov z PPK</w:t>
            </w:r>
          </w:p>
        </w:tc>
      </w:tr>
      <w:tr w:rsidR="007872A3">
        <w:trPr>
          <w:divId w:val="117966370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872A3" w:rsidRPr="00345CB6" w:rsidRDefault="007872A3">
            <w:pPr>
              <w:pStyle w:val="Normlnywebov"/>
              <w:jc w:val="center"/>
              <w:rPr>
                <w:rFonts w:ascii="Times" w:hAnsi="Times" w:cs="Times"/>
                <w:sz w:val="20"/>
                <w:szCs w:val="20"/>
              </w:rPr>
            </w:pPr>
            <w:r w:rsidRPr="00345CB6">
              <w:rPr>
                <w:rStyle w:val="Siln"/>
                <w:rFonts w:ascii="Times" w:hAnsi="Times" w:cs="Times"/>
                <w:sz w:val="20"/>
                <w:szCs w:val="20"/>
              </w:rPr>
              <w:t>stanovisko komisie</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center"/>
              <w:rPr>
                <w:rFonts w:ascii="Times" w:hAnsi="Times" w:cs="Times"/>
                <w:sz w:val="20"/>
                <w:szCs w:val="20"/>
              </w:rPr>
            </w:pPr>
            <w:r w:rsidRPr="00345CB6">
              <w:rPr>
                <w:rStyle w:val="Siln"/>
                <w:rFonts w:ascii="Times" w:hAnsi="Times" w:cs="Times"/>
                <w:sz w:val="20"/>
                <w:szCs w:val="20"/>
              </w:rPr>
              <w:lastRenderedPageBreak/>
              <w:t>(predbežné pripomienkové konanie)</w:t>
            </w:r>
          </w:p>
          <w:p w:rsidR="007872A3" w:rsidRPr="00345CB6" w:rsidRDefault="007872A3">
            <w:pPr>
              <w:pStyle w:val="Normlnywebov"/>
              <w:jc w:val="center"/>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center"/>
              <w:rPr>
                <w:rFonts w:ascii="Times" w:hAnsi="Times" w:cs="Times"/>
                <w:sz w:val="20"/>
                <w:szCs w:val="20"/>
              </w:rPr>
            </w:pPr>
            <w:r w:rsidRPr="00345CB6">
              <w:rPr>
                <w:rStyle w:val="Siln"/>
                <w:rFonts w:ascii="Times" w:hAnsi="Times" w:cs="Times"/>
                <w:sz w:val="20"/>
                <w:szCs w:val="20"/>
              </w:rPr>
              <w:t>k materiálu</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center"/>
              <w:rPr>
                <w:rFonts w:ascii="Times" w:hAnsi="Times" w:cs="Times"/>
                <w:sz w:val="20"/>
                <w:szCs w:val="20"/>
              </w:rPr>
            </w:pPr>
            <w:r w:rsidRPr="00345CB6">
              <w:rPr>
                <w:rStyle w:val="Siln"/>
                <w:rFonts w:ascii="Times" w:hAnsi="Times" w:cs="Times"/>
                <w:sz w:val="20"/>
                <w:szCs w:val="20"/>
              </w:rPr>
              <w:t>Návrh zákona, ktorým sa mení a dopĺňa zákon č. 40/1964 Zb. Občiansky zákonník v znení neskorších predpisov</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both"/>
              <w:rPr>
                <w:rFonts w:ascii="Times" w:hAnsi="Times" w:cs="Times"/>
                <w:sz w:val="20"/>
                <w:szCs w:val="20"/>
              </w:rPr>
            </w:pPr>
            <w:r w:rsidRPr="00345CB6">
              <w:rPr>
                <w:rStyle w:val="Siln"/>
                <w:rFonts w:ascii="Times" w:hAnsi="Times" w:cs="Times"/>
                <w:sz w:val="20"/>
                <w:szCs w:val="20"/>
              </w:rPr>
              <w:t xml:space="preserve">I. Úvod: </w:t>
            </w:r>
            <w:r w:rsidRPr="00345CB6">
              <w:rPr>
                <w:rFonts w:ascii="Times" w:hAnsi="Times" w:cs="Times"/>
                <w:sz w:val="20"/>
                <w:szCs w:val="20"/>
              </w:rPr>
              <w:t>Ministerstvo spravodlivosti Slovenskej republiky dňa 7. mája 2019 predložilo Stálej pracovnej komisii na posudzovanie vybraných vplyvov (ďalej len „Komisia“) na predbežné pripomienkové konanie materiál:</w:t>
            </w:r>
            <w:r w:rsidRPr="00345CB6">
              <w:rPr>
                <w:rStyle w:val="Zvraznenie"/>
                <w:rFonts w:ascii="Times" w:hAnsi="Times" w:cs="Times"/>
                <w:sz w:val="20"/>
                <w:szCs w:val="20"/>
              </w:rPr>
              <w:t xml:space="preserve"> „Návrh zákona, ktorým sa mení a dopĺňa zákon č. 40/1964 Zb. Občiansky zákonník v znení neskorších predpisov“</w:t>
            </w:r>
            <w:r w:rsidRPr="00345CB6">
              <w:rPr>
                <w:rFonts w:ascii="Times" w:hAnsi="Times" w:cs="Times"/>
                <w:sz w:val="20"/>
                <w:szCs w:val="20"/>
              </w:rPr>
              <w:t>. Materiál predpokladá pozitívne sociálne vplyvy.</w:t>
            </w:r>
          </w:p>
          <w:p w:rsidR="007872A3" w:rsidRPr="00345CB6" w:rsidRDefault="007872A3">
            <w:pPr>
              <w:pStyle w:val="Normlnywebov"/>
              <w:jc w:val="both"/>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both"/>
              <w:rPr>
                <w:rFonts w:ascii="Times" w:hAnsi="Times" w:cs="Times"/>
                <w:sz w:val="20"/>
                <w:szCs w:val="20"/>
              </w:rPr>
            </w:pPr>
            <w:r w:rsidRPr="00345CB6">
              <w:rPr>
                <w:rStyle w:val="Siln"/>
                <w:rFonts w:ascii="Times" w:hAnsi="Times" w:cs="Times"/>
                <w:sz w:val="20"/>
                <w:szCs w:val="20"/>
              </w:rPr>
              <w:t xml:space="preserve">II. Pripomienky a návrhy zmien: </w:t>
            </w:r>
            <w:r w:rsidRPr="00345CB6">
              <w:rPr>
                <w:rFonts w:ascii="Times" w:hAnsi="Times" w:cs="Times"/>
                <w:sz w:val="20"/>
                <w:szCs w:val="20"/>
              </w:rPr>
              <w:t>Komisia neuplatňuje k materiálu žiadne pripomienky ani odporúčania.</w:t>
            </w:r>
          </w:p>
          <w:p w:rsidR="007872A3" w:rsidRPr="00345CB6" w:rsidRDefault="007872A3">
            <w:pPr>
              <w:pStyle w:val="Normlnywebov"/>
              <w:jc w:val="both"/>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both"/>
              <w:rPr>
                <w:rFonts w:ascii="Times" w:hAnsi="Times" w:cs="Times"/>
                <w:sz w:val="20"/>
                <w:szCs w:val="20"/>
              </w:rPr>
            </w:pPr>
            <w:r w:rsidRPr="00345CB6">
              <w:rPr>
                <w:rStyle w:val="Siln"/>
                <w:rFonts w:ascii="Times" w:hAnsi="Times" w:cs="Times"/>
                <w:sz w:val="20"/>
                <w:szCs w:val="20"/>
              </w:rPr>
              <w:t xml:space="preserve">III. Záver: </w:t>
            </w:r>
            <w:r w:rsidRPr="00345CB6">
              <w:rPr>
                <w:rFonts w:ascii="Times" w:hAnsi="Times" w:cs="Times"/>
                <w:sz w:val="20"/>
                <w:szCs w:val="20"/>
              </w:rPr>
              <w:t>Stála pracovná komisia na posudzovanie vybraných vplyvov vyjadruje</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jc w:val="center"/>
              <w:rPr>
                <w:rFonts w:ascii="Times" w:hAnsi="Times" w:cs="Times"/>
                <w:sz w:val="20"/>
                <w:szCs w:val="20"/>
              </w:rPr>
            </w:pPr>
            <w:r w:rsidRPr="00345CB6">
              <w:rPr>
                <w:rStyle w:val="Siln"/>
                <w:rFonts w:ascii="Times" w:hAnsi="Times" w:cs="Times"/>
                <w:sz w:val="20"/>
                <w:szCs w:val="20"/>
              </w:rPr>
              <w:t>súhlasné stanovisko</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rPr>
                <w:rFonts w:ascii="Times" w:hAnsi="Times" w:cs="Times"/>
                <w:sz w:val="20"/>
                <w:szCs w:val="20"/>
              </w:rPr>
            </w:pPr>
            <w:r w:rsidRPr="00345CB6">
              <w:rPr>
                <w:rFonts w:ascii="Times" w:hAnsi="Times" w:cs="Times"/>
                <w:sz w:val="20"/>
                <w:szCs w:val="20"/>
              </w:rPr>
              <w:t>s materiálom predloženým na predbežné pripomienkové konanie.</w:t>
            </w:r>
          </w:p>
          <w:p w:rsidR="007872A3" w:rsidRPr="00345CB6" w:rsidRDefault="007872A3">
            <w:pPr>
              <w:pStyle w:val="Normlnywebov"/>
              <w:rPr>
                <w:rFonts w:ascii="Times" w:hAnsi="Times" w:cs="Times"/>
                <w:sz w:val="20"/>
                <w:szCs w:val="20"/>
              </w:rPr>
            </w:pPr>
            <w:r w:rsidRPr="00345CB6">
              <w:rPr>
                <w:rFonts w:ascii="Times" w:hAnsi="Times" w:cs="Times"/>
                <w:sz w:val="20"/>
                <w:szCs w:val="20"/>
              </w:rPr>
              <w:t> </w:t>
            </w:r>
          </w:p>
          <w:p w:rsidR="007872A3" w:rsidRPr="00345CB6" w:rsidRDefault="007872A3">
            <w:pPr>
              <w:pStyle w:val="Normlnywebov"/>
              <w:rPr>
                <w:rFonts w:ascii="Times" w:hAnsi="Times" w:cs="Times"/>
                <w:sz w:val="20"/>
                <w:szCs w:val="20"/>
              </w:rPr>
            </w:pPr>
            <w:r w:rsidRPr="00345CB6">
              <w:rPr>
                <w:rStyle w:val="Siln"/>
                <w:rFonts w:ascii="Times" w:hAnsi="Times" w:cs="Times"/>
                <w:sz w:val="20"/>
                <w:szCs w:val="20"/>
              </w:rPr>
              <w:t xml:space="preserve">IV. Poznámka: </w:t>
            </w:r>
            <w:r w:rsidRPr="00345CB6">
              <w:rPr>
                <w:rFonts w:ascii="Times" w:hAnsi="Times" w:cs="Times"/>
                <w:sz w:val="20"/>
                <w:szCs w:val="20"/>
              </w:rPr>
              <w:t>Predkladateľ uvedie toto stanovisko Komisie do doložky vybraných vplyvov.</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06" w:rsidRDefault="001B0906">
      <w:r>
        <w:separator/>
      </w:r>
    </w:p>
  </w:endnote>
  <w:endnote w:type="continuationSeparator" w:id="0">
    <w:p w:rsidR="001B0906" w:rsidRDefault="001B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06" w:rsidRDefault="001B0906">
      <w:r>
        <w:separator/>
      </w:r>
    </w:p>
  </w:footnote>
  <w:footnote w:type="continuationSeparator" w:id="0">
    <w:p w:rsidR="001B0906" w:rsidRDefault="001B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06"/>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3BD5"/>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872A3"/>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75BDB91-3ACA-4A29-A193-F166FDF3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7872A3"/>
    <w:rPr>
      <w:b/>
      <w:bCs/>
    </w:rPr>
  </w:style>
  <w:style w:type="character" w:styleId="Zvraznenie">
    <w:name w:val="Emphasis"/>
    <w:uiPriority w:val="20"/>
    <w:qFormat/>
    <w:rsid w:val="00787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652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79663704">
      <w:bodyDiv w:val="1"/>
      <w:marLeft w:val="0"/>
      <w:marRight w:val="0"/>
      <w:marTop w:val="0"/>
      <w:marBottom w:val="0"/>
      <w:divBdr>
        <w:top w:val="none" w:sz="0" w:space="0" w:color="auto"/>
        <w:left w:val="none" w:sz="0" w:space="0" w:color="auto"/>
        <w:bottom w:val="none" w:sz="0" w:space="0" w:color="auto"/>
        <w:right w:val="none" w:sz="0" w:space="0" w:color="auto"/>
      </w:divBdr>
    </w:div>
    <w:div w:id="1285964561">
      <w:bodyDiv w:val="1"/>
      <w:marLeft w:val="0"/>
      <w:marRight w:val="0"/>
      <w:marTop w:val="0"/>
      <w:marBottom w:val="0"/>
      <w:divBdr>
        <w:top w:val="none" w:sz="0" w:space="0" w:color="auto"/>
        <w:left w:val="none" w:sz="0" w:space="0" w:color="auto"/>
        <w:bottom w:val="none" w:sz="0" w:space="0" w:color="auto"/>
        <w:right w:val="none" w:sz="0" w:space="0" w:color="auto"/>
      </w:divBdr>
    </w:div>
    <w:div w:id="1788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2.5.2019 10:07:25"/>
    <f:field ref="objchangedby" par="" text="Administrator, System"/>
    <f:field ref="objmodifiedat" par="" text="22.5.2019 10:07:2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HANÁKOVÁ Michaela</cp:lastModifiedBy>
  <cp:revision>3</cp:revision>
  <dcterms:created xsi:type="dcterms:W3CDTF">2019-05-22T08:07:00Z</dcterms:created>
  <dcterms:modified xsi:type="dcterms:W3CDTF">2019-06-12T08:05:00Z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Občianske právo_x000d_
Náhrada škody a bezdôvodné obohatenie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Michaela Hanáková</vt:lpwstr>
  </property>
  <property fmtid="{D5CDD505-2E9C-101B-9397-08002B2CF9AE}" pid="9" name="FSC#SKEDITIONSLOVLEX@103.510:zodppredkladatel">
    <vt:lpwstr>Gábor Gál</vt:lpwstr>
  </property>
  <property fmtid="{D5CDD505-2E9C-101B-9397-08002B2CF9AE}" pid="10" name="FSC#SKEDITIONSLOVLEX@103.510:nazovpredpis">
    <vt:lpwstr>, ktorým sa mení a dopĺňa zákon č. 40/1964 Zb. Občiansky zákonník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nález Ústavného súdu Slovenskej republiky z 10. októbra 2018 (PL. ÚS 10/2016-53)</vt:lpwstr>
  </property>
  <property fmtid="{D5CDD505-2E9C-101B-9397-08002B2CF9AE}" pid="16" name="FSC#SKEDITIONSLOVLEX@103.510:plnynazovpredpis">
    <vt:lpwstr> Zákon, ktorým sa mení a dopĺňa zákon č. 40/1964 Zb. Občiansky zákonník v znení neskorších predpisov</vt:lpwstr>
  </property>
  <property fmtid="{D5CDD505-2E9C-101B-9397-08002B2CF9AE}" pid="17" name="FSC#SKEDITIONSLOVLEX@103.510:rezortcislopredpis">
    <vt:lpwstr>03031/2019/110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7. 5. 2019</vt:lpwstr>
  </property>
  <property fmtid="{D5CDD505-2E9C-101B-9397-08002B2CF9AE}" pid="49" name="FSC#SKEDITIONSLOVLEX@103.510:AttrDateDocPropUkonceniePKK">
    <vt:lpwstr>22. 5. 2019</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 návrh zákona má pozitívny vplyv na prístup obyvateľov k&amp;nbsp;spravodlivosti a&amp;nbsp;právnej ochrane, tým že dôsledne rešpektuje základný princíp súkromného práva – princíp náhrady skutočnej majetkovej škody v&amp;nbs</vt:lpwstr>
  </property>
  <property fmtid="{D5CDD505-2E9C-101B-9397-08002B2CF9AE}" pid="56" name="FSC#SKEDITIONSLOVLEX@103.510:AttrStrListDocPropAltRiesenia">
    <vt:lpwstr>Neboli identifikované alternatívy k predloženým riešeniam, ktoré by naplnili cieľ.</vt:lpwstr>
  </property>
  <property fmtid="{D5CDD505-2E9C-101B-9397-08002B2CF9AE}" pid="57" name="FSC#SKEDITIONSLOVLEX@103.510:AttrStrListDocPropStanoviskoGest">
    <vt:lpwstr>&lt;p align="center"&gt;&lt;strong&gt;stanovisko komisie&lt;/strong&gt;&lt;/p&gt;&lt;p&gt;&amp;nbsp;&lt;/p&gt;&lt;p align="center"&gt;&lt;strong&gt;(predbežné pripomienkové konanie)&lt;/strong&gt;&lt;/p&gt;&lt;p align="center"&gt;&amp;nbsp;&lt;/p&gt;&lt;p align="center"&gt;&lt;strong&gt;k&amp;nbsp;materiálu&lt;/strong&gt;&lt;/p&gt;&lt;p&gt;&amp;nbsp;&lt;/p&gt;&lt;p align="center"</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medzirezortného &amp;nbsp;pripomienkového konania návrh zákona ktorým sa mení a dopĺňa zákon č. 40/1964 Zb. Občiansky zákonník v&amp;nbsp;znení neskorších predpisov (ďal</vt:lpwstr>
  </property>
  <property fmtid="{D5CDD505-2E9C-101B-9397-08002B2CF9AE}" pid="130" name="FSC#COOSYSTEM@1.1:Container">
    <vt:lpwstr>COO.2145.1000.3.3378218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spravodlivosti Slovenskej republiky</vt:lpwstr>
  </property>
  <property fmtid="{D5CDD505-2E9C-101B-9397-08002B2CF9AE}" pid="145" name="FSC#SKEDITIONSLOVLEX@103.510:funkciaZodpPredAkuzativ">
    <vt:lpwstr>ministra spravodlivosti Slovenskej republiky</vt:lpwstr>
  </property>
  <property fmtid="{D5CDD505-2E9C-101B-9397-08002B2CF9AE}" pid="146" name="FSC#SKEDITIONSLOVLEX@103.510:funkciaZodpPredDativ">
    <vt:lpwstr>ministrovi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Gábor Gál_x000d_
minister spravodlivosti Slovenskej republiky</vt:lpwstr>
  </property>
  <property fmtid="{D5CDD505-2E9C-101B-9397-08002B2CF9AE}" pid="151" name="FSC#SKEDITIONSLOVLEX@103.510:aktualnyrok">
    <vt:lpwstr>2019</vt:lpwstr>
  </property>
  <property fmtid="{D5CDD505-2E9C-101B-9397-08002B2CF9AE}" pid="152" name="FSC#SKEDITIONSLOVLEX@103.510:vytvorenedna">
    <vt:lpwstr>22. 5. 2019</vt:lpwstr>
  </property>
</Properties>
</file>