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59B4" w:rsidRPr="00E559B4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E559B4" w:rsidRDefault="008A1252" w:rsidP="007B71A4">
            <w:pPr>
              <w:jc w:val="center"/>
              <w:rPr>
                <w:b/>
                <w:sz w:val="24"/>
              </w:rPr>
            </w:pPr>
            <w:r w:rsidRPr="00E559B4">
              <w:rPr>
                <w:b/>
                <w:sz w:val="28"/>
              </w:rPr>
              <w:t>Analýza v</w:t>
            </w:r>
            <w:r w:rsidR="009F2DFA" w:rsidRPr="00E559B4">
              <w:rPr>
                <w:b/>
                <w:sz w:val="28"/>
              </w:rPr>
              <w:t>plyv</w:t>
            </w:r>
            <w:r w:rsidRPr="00E559B4">
              <w:rPr>
                <w:b/>
                <w:sz w:val="28"/>
              </w:rPr>
              <w:t>ov</w:t>
            </w:r>
            <w:r w:rsidR="009F2DFA" w:rsidRPr="00E559B4">
              <w:rPr>
                <w:b/>
                <w:sz w:val="28"/>
              </w:rPr>
              <w:t xml:space="preserve"> na podnikateľské prostredie</w:t>
            </w:r>
          </w:p>
          <w:p w:rsidR="009F2DFA" w:rsidRPr="00E559B4" w:rsidRDefault="009F2DFA" w:rsidP="00780BA6">
            <w:pPr>
              <w:jc w:val="center"/>
              <w:rPr>
                <w:b/>
              </w:rPr>
            </w:pPr>
            <w:r w:rsidRPr="00E559B4">
              <w:rPr>
                <w:b/>
                <w:sz w:val="24"/>
              </w:rPr>
              <w:t xml:space="preserve">(vrátane </w:t>
            </w:r>
            <w:r w:rsidR="00780BA6" w:rsidRPr="00E559B4">
              <w:rPr>
                <w:b/>
                <w:sz w:val="24"/>
              </w:rPr>
              <w:t xml:space="preserve">testu </w:t>
            </w:r>
            <w:r w:rsidRPr="00E559B4">
              <w:rPr>
                <w:b/>
                <w:sz w:val="24"/>
              </w:rPr>
              <w:t>MSP)</w:t>
            </w:r>
          </w:p>
        </w:tc>
      </w:tr>
      <w:tr w:rsidR="00E559B4" w:rsidRPr="00E559B4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E559B4" w:rsidRDefault="009F2DFA" w:rsidP="007B71A4">
            <w:pPr>
              <w:rPr>
                <w:b/>
                <w:sz w:val="24"/>
              </w:rPr>
            </w:pPr>
            <w:r w:rsidRPr="00E559B4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E559B4" w:rsidRPr="00E559B4" w:rsidTr="007B71A4">
        <w:trPr>
          <w:trHeight w:val="567"/>
        </w:trPr>
        <w:tc>
          <w:tcPr>
            <w:tcW w:w="9212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E559B4" w:rsidRPr="00E559B4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E559B4" w:rsidRDefault="009F2DFA" w:rsidP="007B71A4">
                  <w:pPr>
                    <w:jc w:val="center"/>
                  </w:pPr>
                  <w:r w:rsidRPr="00E559B4">
                    <w:rPr>
                      <w:rFonts w:ascii="Segoe UI Symbol" w:eastAsia="MS Mincho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E559B4" w:rsidRDefault="009F2DFA" w:rsidP="007B71A4">
                  <w:pPr>
                    <w:rPr>
                      <w:b/>
                      <w:sz w:val="24"/>
                      <w:szCs w:val="24"/>
                    </w:rPr>
                  </w:pPr>
                  <w:r w:rsidRPr="00E559B4">
                    <w:rPr>
                      <w:b/>
                      <w:sz w:val="24"/>
                      <w:szCs w:val="24"/>
                    </w:rPr>
                    <w:t xml:space="preserve">iba na MSP (0 - 249 zamestnancov) </w:t>
                  </w:r>
                </w:p>
              </w:tc>
            </w:tr>
            <w:tr w:rsidR="00E559B4" w:rsidRPr="00E559B4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E559B4" w:rsidRDefault="009F2DFA" w:rsidP="007B71A4">
                  <w:pPr>
                    <w:jc w:val="center"/>
                  </w:pPr>
                  <w:r w:rsidRPr="00E559B4">
                    <w:rPr>
                      <w:rFonts w:ascii="Segoe UI Symbol" w:eastAsia="MS Mincho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E559B4" w:rsidRDefault="009F2DFA" w:rsidP="007B71A4">
                  <w:pPr>
                    <w:rPr>
                      <w:b/>
                      <w:sz w:val="24"/>
                      <w:szCs w:val="24"/>
                    </w:rPr>
                  </w:pPr>
                  <w:r w:rsidRPr="00E559B4">
                    <w:rPr>
                      <w:b/>
                      <w:sz w:val="24"/>
                      <w:szCs w:val="24"/>
                    </w:rPr>
                    <w:t>iba na veľké podniky (250 a viac zamestnancov)</w:t>
                  </w:r>
                </w:p>
              </w:tc>
            </w:tr>
            <w:tr w:rsidR="00E559B4" w:rsidRPr="00E559B4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E559B4" w:rsidRDefault="003D1528" w:rsidP="007B71A4">
                  <w:pPr>
                    <w:jc w:val="center"/>
                  </w:pPr>
                  <w:r w:rsidRPr="00E559B4">
                    <w:rPr>
                      <w:rFonts w:ascii="MS Gothic" w:eastAsia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E559B4" w:rsidRDefault="009F2DFA" w:rsidP="007B71A4">
                  <w:pPr>
                    <w:rPr>
                      <w:sz w:val="24"/>
                      <w:szCs w:val="24"/>
                    </w:rPr>
                  </w:pPr>
                  <w:r w:rsidRPr="00E559B4">
                    <w:rPr>
                      <w:b/>
                      <w:sz w:val="24"/>
                      <w:szCs w:val="24"/>
                    </w:rPr>
                    <w:t>na všetky kategórie podnikov</w:t>
                  </w:r>
                </w:p>
              </w:tc>
            </w:tr>
          </w:tbl>
          <w:p w:rsidR="009F2DFA" w:rsidRPr="00E559B4" w:rsidRDefault="009F2DFA" w:rsidP="007B71A4">
            <w:pPr>
              <w:rPr>
                <w:b/>
              </w:rPr>
            </w:pPr>
          </w:p>
        </w:tc>
      </w:tr>
      <w:tr w:rsidR="00E559B4" w:rsidRPr="00E559B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E559B4" w:rsidRDefault="002B1108" w:rsidP="007B71A4">
            <w:pPr>
              <w:rPr>
                <w:b/>
                <w:sz w:val="24"/>
              </w:rPr>
            </w:pPr>
            <w:r w:rsidRPr="00E559B4">
              <w:rPr>
                <w:b/>
                <w:sz w:val="24"/>
              </w:rPr>
              <w:t>3</w:t>
            </w:r>
            <w:r w:rsidR="009F2DFA" w:rsidRPr="00E559B4">
              <w:rPr>
                <w:b/>
                <w:sz w:val="24"/>
              </w:rPr>
              <w:t>.1 Dotknuté podnikateľské subjekty</w:t>
            </w:r>
          </w:p>
          <w:p w:rsidR="009F2DFA" w:rsidRPr="00E559B4" w:rsidRDefault="009F2DFA" w:rsidP="007B71A4">
            <w:pPr>
              <w:ind w:left="284"/>
              <w:rPr>
                <w:b/>
              </w:rPr>
            </w:pPr>
            <w:r w:rsidRPr="00E559B4">
              <w:rPr>
                <w:sz w:val="24"/>
              </w:rPr>
              <w:t xml:space="preserve"> - </w:t>
            </w:r>
            <w:r w:rsidRPr="00E559B4">
              <w:rPr>
                <w:b/>
                <w:sz w:val="24"/>
              </w:rPr>
              <w:t>z toho MSP</w:t>
            </w:r>
          </w:p>
        </w:tc>
      </w:tr>
      <w:tr w:rsidR="00E559B4" w:rsidRPr="00E559B4" w:rsidTr="007B71A4">
        <w:tc>
          <w:tcPr>
            <w:tcW w:w="9212" w:type="dxa"/>
          </w:tcPr>
          <w:p w:rsidR="009F2DFA" w:rsidRPr="00E559B4" w:rsidRDefault="009F2DFA" w:rsidP="00390F94">
            <w:pPr>
              <w:jc w:val="both"/>
              <w:rPr>
                <w:i/>
              </w:rPr>
            </w:pPr>
            <w:r w:rsidRPr="00E559B4">
              <w:rPr>
                <w:i/>
              </w:rPr>
              <w:t>Uveďte, aké podnikateľské subjekty budú predkladaným návrhom ovplyvnené.</w:t>
            </w:r>
          </w:p>
          <w:p w:rsidR="00C92901" w:rsidRPr="00E559B4" w:rsidRDefault="009F2DFA" w:rsidP="00CE5733">
            <w:pPr>
              <w:jc w:val="both"/>
              <w:rPr>
                <w:i/>
              </w:rPr>
            </w:pPr>
            <w:r w:rsidRPr="00E559B4">
              <w:rPr>
                <w:i/>
              </w:rPr>
              <w:t>Aký je ich počet?</w:t>
            </w:r>
          </w:p>
        </w:tc>
      </w:tr>
      <w:tr w:rsidR="00E559B4" w:rsidRPr="00E559B4" w:rsidTr="007B71A4">
        <w:trPr>
          <w:trHeight w:val="1440"/>
        </w:trPr>
        <w:tc>
          <w:tcPr>
            <w:tcW w:w="9212" w:type="dxa"/>
          </w:tcPr>
          <w:p w:rsidR="00B74D62" w:rsidRDefault="00B74D62" w:rsidP="00CD199E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Zákonom č. 106/2018 Z. z. o prevádzke vozidiel v cestnej premávke a o zmene a doplnení niektorých zákonov sú dotknuté nasledovné podnikateľské subjekty:</w:t>
            </w:r>
          </w:p>
          <w:p w:rsidR="00D81C19" w:rsidRPr="00E559B4" w:rsidRDefault="00D81C19" w:rsidP="00E8438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E559B4">
              <w:rPr>
                <w:rFonts w:ascii="Times New Roman" w:hAnsi="Times New Roman"/>
              </w:rPr>
              <w:t>výrobcov</w:t>
            </w:r>
            <w:r w:rsidR="00B74D62">
              <w:rPr>
                <w:rFonts w:ascii="Times New Roman" w:hAnsi="Times New Roman"/>
              </w:rPr>
              <w:t>ia</w:t>
            </w:r>
            <w:r w:rsidRPr="00E559B4">
              <w:rPr>
                <w:rFonts w:ascii="Times New Roman" w:hAnsi="Times New Roman"/>
              </w:rPr>
              <w:t xml:space="preserve"> a zástupcov</w:t>
            </w:r>
            <w:r w:rsidR="00B74D62">
              <w:rPr>
                <w:rFonts w:ascii="Times New Roman" w:hAnsi="Times New Roman"/>
              </w:rPr>
              <w:t>ia</w:t>
            </w:r>
            <w:r w:rsidRPr="00E559B4">
              <w:rPr>
                <w:rFonts w:ascii="Times New Roman" w:hAnsi="Times New Roman"/>
              </w:rPr>
              <w:t xml:space="preserve"> výrobcu, ktorí vyrábajú typ vozidla alebo vykonávajú hromadné prestavby typu vozidla, vyrábajú typ systému, komponentu alebo samostatnej technickej jednotky</w:t>
            </w:r>
            <w:r w:rsidR="00CB306F" w:rsidRPr="00E559B4">
              <w:rPr>
                <w:rFonts w:ascii="Times New Roman" w:hAnsi="Times New Roman"/>
              </w:rPr>
              <w:t xml:space="preserve"> (počet výrobcov nie je možné odhadnúť, pretože o udelenie schválenia môže požiadať ktorýkoľvek výrobca na svete, počet zástupcov výrobcov v Slovenskej republike je </w:t>
            </w:r>
            <w:r w:rsidR="00B74D62">
              <w:rPr>
                <w:rFonts w:ascii="Times New Roman" w:hAnsi="Times New Roman"/>
              </w:rPr>
              <w:t>v súčasnosti registrovaných približne 900</w:t>
            </w:r>
            <w:r w:rsidR="00CB306F" w:rsidRPr="00E559B4">
              <w:rPr>
                <w:rFonts w:ascii="Times New Roman" w:hAnsi="Times New Roman"/>
              </w:rPr>
              <w:t>)</w:t>
            </w:r>
            <w:r w:rsidRPr="00E559B4">
              <w:rPr>
                <w:rFonts w:ascii="Times New Roman" w:hAnsi="Times New Roman"/>
              </w:rPr>
              <w:t>,</w:t>
            </w:r>
            <w:r w:rsidR="00CB306F" w:rsidRPr="00E559B4">
              <w:rPr>
                <w:rFonts w:ascii="Times New Roman" w:hAnsi="Times New Roman"/>
              </w:rPr>
              <w:t xml:space="preserve"> </w:t>
            </w:r>
          </w:p>
          <w:p w:rsidR="00D81C19" w:rsidRPr="00E559B4" w:rsidRDefault="00D81C19" w:rsidP="00E8438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E559B4">
              <w:rPr>
                <w:rFonts w:ascii="Times New Roman" w:hAnsi="Times New Roman"/>
              </w:rPr>
              <w:t>prevádzkovate</w:t>
            </w:r>
            <w:r w:rsidR="00B74D62">
              <w:rPr>
                <w:rFonts w:ascii="Times New Roman" w:hAnsi="Times New Roman"/>
              </w:rPr>
              <w:t>lia</w:t>
            </w:r>
            <w:r w:rsidRPr="00E559B4">
              <w:rPr>
                <w:rFonts w:ascii="Times New Roman" w:hAnsi="Times New Roman"/>
              </w:rPr>
              <w:t xml:space="preserve"> vozid</w:t>
            </w:r>
            <w:r w:rsidR="00B74D62">
              <w:rPr>
                <w:rFonts w:ascii="Times New Roman" w:hAnsi="Times New Roman"/>
              </w:rPr>
              <w:t>iel</w:t>
            </w:r>
            <w:r w:rsidR="00CB306F" w:rsidRPr="00E559B4">
              <w:rPr>
                <w:rFonts w:ascii="Times New Roman" w:hAnsi="Times New Roman"/>
              </w:rPr>
              <w:t xml:space="preserve"> (počet evidovaných vozidiel v Slovenskej republike je takmer 3</w:t>
            </w:r>
            <w:r w:rsidR="002A35A6">
              <w:rPr>
                <w:rFonts w:ascii="Times New Roman" w:hAnsi="Times New Roman"/>
              </w:rPr>
              <w:t>,3 </w:t>
            </w:r>
            <w:r w:rsidR="00CB306F" w:rsidRPr="00E559B4">
              <w:rPr>
                <w:rFonts w:ascii="Times New Roman" w:hAnsi="Times New Roman"/>
              </w:rPr>
              <w:t>milión</w:t>
            </w:r>
            <w:r w:rsidR="002A35A6">
              <w:rPr>
                <w:rFonts w:ascii="Times New Roman" w:hAnsi="Times New Roman"/>
              </w:rPr>
              <w:t>a</w:t>
            </w:r>
            <w:r w:rsidR="00CB306F" w:rsidRPr="00E559B4">
              <w:rPr>
                <w:rFonts w:ascii="Times New Roman" w:hAnsi="Times New Roman"/>
              </w:rPr>
              <w:t>)</w:t>
            </w:r>
            <w:r w:rsidRPr="00E559B4">
              <w:rPr>
                <w:rFonts w:ascii="Times New Roman" w:hAnsi="Times New Roman"/>
              </w:rPr>
              <w:t>,</w:t>
            </w:r>
          </w:p>
          <w:p w:rsidR="00D81C19" w:rsidRPr="00E559B4" w:rsidRDefault="00D81C19" w:rsidP="00E8438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E559B4">
              <w:rPr>
                <w:rFonts w:ascii="Times New Roman" w:hAnsi="Times New Roman"/>
              </w:rPr>
              <w:t>technick</w:t>
            </w:r>
            <w:r w:rsidR="00B74D62">
              <w:rPr>
                <w:rFonts w:ascii="Times New Roman" w:hAnsi="Times New Roman"/>
              </w:rPr>
              <w:t>é</w:t>
            </w:r>
            <w:r w:rsidRPr="00E559B4">
              <w:rPr>
                <w:rFonts w:ascii="Times New Roman" w:hAnsi="Times New Roman"/>
              </w:rPr>
              <w:t xml:space="preserve"> služ</w:t>
            </w:r>
            <w:r w:rsidR="00B74D62">
              <w:rPr>
                <w:rFonts w:ascii="Times New Roman" w:hAnsi="Times New Roman"/>
              </w:rPr>
              <w:t>by</w:t>
            </w:r>
            <w:r w:rsidRPr="00E559B4">
              <w:rPr>
                <w:rFonts w:ascii="Times New Roman" w:hAnsi="Times New Roman"/>
              </w:rPr>
              <w:t xml:space="preserve"> overovania, technick</w:t>
            </w:r>
            <w:r w:rsidR="00B74D62">
              <w:rPr>
                <w:rFonts w:ascii="Times New Roman" w:hAnsi="Times New Roman"/>
              </w:rPr>
              <w:t>á</w:t>
            </w:r>
            <w:r w:rsidRPr="00E559B4">
              <w:rPr>
                <w:rFonts w:ascii="Times New Roman" w:hAnsi="Times New Roman"/>
              </w:rPr>
              <w:t xml:space="preserve"> služb</w:t>
            </w:r>
            <w:r w:rsidR="00B74D62">
              <w:rPr>
                <w:rFonts w:ascii="Times New Roman" w:hAnsi="Times New Roman"/>
              </w:rPr>
              <w:t>a</w:t>
            </w:r>
            <w:r w:rsidRPr="00E559B4">
              <w:rPr>
                <w:rFonts w:ascii="Times New Roman" w:hAnsi="Times New Roman"/>
              </w:rPr>
              <w:t xml:space="preserve"> technickej kontroly, technick</w:t>
            </w:r>
            <w:r w:rsidR="00B74D62">
              <w:rPr>
                <w:rFonts w:ascii="Times New Roman" w:hAnsi="Times New Roman"/>
              </w:rPr>
              <w:t>á</w:t>
            </w:r>
            <w:r w:rsidRPr="00E559B4">
              <w:rPr>
                <w:rFonts w:ascii="Times New Roman" w:hAnsi="Times New Roman"/>
              </w:rPr>
              <w:t xml:space="preserve"> služb</w:t>
            </w:r>
            <w:r w:rsidR="00B74D62">
              <w:rPr>
                <w:rFonts w:ascii="Times New Roman" w:hAnsi="Times New Roman"/>
              </w:rPr>
              <w:t>a</w:t>
            </w:r>
            <w:r w:rsidRPr="00E559B4">
              <w:rPr>
                <w:rFonts w:ascii="Times New Roman" w:hAnsi="Times New Roman"/>
              </w:rPr>
              <w:t xml:space="preserve"> emisnej kontroly, technick</w:t>
            </w:r>
            <w:r w:rsidR="00B74D62">
              <w:rPr>
                <w:rFonts w:ascii="Times New Roman" w:hAnsi="Times New Roman"/>
              </w:rPr>
              <w:t>á</w:t>
            </w:r>
            <w:r w:rsidRPr="00E559B4">
              <w:rPr>
                <w:rFonts w:ascii="Times New Roman" w:hAnsi="Times New Roman"/>
              </w:rPr>
              <w:t xml:space="preserve"> služby kontroly originality, technick</w:t>
            </w:r>
            <w:r w:rsidR="00B74D62">
              <w:rPr>
                <w:rFonts w:ascii="Times New Roman" w:hAnsi="Times New Roman"/>
              </w:rPr>
              <w:t>á</w:t>
            </w:r>
            <w:r w:rsidRPr="00E559B4">
              <w:rPr>
                <w:rFonts w:ascii="Times New Roman" w:hAnsi="Times New Roman"/>
              </w:rPr>
              <w:t xml:space="preserve"> služb</w:t>
            </w:r>
            <w:r w:rsidR="00B74D62">
              <w:rPr>
                <w:rFonts w:ascii="Times New Roman" w:hAnsi="Times New Roman"/>
              </w:rPr>
              <w:t>a</w:t>
            </w:r>
            <w:r w:rsidRPr="00E559B4">
              <w:rPr>
                <w:rFonts w:ascii="Times New Roman" w:hAnsi="Times New Roman"/>
              </w:rPr>
              <w:t xml:space="preserve"> montáže plynových zariadení</w:t>
            </w:r>
            <w:r w:rsidR="00CB306F" w:rsidRPr="00E559B4">
              <w:rPr>
                <w:rFonts w:ascii="Times New Roman" w:hAnsi="Times New Roman"/>
              </w:rPr>
              <w:t xml:space="preserve"> (18</w:t>
            </w:r>
            <w:r w:rsidR="002A35A6">
              <w:rPr>
                <w:rFonts w:ascii="Times New Roman" w:hAnsi="Times New Roman"/>
              </w:rPr>
              <w:t> </w:t>
            </w:r>
            <w:r w:rsidR="00CB306F" w:rsidRPr="00E559B4">
              <w:rPr>
                <w:rFonts w:ascii="Times New Roman" w:hAnsi="Times New Roman"/>
              </w:rPr>
              <w:t>technických služieb)</w:t>
            </w:r>
            <w:r w:rsidRPr="00E559B4">
              <w:rPr>
                <w:rFonts w:ascii="Times New Roman" w:hAnsi="Times New Roman"/>
              </w:rPr>
              <w:t>,</w:t>
            </w:r>
          </w:p>
          <w:p w:rsidR="00D81C19" w:rsidRPr="00E559B4" w:rsidRDefault="00B74D62" w:rsidP="00E8438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E559B4">
              <w:rPr>
                <w:rFonts w:ascii="Times New Roman" w:hAnsi="Times New Roman"/>
              </w:rPr>
              <w:t>nakladajúc</w:t>
            </w:r>
            <w:r>
              <w:rPr>
                <w:rFonts w:ascii="Times New Roman" w:hAnsi="Times New Roman"/>
              </w:rPr>
              <w:t>e</w:t>
            </w:r>
            <w:r w:rsidR="00D81C19" w:rsidRPr="00E559B4">
              <w:rPr>
                <w:rFonts w:ascii="Times New Roman" w:hAnsi="Times New Roman"/>
              </w:rPr>
              <w:t xml:space="preserve"> organizáci</w:t>
            </w:r>
            <w:r>
              <w:rPr>
                <w:rFonts w:ascii="Times New Roman" w:hAnsi="Times New Roman"/>
              </w:rPr>
              <w:t>e</w:t>
            </w:r>
            <w:r w:rsidR="00D517E6">
              <w:rPr>
                <w:rFonts w:ascii="Times New Roman" w:hAnsi="Times New Roman"/>
              </w:rPr>
              <w:t xml:space="preserve"> (odosielatelia nákladu)</w:t>
            </w:r>
            <w:r w:rsidR="00D81C19" w:rsidRPr="00E559B4">
              <w:rPr>
                <w:rFonts w:ascii="Times New Roman" w:hAnsi="Times New Roman"/>
              </w:rPr>
              <w:t>, os</w:t>
            </w:r>
            <w:r>
              <w:rPr>
                <w:rFonts w:ascii="Times New Roman" w:hAnsi="Times New Roman"/>
              </w:rPr>
              <w:t>oby</w:t>
            </w:r>
            <w:r w:rsidR="00D81C19" w:rsidRPr="00E559B4">
              <w:rPr>
                <w:rFonts w:ascii="Times New Roman" w:hAnsi="Times New Roman"/>
              </w:rPr>
              <w:t xml:space="preserve"> zodpovedn</w:t>
            </w:r>
            <w:r>
              <w:rPr>
                <w:rFonts w:ascii="Times New Roman" w:hAnsi="Times New Roman"/>
              </w:rPr>
              <w:t>é</w:t>
            </w:r>
            <w:r w:rsidR="00D81C19" w:rsidRPr="00E559B4">
              <w:rPr>
                <w:rFonts w:ascii="Times New Roman" w:hAnsi="Times New Roman"/>
              </w:rPr>
              <w:t xml:space="preserve"> za nakládku vozidiel v</w:t>
            </w:r>
            <w:r w:rsidR="00D517E6">
              <w:rPr>
                <w:rFonts w:ascii="Times New Roman" w:hAnsi="Times New Roman"/>
              </w:rPr>
              <w:t> </w:t>
            </w:r>
            <w:r w:rsidR="00D81C19" w:rsidRPr="00E559B4">
              <w:rPr>
                <w:rFonts w:ascii="Times New Roman" w:hAnsi="Times New Roman"/>
              </w:rPr>
              <w:t>nakladacej</w:t>
            </w:r>
            <w:r w:rsidR="00D517E6">
              <w:rPr>
                <w:rFonts w:ascii="Times New Roman" w:hAnsi="Times New Roman"/>
              </w:rPr>
              <w:t xml:space="preserve"> </w:t>
            </w:r>
            <w:r w:rsidR="00D81C19" w:rsidRPr="00E559B4">
              <w:rPr>
                <w:rFonts w:ascii="Times New Roman" w:hAnsi="Times New Roman"/>
              </w:rPr>
              <w:t>organizácii</w:t>
            </w:r>
            <w:r w:rsidR="00CB306F" w:rsidRPr="00E559B4">
              <w:rPr>
                <w:rFonts w:ascii="Times New Roman" w:hAnsi="Times New Roman"/>
              </w:rPr>
              <w:t xml:space="preserve"> (počet nakladajúcich organizácií nie je možné odhadnúť, keďže náklad môže nakladať ktorákoľvek osoba)</w:t>
            </w:r>
            <w:r w:rsidR="00D81C19" w:rsidRPr="00E559B4">
              <w:rPr>
                <w:rFonts w:ascii="Times New Roman" w:hAnsi="Times New Roman"/>
              </w:rPr>
              <w:t>,</w:t>
            </w:r>
          </w:p>
          <w:p w:rsidR="00D81C19" w:rsidRPr="00E559B4" w:rsidRDefault="00D81C19" w:rsidP="00E8438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E559B4">
              <w:rPr>
                <w:rFonts w:ascii="Times New Roman" w:hAnsi="Times New Roman"/>
              </w:rPr>
              <w:t>oprávnen</w:t>
            </w:r>
            <w:r w:rsidR="00B74D62">
              <w:rPr>
                <w:rFonts w:ascii="Times New Roman" w:hAnsi="Times New Roman"/>
              </w:rPr>
              <w:t>é</w:t>
            </w:r>
            <w:r w:rsidRPr="00E559B4">
              <w:rPr>
                <w:rFonts w:ascii="Times New Roman" w:hAnsi="Times New Roman"/>
              </w:rPr>
              <w:t xml:space="preserve"> os</w:t>
            </w:r>
            <w:r w:rsidR="00B74D62">
              <w:rPr>
                <w:rFonts w:ascii="Times New Roman" w:hAnsi="Times New Roman"/>
              </w:rPr>
              <w:t>oby</w:t>
            </w:r>
            <w:r w:rsidRPr="00E559B4">
              <w:rPr>
                <w:rFonts w:ascii="Times New Roman" w:hAnsi="Times New Roman"/>
              </w:rPr>
              <w:t xml:space="preserve"> technickej kontroly, emisnej kontroly, kontroly originality</w:t>
            </w:r>
            <w:r w:rsidR="00BC5C24">
              <w:rPr>
                <w:rFonts w:ascii="Times New Roman" w:hAnsi="Times New Roman"/>
              </w:rPr>
              <w:t xml:space="preserve"> alebo</w:t>
            </w:r>
            <w:r w:rsidRPr="00E559B4">
              <w:rPr>
                <w:rFonts w:ascii="Times New Roman" w:hAnsi="Times New Roman"/>
              </w:rPr>
              <w:t xml:space="preserve"> montáže plynových zariadení a ich pracovní</w:t>
            </w:r>
            <w:r w:rsidR="00BC5C24">
              <w:rPr>
                <w:rFonts w:ascii="Times New Roman" w:hAnsi="Times New Roman"/>
              </w:rPr>
              <w:t>ci</w:t>
            </w:r>
            <w:r w:rsidR="00CB306F" w:rsidRPr="00E559B4">
              <w:rPr>
                <w:rFonts w:ascii="Times New Roman" w:hAnsi="Times New Roman"/>
              </w:rPr>
              <w:t xml:space="preserve"> (približne </w:t>
            </w:r>
            <w:r w:rsidR="00B74D62">
              <w:rPr>
                <w:rFonts w:ascii="Times New Roman" w:hAnsi="Times New Roman"/>
              </w:rPr>
              <w:t>300</w:t>
            </w:r>
            <w:r w:rsidR="00CB306F" w:rsidRPr="00E559B4">
              <w:rPr>
                <w:rFonts w:ascii="Times New Roman" w:hAnsi="Times New Roman"/>
              </w:rPr>
              <w:t xml:space="preserve"> osôb)</w:t>
            </w:r>
            <w:r w:rsidRPr="00E559B4">
              <w:rPr>
                <w:rFonts w:ascii="Times New Roman" w:hAnsi="Times New Roman"/>
              </w:rPr>
              <w:t>,</w:t>
            </w:r>
          </w:p>
          <w:p w:rsidR="00D81C19" w:rsidRPr="00E559B4" w:rsidRDefault="00D81C19" w:rsidP="00E8438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E559B4">
              <w:rPr>
                <w:rFonts w:ascii="Times New Roman" w:hAnsi="Times New Roman"/>
              </w:rPr>
              <w:t>fyzick</w:t>
            </w:r>
            <w:r w:rsidR="00B74D62">
              <w:rPr>
                <w:rFonts w:ascii="Times New Roman" w:hAnsi="Times New Roman"/>
              </w:rPr>
              <w:t>é</w:t>
            </w:r>
            <w:r w:rsidRPr="00E559B4">
              <w:rPr>
                <w:rFonts w:ascii="Times New Roman" w:hAnsi="Times New Roman"/>
              </w:rPr>
              <w:t xml:space="preserve"> os</w:t>
            </w:r>
            <w:r w:rsidR="00B74D62">
              <w:rPr>
                <w:rFonts w:ascii="Times New Roman" w:hAnsi="Times New Roman"/>
              </w:rPr>
              <w:t>oby</w:t>
            </w:r>
            <w:r w:rsidRPr="00E559B4">
              <w:rPr>
                <w:rFonts w:ascii="Times New Roman" w:hAnsi="Times New Roman"/>
              </w:rPr>
              <w:t xml:space="preserve"> – podnikate</w:t>
            </w:r>
            <w:r w:rsidR="00B74D62">
              <w:rPr>
                <w:rFonts w:ascii="Times New Roman" w:hAnsi="Times New Roman"/>
              </w:rPr>
              <w:t>lia</w:t>
            </w:r>
            <w:r w:rsidRPr="00E559B4">
              <w:rPr>
                <w:rFonts w:ascii="Times New Roman" w:hAnsi="Times New Roman"/>
              </w:rPr>
              <w:t xml:space="preserve"> a právnick</w:t>
            </w:r>
            <w:r w:rsidR="00B74D62">
              <w:rPr>
                <w:rFonts w:ascii="Times New Roman" w:hAnsi="Times New Roman"/>
              </w:rPr>
              <w:t>é</w:t>
            </w:r>
            <w:r w:rsidRPr="00E559B4">
              <w:rPr>
                <w:rFonts w:ascii="Times New Roman" w:hAnsi="Times New Roman"/>
              </w:rPr>
              <w:t xml:space="preserve"> os</w:t>
            </w:r>
            <w:r w:rsidR="00B74D62">
              <w:rPr>
                <w:rFonts w:ascii="Times New Roman" w:hAnsi="Times New Roman"/>
              </w:rPr>
              <w:t>oby</w:t>
            </w:r>
            <w:r w:rsidRPr="00E559B4">
              <w:rPr>
                <w:rFonts w:ascii="Times New Roman" w:hAnsi="Times New Roman"/>
              </w:rPr>
              <w:t xml:space="preserve"> vykonávajúcich diagnostiku, opravy alebo údržbu cestných motorových vozidiel alebo vykonávajúc</w:t>
            </w:r>
            <w:r w:rsidR="00BC5C24">
              <w:rPr>
                <w:rFonts w:ascii="Times New Roman" w:hAnsi="Times New Roman"/>
              </w:rPr>
              <w:t>e</w:t>
            </w:r>
            <w:r w:rsidRPr="00E559B4">
              <w:rPr>
                <w:rFonts w:ascii="Times New Roman" w:hAnsi="Times New Roman"/>
              </w:rPr>
              <w:t xml:space="preserve"> opravy karosérií</w:t>
            </w:r>
            <w:r w:rsidR="00DD4179" w:rsidRPr="00E559B4">
              <w:rPr>
                <w:rFonts w:ascii="Times New Roman" w:hAnsi="Times New Roman"/>
              </w:rPr>
              <w:t xml:space="preserve"> (do 10 000)</w:t>
            </w:r>
            <w:r w:rsidRPr="00E559B4">
              <w:rPr>
                <w:rFonts w:ascii="Times New Roman" w:hAnsi="Times New Roman"/>
              </w:rPr>
              <w:t>,</w:t>
            </w:r>
          </w:p>
          <w:p w:rsidR="00D81C19" w:rsidRPr="00E559B4" w:rsidRDefault="00D81C19" w:rsidP="00E8438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E559B4">
              <w:rPr>
                <w:rFonts w:ascii="Times New Roman" w:hAnsi="Times New Roman"/>
              </w:rPr>
              <w:t>fyzick</w:t>
            </w:r>
            <w:r w:rsidR="00B74D62">
              <w:rPr>
                <w:rFonts w:ascii="Times New Roman" w:hAnsi="Times New Roman"/>
              </w:rPr>
              <w:t>é</w:t>
            </w:r>
            <w:r w:rsidRPr="00E559B4">
              <w:rPr>
                <w:rFonts w:ascii="Times New Roman" w:hAnsi="Times New Roman"/>
              </w:rPr>
              <w:t xml:space="preserve"> os</w:t>
            </w:r>
            <w:r w:rsidR="00B74D62">
              <w:rPr>
                <w:rFonts w:ascii="Times New Roman" w:hAnsi="Times New Roman"/>
              </w:rPr>
              <w:t>oby</w:t>
            </w:r>
            <w:r w:rsidRPr="00E559B4">
              <w:rPr>
                <w:rFonts w:ascii="Times New Roman" w:hAnsi="Times New Roman"/>
              </w:rPr>
              <w:t xml:space="preserve"> – </w:t>
            </w:r>
            <w:r w:rsidR="00B74D62" w:rsidRPr="00E559B4">
              <w:rPr>
                <w:rFonts w:ascii="Times New Roman" w:hAnsi="Times New Roman"/>
              </w:rPr>
              <w:t>podnikate</w:t>
            </w:r>
            <w:r w:rsidR="00B74D62">
              <w:rPr>
                <w:rFonts w:ascii="Times New Roman" w:hAnsi="Times New Roman"/>
              </w:rPr>
              <w:t>lia</w:t>
            </w:r>
            <w:r w:rsidR="00B74D62" w:rsidRPr="00E559B4">
              <w:rPr>
                <w:rFonts w:ascii="Times New Roman" w:hAnsi="Times New Roman"/>
              </w:rPr>
              <w:t xml:space="preserve"> a právnick</w:t>
            </w:r>
            <w:r w:rsidR="00B74D62">
              <w:rPr>
                <w:rFonts w:ascii="Times New Roman" w:hAnsi="Times New Roman"/>
              </w:rPr>
              <w:t>é</w:t>
            </w:r>
            <w:r w:rsidR="00B74D62" w:rsidRPr="00E559B4">
              <w:rPr>
                <w:rFonts w:ascii="Times New Roman" w:hAnsi="Times New Roman"/>
              </w:rPr>
              <w:t xml:space="preserve"> os</w:t>
            </w:r>
            <w:r w:rsidR="00B74D62">
              <w:rPr>
                <w:rFonts w:ascii="Times New Roman" w:hAnsi="Times New Roman"/>
              </w:rPr>
              <w:t>oby</w:t>
            </w:r>
            <w:r w:rsidR="00B74D62" w:rsidRPr="00E559B4">
              <w:rPr>
                <w:rFonts w:ascii="Times New Roman" w:hAnsi="Times New Roman"/>
              </w:rPr>
              <w:t xml:space="preserve"> </w:t>
            </w:r>
            <w:r w:rsidRPr="00E559B4">
              <w:rPr>
                <w:rFonts w:ascii="Times New Roman" w:hAnsi="Times New Roman"/>
              </w:rPr>
              <w:t>vykonávajúc</w:t>
            </w:r>
            <w:r w:rsidR="00BC5C24">
              <w:rPr>
                <w:rFonts w:ascii="Times New Roman" w:hAnsi="Times New Roman"/>
              </w:rPr>
              <w:t>e</w:t>
            </w:r>
            <w:r w:rsidRPr="00E559B4">
              <w:rPr>
                <w:rFonts w:ascii="Times New Roman" w:hAnsi="Times New Roman"/>
              </w:rPr>
              <w:t xml:space="preserve"> predaj ojazdených cestných motorových vozidiel </w:t>
            </w:r>
            <w:r w:rsidR="00DD4179" w:rsidRPr="00E559B4">
              <w:rPr>
                <w:rFonts w:ascii="Times New Roman" w:hAnsi="Times New Roman"/>
              </w:rPr>
              <w:t>(do 500),</w:t>
            </w:r>
          </w:p>
          <w:p w:rsidR="00D81C19" w:rsidRPr="00E559B4" w:rsidRDefault="00D81C19" w:rsidP="00E8438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E559B4">
              <w:rPr>
                <w:rFonts w:ascii="Times New Roman" w:hAnsi="Times New Roman"/>
              </w:rPr>
              <w:t>poisťovn</w:t>
            </w:r>
            <w:r w:rsidR="00B74D62">
              <w:rPr>
                <w:rFonts w:ascii="Times New Roman" w:hAnsi="Times New Roman"/>
              </w:rPr>
              <w:t>e</w:t>
            </w:r>
            <w:r w:rsidR="00DD4179" w:rsidRPr="00E559B4">
              <w:rPr>
                <w:rFonts w:ascii="Times New Roman" w:hAnsi="Times New Roman"/>
              </w:rPr>
              <w:t xml:space="preserve"> (približne 20 spoločností)</w:t>
            </w:r>
            <w:r w:rsidR="00CB306F" w:rsidRPr="00E559B4">
              <w:rPr>
                <w:rFonts w:ascii="Times New Roman" w:hAnsi="Times New Roman"/>
              </w:rPr>
              <w:t>,</w:t>
            </w:r>
          </w:p>
          <w:p w:rsidR="00D81C19" w:rsidRPr="00E559B4" w:rsidRDefault="00D81C19" w:rsidP="00E8438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E559B4">
              <w:rPr>
                <w:rFonts w:ascii="Times New Roman" w:hAnsi="Times New Roman"/>
              </w:rPr>
              <w:t>leasingov</w:t>
            </w:r>
            <w:r w:rsidR="00B74D62">
              <w:rPr>
                <w:rFonts w:ascii="Times New Roman" w:hAnsi="Times New Roman"/>
              </w:rPr>
              <w:t>é</w:t>
            </w:r>
            <w:r w:rsidRPr="00E559B4">
              <w:rPr>
                <w:rFonts w:ascii="Times New Roman" w:hAnsi="Times New Roman"/>
              </w:rPr>
              <w:t xml:space="preserve"> spoločnost</w:t>
            </w:r>
            <w:r w:rsidR="00B74D62">
              <w:rPr>
                <w:rFonts w:ascii="Times New Roman" w:hAnsi="Times New Roman"/>
              </w:rPr>
              <w:t>i</w:t>
            </w:r>
            <w:r w:rsidR="00CB306F" w:rsidRPr="00E559B4">
              <w:rPr>
                <w:rFonts w:ascii="Times New Roman" w:hAnsi="Times New Roman"/>
              </w:rPr>
              <w:t xml:space="preserve"> (približne 40 spoločností)</w:t>
            </w:r>
            <w:r w:rsidRPr="00E559B4">
              <w:rPr>
                <w:rFonts w:ascii="Times New Roman" w:hAnsi="Times New Roman"/>
              </w:rPr>
              <w:t>,</w:t>
            </w:r>
          </w:p>
          <w:p w:rsidR="009F2DFA" w:rsidRDefault="00D81C19" w:rsidP="00B74D62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E559B4">
              <w:rPr>
                <w:rFonts w:ascii="Times New Roman" w:hAnsi="Times New Roman"/>
              </w:rPr>
              <w:t>znalc</w:t>
            </w:r>
            <w:r w:rsidR="00B74D62">
              <w:rPr>
                <w:rFonts w:ascii="Times New Roman" w:hAnsi="Times New Roman"/>
              </w:rPr>
              <w:t>i</w:t>
            </w:r>
            <w:r w:rsidR="00CB306F" w:rsidRPr="00E559B4">
              <w:rPr>
                <w:rFonts w:ascii="Times New Roman" w:hAnsi="Times New Roman"/>
              </w:rPr>
              <w:t xml:space="preserve"> (v oblasti cestnej dopravy približne </w:t>
            </w:r>
            <w:r w:rsidR="00EA0F8C" w:rsidRPr="00E559B4">
              <w:rPr>
                <w:rFonts w:ascii="Times New Roman" w:hAnsi="Times New Roman"/>
              </w:rPr>
              <w:t>25</w:t>
            </w:r>
            <w:r w:rsidR="00CB306F" w:rsidRPr="00E559B4">
              <w:rPr>
                <w:rFonts w:ascii="Times New Roman" w:hAnsi="Times New Roman"/>
              </w:rPr>
              <w:t>0)</w:t>
            </w:r>
            <w:r w:rsidRPr="00B74D62">
              <w:rPr>
                <w:rFonts w:ascii="Times New Roman" w:hAnsi="Times New Roman"/>
              </w:rPr>
              <w:t>.</w:t>
            </w:r>
          </w:p>
          <w:p w:rsidR="00B74D62" w:rsidRPr="00B74D62" w:rsidRDefault="00B74D62" w:rsidP="00B74D6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sk-SK"/>
              </w:rPr>
            </w:pPr>
            <w:r w:rsidRPr="00B74D62">
              <w:rPr>
                <w:rFonts w:ascii="Times New Roman" w:hAnsi="Times New Roman"/>
                <w:lang w:eastAsia="sk-SK"/>
              </w:rPr>
              <w:t>Návrhom zákona, ktorým sa mení a dopĺňa zákon č. 106/2018 Z. z. o prevádzke vozidiel v cestnej premávke a o zmene a doplnení niektorých zákonov a ktorým sa menia a dopĺňajú niektoré zákony (ďalej len „návrh zákona“)</w:t>
            </w:r>
            <w:r>
              <w:rPr>
                <w:rFonts w:ascii="Times New Roman" w:hAnsi="Times New Roman"/>
                <w:lang w:eastAsia="sk-SK"/>
              </w:rPr>
              <w:t xml:space="preserve"> sa dotknuté podnikateľské subjekty rozširujú o</w:t>
            </w:r>
          </w:p>
          <w:p w:rsidR="00B74D62" w:rsidRPr="007C795B" w:rsidRDefault="00B74D62" w:rsidP="00B74D62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E559B4">
              <w:rPr>
                <w:rFonts w:ascii="Times New Roman" w:hAnsi="Times New Roman"/>
              </w:rPr>
              <w:t>fyzick</w:t>
            </w:r>
            <w:r>
              <w:rPr>
                <w:rFonts w:ascii="Times New Roman" w:hAnsi="Times New Roman"/>
              </w:rPr>
              <w:t>é</w:t>
            </w:r>
            <w:r w:rsidRPr="00E559B4">
              <w:rPr>
                <w:rFonts w:ascii="Times New Roman" w:hAnsi="Times New Roman"/>
              </w:rPr>
              <w:t xml:space="preserve"> os</w:t>
            </w:r>
            <w:r>
              <w:rPr>
                <w:rFonts w:ascii="Times New Roman" w:hAnsi="Times New Roman"/>
              </w:rPr>
              <w:t>oby</w:t>
            </w:r>
            <w:r w:rsidRPr="00E559B4">
              <w:rPr>
                <w:rFonts w:ascii="Times New Roman" w:hAnsi="Times New Roman"/>
              </w:rPr>
              <w:t xml:space="preserve"> – podnikate</w:t>
            </w:r>
            <w:r w:rsidR="00BC5C24">
              <w:rPr>
                <w:rFonts w:ascii="Times New Roman" w:hAnsi="Times New Roman"/>
              </w:rPr>
              <w:t>ľov</w:t>
            </w:r>
            <w:r w:rsidRPr="00E559B4">
              <w:rPr>
                <w:rFonts w:ascii="Times New Roman" w:hAnsi="Times New Roman"/>
              </w:rPr>
              <w:t xml:space="preserve"> a právnick</w:t>
            </w:r>
            <w:r>
              <w:rPr>
                <w:rFonts w:ascii="Times New Roman" w:hAnsi="Times New Roman"/>
              </w:rPr>
              <w:t>é</w:t>
            </w:r>
            <w:r w:rsidRPr="00E559B4">
              <w:rPr>
                <w:rFonts w:ascii="Times New Roman" w:hAnsi="Times New Roman"/>
              </w:rPr>
              <w:t xml:space="preserve"> os</w:t>
            </w:r>
            <w:r>
              <w:rPr>
                <w:rFonts w:ascii="Times New Roman" w:hAnsi="Times New Roman"/>
              </w:rPr>
              <w:t>oby</w:t>
            </w:r>
            <w:r w:rsidRPr="00E559B4">
              <w:rPr>
                <w:rFonts w:ascii="Times New Roman" w:hAnsi="Times New Roman"/>
              </w:rPr>
              <w:t xml:space="preserve"> </w:t>
            </w:r>
            <w:r w:rsidRPr="007C795B">
              <w:rPr>
                <w:rFonts w:ascii="Times New Roman" w:hAnsi="Times New Roman"/>
              </w:rPr>
              <w:t>vykonávajúc</w:t>
            </w:r>
            <w:r w:rsidR="00BC5C24">
              <w:rPr>
                <w:rFonts w:ascii="Times New Roman" w:hAnsi="Times New Roman"/>
              </w:rPr>
              <w:t>e</w:t>
            </w:r>
            <w:r w:rsidRPr="007C795B">
              <w:rPr>
                <w:rFonts w:ascii="Times New Roman" w:hAnsi="Times New Roman"/>
              </w:rPr>
              <w:t xml:space="preserve"> služby v oblasti organizovania a realizácie dražieb cestných motorových vozidiel</w:t>
            </w:r>
            <w:r w:rsidR="00B66E37">
              <w:rPr>
                <w:rFonts w:ascii="Times New Roman" w:hAnsi="Times New Roman"/>
              </w:rPr>
              <w:t xml:space="preserve"> </w:t>
            </w:r>
            <w:r w:rsidR="00B66E37" w:rsidRPr="00E559B4">
              <w:rPr>
                <w:rFonts w:ascii="Times New Roman" w:hAnsi="Times New Roman"/>
              </w:rPr>
              <w:t>(približne</w:t>
            </w:r>
            <w:r w:rsidR="00D517E6">
              <w:rPr>
                <w:rFonts w:ascii="Times New Roman" w:hAnsi="Times New Roman"/>
              </w:rPr>
              <w:t xml:space="preserve"> </w:t>
            </w:r>
            <w:r w:rsidR="003D440D">
              <w:rPr>
                <w:rFonts w:ascii="Times New Roman" w:hAnsi="Times New Roman"/>
              </w:rPr>
              <w:t>20</w:t>
            </w:r>
            <w:r w:rsidR="00B66E37" w:rsidRPr="00E559B4">
              <w:rPr>
                <w:rFonts w:ascii="Times New Roman" w:hAnsi="Times New Roman"/>
              </w:rPr>
              <w:t xml:space="preserve"> spoločností)</w:t>
            </w:r>
            <w:r w:rsidRPr="007C795B">
              <w:rPr>
                <w:rFonts w:ascii="Times New Roman" w:hAnsi="Times New Roman"/>
              </w:rPr>
              <w:t>,</w:t>
            </w:r>
          </w:p>
          <w:p w:rsidR="00B74D62" w:rsidRPr="007C795B" w:rsidRDefault="00B74D62" w:rsidP="00B74D62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eastAsia="sk-SK"/>
              </w:rPr>
            </w:pPr>
            <w:r w:rsidRPr="00E559B4">
              <w:rPr>
                <w:rFonts w:ascii="Times New Roman" w:hAnsi="Times New Roman"/>
              </w:rPr>
              <w:t>fyzick</w:t>
            </w:r>
            <w:r>
              <w:rPr>
                <w:rFonts w:ascii="Times New Roman" w:hAnsi="Times New Roman"/>
              </w:rPr>
              <w:t>é</w:t>
            </w:r>
            <w:r w:rsidRPr="00E559B4">
              <w:rPr>
                <w:rFonts w:ascii="Times New Roman" w:hAnsi="Times New Roman"/>
              </w:rPr>
              <w:t xml:space="preserve"> os</w:t>
            </w:r>
            <w:r>
              <w:rPr>
                <w:rFonts w:ascii="Times New Roman" w:hAnsi="Times New Roman"/>
              </w:rPr>
              <w:t>oby</w:t>
            </w:r>
            <w:r w:rsidRPr="00E559B4">
              <w:rPr>
                <w:rFonts w:ascii="Times New Roman" w:hAnsi="Times New Roman"/>
              </w:rPr>
              <w:t xml:space="preserve"> – podnikate</w:t>
            </w:r>
            <w:r w:rsidR="00BC5C24">
              <w:rPr>
                <w:rFonts w:ascii="Times New Roman" w:hAnsi="Times New Roman"/>
              </w:rPr>
              <w:t>ľov</w:t>
            </w:r>
            <w:r w:rsidRPr="00E559B4">
              <w:rPr>
                <w:rFonts w:ascii="Times New Roman" w:hAnsi="Times New Roman"/>
              </w:rPr>
              <w:t xml:space="preserve"> a právnick</w:t>
            </w:r>
            <w:r>
              <w:rPr>
                <w:rFonts w:ascii="Times New Roman" w:hAnsi="Times New Roman"/>
              </w:rPr>
              <w:t>é</w:t>
            </w:r>
            <w:r w:rsidRPr="00E559B4">
              <w:rPr>
                <w:rFonts w:ascii="Times New Roman" w:hAnsi="Times New Roman"/>
              </w:rPr>
              <w:t xml:space="preserve"> os</w:t>
            </w:r>
            <w:r>
              <w:rPr>
                <w:rFonts w:ascii="Times New Roman" w:hAnsi="Times New Roman"/>
              </w:rPr>
              <w:t>oby</w:t>
            </w:r>
            <w:r w:rsidRPr="00E559B4">
              <w:rPr>
                <w:rFonts w:ascii="Times New Roman" w:hAnsi="Times New Roman"/>
              </w:rPr>
              <w:t xml:space="preserve"> </w:t>
            </w:r>
            <w:r w:rsidRPr="007C795B">
              <w:rPr>
                <w:rFonts w:ascii="Times New Roman" w:hAnsi="Times New Roman"/>
                <w:lang w:eastAsia="sk-SK"/>
              </w:rPr>
              <w:t>vykonávajúc</w:t>
            </w:r>
            <w:r w:rsidR="00BC5C24">
              <w:rPr>
                <w:rFonts w:ascii="Times New Roman" w:hAnsi="Times New Roman"/>
                <w:lang w:eastAsia="sk-SK"/>
              </w:rPr>
              <w:t>e</w:t>
            </w:r>
            <w:r w:rsidRPr="007C795B">
              <w:rPr>
                <w:rFonts w:ascii="Times New Roman" w:hAnsi="Times New Roman"/>
                <w:lang w:eastAsia="sk-SK"/>
              </w:rPr>
              <w:t xml:space="preserve"> nastavovania a kalibrácie tachografov</w:t>
            </w:r>
            <w:r w:rsidR="00B66E37">
              <w:rPr>
                <w:rFonts w:ascii="Times New Roman" w:hAnsi="Times New Roman"/>
                <w:lang w:eastAsia="sk-SK"/>
              </w:rPr>
              <w:t xml:space="preserve"> </w:t>
            </w:r>
            <w:r w:rsidR="00B66E37" w:rsidRPr="00E559B4">
              <w:rPr>
                <w:rFonts w:ascii="Times New Roman" w:hAnsi="Times New Roman"/>
              </w:rPr>
              <w:t xml:space="preserve">(približne </w:t>
            </w:r>
            <w:r w:rsidR="003D440D">
              <w:rPr>
                <w:rFonts w:ascii="Times New Roman" w:hAnsi="Times New Roman"/>
              </w:rPr>
              <w:t>35</w:t>
            </w:r>
            <w:r w:rsidR="00B66E37" w:rsidRPr="00E559B4">
              <w:rPr>
                <w:rFonts w:ascii="Times New Roman" w:hAnsi="Times New Roman"/>
              </w:rPr>
              <w:t xml:space="preserve"> spoločností)</w:t>
            </w:r>
            <w:r w:rsidRPr="007C795B">
              <w:rPr>
                <w:rFonts w:ascii="Times New Roman" w:hAnsi="Times New Roman"/>
                <w:lang w:eastAsia="sk-SK"/>
              </w:rPr>
              <w:t xml:space="preserve">, </w:t>
            </w:r>
          </w:p>
          <w:p w:rsidR="00B74D62" w:rsidRPr="00B74D62" w:rsidRDefault="00B74D62" w:rsidP="003D440D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7C795B">
              <w:rPr>
                <w:rFonts w:ascii="Times New Roman" w:hAnsi="Times New Roman"/>
              </w:rPr>
              <w:t>požičovn</w:t>
            </w:r>
            <w:r w:rsidR="00B66E37">
              <w:rPr>
                <w:rFonts w:ascii="Times New Roman" w:hAnsi="Times New Roman"/>
              </w:rPr>
              <w:t>e</w:t>
            </w:r>
            <w:r w:rsidRPr="007C795B">
              <w:rPr>
                <w:rFonts w:ascii="Times New Roman" w:hAnsi="Times New Roman"/>
              </w:rPr>
              <w:t xml:space="preserve"> cestných motorových vozidiel</w:t>
            </w:r>
            <w:r w:rsidR="00B66E37">
              <w:rPr>
                <w:rFonts w:ascii="Times New Roman" w:hAnsi="Times New Roman"/>
              </w:rPr>
              <w:t xml:space="preserve"> </w:t>
            </w:r>
            <w:r w:rsidR="00B66E37" w:rsidRPr="00E559B4">
              <w:rPr>
                <w:rFonts w:ascii="Times New Roman" w:hAnsi="Times New Roman"/>
              </w:rPr>
              <w:t xml:space="preserve">(približne </w:t>
            </w:r>
            <w:r w:rsidR="003D440D">
              <w:rPr>
                <w:rFonts w:ascii="Times New Roman" w:hAnsi="Times New Roman"/>
              </w:rPr>
              <w:t>250</w:t>
            </w:r>
            <w:r w:rsidR="00B66E37" w:rsidRPr="00E559B4">
              <w:rPr>
                <w:rFonts w:ascii="Times New Roman" w:hAnsi="Times New Roman"/>
              </w:rPr>
              <w:t xml:space="preserve"> spoločností)</w:t>
            </w:r>
            <w:r w:rsidRPr="007C795B">
              <w:rPr>
                <w:rFonts w:ascii="Times New Roman" w:hAnsi="Times New Roman"/>
              </w:rPr>
              <w:t>.</w:t>
            </w:r>
          </w:p>
        </w:tc>
      </w:tr>
      <w:tr w:rsidR="00E559B4" w:rsidRPr="00E559B4" w:rsidTr="007B71A4">
        <w:trPr>
          <w:trHeight w:val="339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E559B4" w:rsidRDefault="002B1108" w:rsidP="007B71A4">
            <w:pPr>
              <w:rPr>
                <w:b/>
                <w:sz w:val="24"/>
              </w:rPr>
            </w:pPr>
            <w:r w:rsidRPr="00E559B4">
              <w:rPr>
                <w:b/>
                <w:sz w:val="24"/>
              </w:rPr>
              <w:t>3</w:t>
            </w:r>
            <w:r w:rsidR="009F2DFA" w:rsidRPr="00E559B4">
              <w:rPr>
                <w:b/>
                <w:sz w:val="24"/>
              </w:rPr>
              <w:t>.2 Vyhodnotenie konzultácií</w:t>
            </w:r>
          </w:p>
          <w:p w:rsidR="009F2DFA" w:rsidRPr="00E559B4" w:rsidRDefault="009F2DFA" w:rsidP="007B71A4">
            <w:pPr>
              <w:rPr>
                <w:b/>
              </w:rPr>
            </w:pPr>
            <w:r w:rsidRPr="00E559B4">
              <w:rPr>
                <w:sz w:val="24"/>
              </w:rPr>
              <w:t xml:space="preserve">       - </w:t>
            </w:r>
            <w:r w:rsidRPr="00E559B4">
              <w:rPr>
                <w:b/>
                <w:sz w:val="24"/>
              </w:rPr>
              <w:t>z toho MSP</w:t>
            </w:r>
          </w:p>
        </w:tc>
      </w:tr>
      <w:tr w:rsidR="00E559B4" w:rsidRPr="00E559B4" w:rsidTr="007B71A4">
        <w:trPr>
          <w:trHeight w:val="557"/>
        </w:trPr>
        <w:tc>
          <w:tcPr>
            <w:tcW w:w="9212" w:type="dxa"/>
          </w:tcPr>
          <w:p w:rsidR="009F2DFA" w:rsidRPr="00E559B4" w:rsidRDefault="009F2DFA" w:rsidP="00390F94">
            <w:pPr>
              <w:jc w:val="both"/>
              <w:rPr>
                <w:i/>
              </w:rPr>
            </w:pPr>
            <w:r w:rsidRPr="00E559B4">
              <w:rPr>
                <w:i/>
              </w:rPr>
              <w:t>Uveďte, akou formou (verejné alebo cielené konzultácie a prečo) a s kým bol návrh konzultovaný.</w:t>
            </w:r>
          </w:p>
          <w:p w:rsidR="009F2DFA" w:rsidRPr="00E559B4" w:rsidRDefault="009F2DFA" w:rsidP="00390F94">
            <w:pPr>
              <w:jc w:val="both"/>
              <w:rPr>
                <w:i/>
              </w:rPr>
            </w:pPr>
            <w:r w:rsidRPr="00E559B4">
              <w:rPr>
                <w:i/>
              </w:rPr>
              <w:t>Ako dlho trvali konzultácie?</w:t>
            </w:r>
          </w:p>
          <w:p w:rsidR="00C92901" w:rsidRPr="00E559B4" w:rsidRDefault="009F2DFA" w:rsidP="00CE5733">
            <w:pPr>
              <w:jc w:val="both"/>
              <w:rPr>
                <w:i/>
              </w:rPr>
            </w:pPr>
            <w:r w:rsidRPr="00E559B4">
              <w:rPr>
                <w:i/>
              </w:rPr>
              <w:t>Uveďte hlavné body konzultácií a výsledky konzultácií.</w:t>
            </w:r>
          </w:p>
        </w:tc>
      </w:tr>
      <w:tr w:rsidR="00E559B4" w:rsidRPr="00E559B4" w:rsidTr="007B71A4">
        <w:trPr>
          <w:trHeight w:val="1440"/>
        </w:trPr>
        <w:tc>
          <w:tcPr>
            <w:tcW w:w="9212" w:type="dxa"/>
          </w:tcPr>
          <w:p w:rsidR="0094580B" w:rsidRPr="00E559B4" w:rsidRDefault="00736168" w:rsidP="0094580B">
            <w:pPr>
              <w:jc w:val="both"/>
              <w:rPr>
                <w:sz w:val="22"/>
                <w:szCs w:val="22"/>
              </w:rPr>
            </w:pPr>
            <w:r w:rsidRPr="00E559B4">
              <w:rPr>
                <w:sz w:val="22"/>
                <w:szCs w:val="22"/>
              </w:rPr>
              <w:lastRenderedPageBreak/>
              <w:t xml:space="preserve">Verejnosť do prípravy </w:t>
            </w:r>
            <w:r w:rsidR="00E84384" w:rsidRPr="00E559B4">
              <w:rPr>
                <w:sz w:val="22"/>
                <w:szCs w:val="22"/>
              </w:rPr>
              <w:t xml:space="preserve">návrhu zákona </w:t>
            </w:r>
            <w:r w:rsidR="003A7475" w:rsidRPr="00E559B4">
              <w:rPr>
                <w:sz w:val="22"/>
                <w:szCs w:val="22"/>
              </w:rPr>
              <w:t>b</w:t>
            </w:r>
            <w:r w:rsidR="004C2B06" w:rsidRPr="00E559B4">
              <w:rPr>
                <w:sz w:val="22"/>
                <w:szCs w:val="22"/>
              </w:rPr>
              <w:t>ola</w:t>
            </w:r>
            <w:r w:rsidR="003A7475" w:rsidRPr="00E559B4">
              <w:rPr>
                <w:sz w:val="22"/>
                <w:szCs w:val="22"/>
              </w:rPr>
              <w:t xml:space="preserve"> zapojená</w:t>
            </w:r>
            <w:r w:rsidR="002D1387" w:rsidRPr="00E559B4">
              <w:rPr>
                <w:sz w:val="22"/>
                <w:szCs w:val="22"/>
              </w:rPr>
              <w:t xml:space="preserve"> </w:t>
            </w:r>
            <w:r w:rsidRPr="00E559B4">
              <w:rPr>
                <w:sz w:val="22"/>
                <w:szCs w:val="22"/>
              </w:rPr>
              <w:t xml:space="preserve">formou </w:t>
            </w:r>
            <w:r w:rsidR="0094580B" w:rsidRPr="00E559B4">
              <w:rPr>
                <w:sz w:val="22"/>
                <w:szCs w:val="22"/>
              </w:rPr>
              <w:t xml:space="preserve">možnosti </w:t>
            </w:r>
            <w:r w:rsidRPr="00E559B4">
              <w:rPr>
                <w:sz w:val="22"/>
                <w:szCs w:val="22"/>
              </w:rPr>
              <w:t>zasielania podnetov</w:t>
            </w:r>
            <w:r w:rsidR="0094580B" w:rsidRPr="00E559B4">
              <w:rPr>
                <w:sz w:val="22"/>
                <w:szCs w:val="22"/>
              </w:rPr>
              <w:t>. Predbežná informácia (PI/201</w:t>
            </w:r>
            <w:r w:rsidR="00B66E37">
              <w:rPr>
                <w:sz w:val="22"/>
                <w:szCs w:val="22"/>
              </w:rPr>
              <w:t>9</w:t>
            </w:r>
            <w:r w:rsidR="0094580B" w:rsidRPr="00E559B4">
              <w:rPr>
                <w:sz w:val="22"/>
                <w:szCs w:val="22"/>
              </w:rPr>
              <w:t>/</w:t>
            </w:r>
            <w:r w:rsidR="003D440D">
              <w:rPr>
                <w:sz w:val="22"/>
                <w:szCs w:val="22"/>
              </w:rPr>
              <w:t>41</w:t>
            </w:r>
            <w:r w:rsidR="0094580B" w:rsidRPr="00E559B4">
              <w:rPr>
                <w:sz w:val="22"/>
                <w:szCs w:val="22"/>
              </w:rPr>
              <w:t>) bola vypracovaná podľa § 9 zákona č. 400/2015 Z. z. o</w:t>
            </w:r>
            <w:r w:rsidR="00E91481" w:rsidRPr="00E559B4">
              <w:rPr>
                <w:sz w:val="22"/>
                <w:szCs w:val="22"/>
              </w:rPr>
              <w:t> </w:t>
            </w:r>
            <w:r w:rsidR="0094580B" w:rsidRPr="00E559B4">
              <w:rPr>
                <w:sz w:val="22"/>
                <w:szCs w:val="22"/>
              </w:rPr>
              <w:t>tvorbe</w:t>
            </w:r>
            <w:r w:rsidR="00E91481" w:rsidRPr="00E559B4">
              <w:rPr>
                <w:sz w:val="22"/>
                <w:szCs w:val="22"/>
              </w:rPr>
              <w:t xml:space="preserve"> </w:t>
            </w:r>
            <w:r w:rsidR="0094580B" w:rsidRPr="00E559B4">
              <w:rPr>
                <w:sz w:val="22"/>
                <w:szCs w:val="22"/>
              </w:rPr>
              <w:t>právnych predpisov a o Zbierke zákonov Slovenskej republiky a o zmene a doplnení niektorých zákonov a bola zverejnená na portáli Slov-Lex. M</w:t>
            </w:r>
            <w:r w:rsidR="00587437" w:rsidRPr="00E559B4">
              <w:rPr>
                <w:sz w:val="22"/>
                <w:szCs w:val="22"/>
              </w:rPr>
              <w:t>ožnosti zasielania podnetov boli</w:t>
            </w:r>
            <w:r w:rsidR="0094580B" w:rsidRPr="00E559B4">
              <w:rPr>
                <w:sz w:val="22"/>
                <w:szCs w:val="22"/>
              </w:rPr>
              <w:t xml:space="preserve"> v období </w:t>
            </w:r>
            <w:r w:rsidR="003D440D" w:rsidRPr="003D440D">
              <w:rPr>
                <w:sz w:val="22"/>
                <w:szCs w:val="22"/>
              </w:rPr>
              <w:t>od 20. februára 2019 do</w:t>
            </w:r>
            <w:r w:rsidR="003D440D">
              <w:rPr>
                <w:sz w:val="22"/>
                <w:szCs w:val="22"/>
              </w:rPr>
              <w:t> </w:t>
            </w:r>
            <w:r w:rsidR="003D440D" w:rsidRPr="003D440D">
              <w:rPr>
                <w:sz w:val="22"/>
                <w:szCs w:val="22"/>
              </w:rPr>
              <w:t>12. marca 2019</w:t>
            </w:r>
            <w:r w:rsidR="0094580B" w:rsidRPr="00E559B4">
              <w:rPr>
                <w:sz w:val="22"/>
                <w:szCs w:val="22"/>
              </w:rPr>
              <w:t xml:space="preserve">. </w:t>
            </w:r>
            <w:r w:rsidR="00836C43" w:rsidRPr="00E559B4">
              <w:rPr>
                <w:sz w:val="22"/>
                <w:szCs w:val="22"/>
              </w:rPr>
              <w:t xml:space="preserve">Ďalšou formou zapojenia verejnosti bude medzirezortné pripomienkové konanie. </w:t>
            </w:r>
          </w:p>
          <w:p w:rsidR="00DD4179" w:rsidRPr="00E559B4" w:rsidRDefault="004C2B06" w:rsidP="00D81C19">
            <w:pPr>
              <w:jc w:val="both"/>
              <w:rPr>
                <w:sz w:val="22"/>
                <w:szCs w:val="22"/>
              </w:rPr>
            </w:pPr>
            <w:r w:rsidRPr="00E559B4">
              <w:rPr>
                <w:sz w:val="22"/>
                <w:szCs w:val="22"/>
              </w:rPr>
              <w:t xml:space="preserve">Čiastkovo sa konali priebežne </w:t>
            </w:r>
            <w:r w:rsidR="0094580B" w:rsidRPr="00E559B4">
              <w:rPr>
                <w:sz w:val="22"/>
                <w:szCs w:val="22"/>
              </w:rPr>
              <w:t xml:space="preserve">podľa potreby </w:t>
            </w:r>
            <w:r w:rsidRPr="00E559B4">
              <w:rPr>
                <w:sz w:val="22"/>
                <w:szCs w:val="22"/>
              </w:rPr>
              <w:t>konzultácie s </w:t>
            </w:r>
          </w:p>
          <w:p w:rsidR="00B66E37" w:rsidRDefault="00B66E37" w:rsidP="00DD417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technickými službami overovania (vypracovávanie podkladov ku schvaľovaniu vozidiel, kontrola zhody výroby, udeľovanie poverenia technickej službe overovania),</w:t>
            </w:r>
          </w:p>
          <w:p w:rsidR="00DD4179" w:rsidRPr="00E559B4" w:rsidRDefault="00DD4179" w:rsidP="00DD417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E559B4">
              <w:rPr>
                <w:rFonts w:ascii="Times New Roman" w:hAnsi="Times New Roman"/>
              </w:rPr>
              <w:t>technickou službou technickej kontroly (zriaďovanie staníc technickej kontroly, získavanie odbornej spôsobilosti technikov technickej kontroly, požiadavky na technologické zariadenia používané pri technickej kontrole),</w:t>
            </w:r>
          </w:p>
          <w:p w:rsidR="00DD4179" w:rsidRPr="00E559B4" w:rsidRDefault="00DD4179" w:rsidP="00DD417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E559B4">
              <w:rPr>
                <w:rFonts w:ascii="Times New Roman" w:hAnsi="Times New Roman"/>
              </w:rPr>
              <w:t>technickou službou emisnej kontroly (zriaďovanie pracovísk emisnej kontroly, získavanie odbornej spôsobilosti technikov emisnej kontroly, požiadavky na technologické zariadenia používané pri emisnej kontrole),</w:t>
            </w:r>
          </w:p>
          <w:p w:rsidR="00DD4179" w:rsidRPr="00E559B4" w:rsidRDefault="00DD4179" w:rsidP="00DD417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E559B4">
              <w:rPr>
                <w:rFonts w:ascii="Times New Roman" w:hAnsi="Times New Roman"/>
              </w:rPr>
              <w:t>technickou službou kontroly originality (zriaďovanie pracovísk kontroly originality, získavanie odbornej spôsobilosti technikov kontroly originality, požiadavky na technologické zariadenia používané pri kontrole originality),</w:t>
            </w:r>
          </w:p>
          <w:p w:rsidR="00DD4179" w:rsidRPr="00E559B4" w:rsidRDefault="00DD4179" w:rsidP="00DD417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E559B4">
              <w:rPr>
                <w:rFonts w:ascii="Times New Roman" w:hAnsi="Times New Roman"/>
              </w:rPr>
              <w:t xml:space="preserve">technickou službou montáže plynových zariadení (zriaďovanie pracovísk montáže plynových zariadení, získavanie odbornej spôsobilosti technikov </w:t>
            </w:r>
            <w:r w:rsidR="00FA6D1A" w:rsidRPr="00E559B4">
              <w:rPr>
                <w:rFonts w:ascii="Times New Roman" w:hAnsi="Times New Roman"/>
              </w:rPr>
              <w:t>montáže plynových zariadení</w:t>
            </w:r>
            <w:r w:rsidRPr="00E559B4">
              <w:rPr>
                <w:rFonts w:ascii="Times New Roman" w:hAnsi="Times New Roman"/>
              </w:rPr>
              <w:t xml:space="preserve">, požiadavky na technologické zariadenia používané pri </w:t>
            </w:r>
            <w:r w:rsidR="00FA6D1A" w:rsidRPr="00E559B4">
              <w:rPr>
                <w:rFonts w:ascii="Times New Roman" w:hAnsi="Times New Roman"/>
              </w:rPr>
              <w:t>montáži plynových zariadení</w:t>
            </w:r>
            <w:r w:rsidRPr="00E559B4">
              <w:rPr>
                <w:rFonts w:ascii="Times New Roman" w:hAnsi="Times New Roman"/>
              </w:rPr>
              <w:t>),</w:t>
            </w:r>
          </w:p>
          <w:p w:rsidR="00FA6D1A" w:rsidRPr="00E559B4" w:rsidRDefault="00B66E37" w:rsidP="00DD417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vybranými </w:t>
            </w:r>
            <w:r w:rsidR="00FA6D1A" w:rsidRPr="00E559B4">
              <w:rPr>
                <w:rFonts w:ascii="Times New Roman" w:hAnsi="Times New Roman"/>
              </w:rPr>
              <w:t>výrobcami vozidiel a ich zástupcami (typové schvaľovanie vozidiel, jednotlivé schvaľovanie vozidiel, prestavby vozidiel),</w:t>
            </w:r>
          </w:p>
          <w:p w:rsidR="00FA6D1A" w:rsidRPr="00E559B4" w:rsidRDefault="00FA6D1A" w:rsidP="00DD417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E559B4">
              <w:rPr>
                <w:rFonts w:ascii="Times New Roman" w:hAnsi="Times New Roman"/>
              </w:rPr>
              <w:t>Národnou asociáciou STK (zriaďovanie staníc technickej kontroly/pracovísk emisnej kontroly, získavanie odbornej spôsobilosti technikov technickej/emisnej kontroly, požiadavky na technologické zariadenia používané pri technickej/emisnej kontrole, vykonávanie technickej/emisnej kontroly),</w:t>
            </w:r>
          </w:p>
          <w:p w:rsidR="00B66E37" w:rsidRDefault="00FA6D1A" w:rsidP="00FA6D1A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E559B4">
              <w:rPr>
                <w:rFonts w:ascii="Times New Roman" w:hAnsi="Times New Roman"/>
              </w:rPr>
              <w:t>Cechom predajcov a autoservisov SR (certifikované miesta opravy)</w:t>
            </w:r>
            <w:r w:rsidR="00B66E37">
              <w:rPr>
                <w:rFonts w:ascii="Times New Roman" w:hAnsi="Times New Roman"/>
              </w:rPr>
              <w:t>,</w:t>
            </w:r>
          </w:p>
          <w:p w:rsidR="00C92901" w:rsidRPr="00E559B4" w:rsidRDefault="00B66E37" w:rsidP="00FA6D1A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Slovenskou obchodnou inšpekciou (vykonávanie dohľadu nad trhom)</w:t>
            </w:r>
            <w:r w:rsidR="00FA6D1A" w:rsidRPr="00E559B4">
              <w:rPr>
                <w:rFonts w:ascii="Times New Roman" w:hAnsi="Times New Roman"/>
              </w:rPr>
              <w:t>.</w:t>
            </w:r>
          </w:p>
          <w:p w:rsidR="00FA6D1A" w:rsidRPr="00E559B4" w:rsidRDefault="00FA6D1A" w:rsidP="00B66E37">
            <w:pPr>
              <w:jc w:val="both"/>
              <w:rPr>
                <w:sz w:val="24"/>
                <w:szCs w:val="24"/>
              </w:rPr>
            </w:pPr>
            <w:r w:rsidRPr="00E559B4">
              <w:rPr>
                <w:sz w:val="22"/>
                <w:szCs w:val="22"/>
              </w:rPr>
              <w:t xml:space="preserve">Čiastkové konzultácie splnili svoj účel a cieľ pre vypracovanie </w:t>
            </w:r>
            <w:r w:rsidR="00B66E37">
              <w:rPr>
                <w:sz w:val="22"/>
                <w:szCs w:val="22"/>
              </w:rPr>
              <w:t>návrhu zákona</w:t>
            </w:r>
            <w:r w:rsidRPr="00E559B4">
              <w:rPr>
                <w:sz w:val="22"/>
                <w:szCs w:val="22"/>
              </w:rPr>
              <w:t>.</w:t>
            </w:r>
          </w:p>
        </w:tc>
      </w:tr>
      <w:tr w:rsidR="00E559B4" w:rsidRPr="00E559B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E559B4" w:rsidRDefault="002B1108" w:rsidP="007B71A4">
            <w:pPr>
              <w:rPr>
                <w:b/>
                <w:sz w:val="24"/>
              </w:rPr>
            </w:pPr>
            <w:r w:rsidRPr="00E559B4">
              <w:rPr>
                <w:b/>
                <w:sz w:val="24"/>
              </w:rPr>
              <w:t>3</w:t>
            </w:r>
            <w:r w:rsidR="009F2DFA" w:rsidRPr="00E559B4">
              <w:rPr>
                <w:b/>
                <w:sz w:val="24"/>
              </w:rPr>
              <w:t>.3 Náklady regulácie</w:t>
            </w:r>
          </w:p>
          <w:p w:rsidR="009F2DFA" w:rsidRPr="00E559B4" w:rsidRDefault="009F2DFA" w:rsidP="007B71A4">
            <w:pPr>
              <w:rPr>
                <w:b/>
              </w:rPr>
            </w:pPr>
            <w:r w:rsidRPr="00E559B4">
              <w:rPr>
                <w:sz w:val="24"/>
              </w:rPr>
              <w:t xml:space="preserve">      - </w:t>
            </w:r>
            <w:r w:rsidRPr="00E559B4">
              <w:rPr>
                <w:b/>
                <w:sz w:val="24"/>
              </w:rPr>
              <w:t>z toho MSP</w:t>
            </w:r>
          </w:p>
        </w:tc>
      </w:tr>
      <w:tr w:rsidR="00E559B4" w:rsidRPr="00E559B4" w:rsidTr="007B71A4">
        <w:tc>
          <w:tcPr>
            <w:tcW w:w="9212" w:type="dxa"/>
          </w:tcPr>
          <w:p w:rsidR="009F2DFA" w:rsidRPr="00E559B4" w:rsidRDefault="002B1108" w:rsidP="007B71A4">
            <w:pPr>
              <w:rPr>
                <w:b/>
                <w:i/>
              </w:rPr>
            </w:pPr>
            <w:r w:rsidRPr="00E559B4">
              <w:rPr>
                <w:b/>
                <w:i/>
              </w:rPr>
              <w:t>3</w:t>
            </w:r>
            <w:r w:rsidR="009F2DFA" w:rsidRPr="00E559B4">
              <w:rPr>
                <w:b/>
                <w:i/>
              </w:rPr>
              <w:t>.3.1 Priame finančné náklady</w:t>
            </w:r>
          </w:p>
          <w:p w:rsidR="009F2DFA" w:rsidRPr="00E559B4" w:rsidRDefault="009F2DFA" w:rsidP="00E91481">
            <w:pPr>
              <w:jc w:val="both"/>
              <w:rPr>
                <w:i/>
              </w:rPr>
            </w:pPr>
            <w:r w:rsidRPr="00E559B4">
              <w:rPr>
                <w:i/>
              </w:rPr>
              <w:t>Dochádza k zvýšeniu/zníženiu priamych finančných nákladov (poplatky, odvody, dane clá...)? Ak áno, popíšte a</w:t>
            </w:r>
            <w:r w:rsidR="00E91481" w:rsidRPr="00E559B4">
              <w:rPr>
                <w:i/>
              </w:rPr>
              <w:t xml:space="preserve"> vyčíslite </w:t>
            </w:r>
            <w:r w:rsidRPr="00E559B4">
              <w:rPr>
                <w:i/>
              </w:rPr>
              <w:t>ich. Uveďte tiež spôsob ich výpočtu</w:t>
            </w:r>
          </w:p>
        </w:tc>
      </w:tr>
      <w:tr w:rsidR="00E559B4" w:rsidRPr="00E559B4" w:rsidTr="007B71A4">
        <w:tc>
          <w:tcPr>
            <w:tcW w:w="9212" w:type="dxa"/>
          </w:tcPr>
          <w:p w:rsidR="004D594B" w:rsidRPr="0088369B" w:rsidRDefault="004D594B" w:rsidP="00B66E37">
            <w:pPr>
              <w:jc w:val="both"/>
              <w:rPr>
                <w:sz w:val="22"/>
                <w:szCs w:val="22"/>
              </w:rPr>
            </w:pPr>
            <w:r w:rsidRPr="0088369B">
              <w:rPr>
                <w:sz w:val="22"/>
                <w:szCs w:val="22"/>
              </w:rPr>
              <w:t xml:space="preserve">Schvaľovanie na prevádzku v cestnej premávke sa bude od 1. septembra 2020 vykonávať podľa nariadenia Európskeho parlamentu a Rady (EÚ) 2018/858 z 30. mája 2018 o schvaľovaní motorových vozidiel a ich prípojných vozidiel, ako aj systémov, komponentov a samostatných technických jednotiek určených pre takéto vozidlá a o dohľade nad trhom s nimi, ktorým sa menia nariadenia (ES) č. 715/2007 a (ES) č. 595/2009 a zrušuje smernica 2007/46/ES [ďalej len „nariadenie (EÚ) 2018/858“], ktoré v prílohe II stanovuje zoznam regulačných aktov, ktoré budú musieť vozidlá, systémy, komponenty a samostatné technické jednotky spĺňať. V súčasnosti v SR neexistuje komplexná technická služba overovania (skúšobňa), ktorá by vedela zabezpečiť všetky skúšky podľa regulačných aktov uvedených v prílohe II nariadenia (EÚ) 2018/858. Ministerstvo dopravy a výstavby SR nepredpokladá, že by súčasné technické služby overovania (skúšobne) </w:t>
            </w:r>
            <w:r w:rsidR="0066102E" w:rsidRPr="0088369B">
              <w:rPr>
                <w:sz w:val="22"/>
                <w:szCs w:val="22"/>
              </w:rPr>
              <w:t>rozširovali svoj rozsah činností a to z dôvodu, že v Slovenskej republike nie sú veľkí výrobcovia vozidiel (len výrobné závody), ktorí by schvaľovanie vozidiel vykonávali prostredníctvom týchto technických služieb overovania.</w:t>
            </w:r>
          </w:p>
          <w:p w:rsidR="00A33E56" w:rsidRPr="00A33E56" w:rsidRDefault="00A33E56" w:rsidP="00A33E56">
            <w:pPr>
              <w:jc w:val="both"/>
              <w:rPr>
                <w:sz w:val="22"/>
                <w:szCs w:val="22"/>
              </w:rPr>
            </w:pPr>
          </w:p>
          <w:p w:rsidR="009F2DFA" w:rsidRPr="00E559B4" w:rsidRDefault="00A33E56" w:rsidP="00913BD6">
            <w:pPr>
              <w:jc w:val="both"/>
              <w:rPr>
                <w:sz w:val="22"/>
                <w:szCs w:val="22"/>
              </w:rPr>
            </w:pPr>
            <w:r w:rsidRPr="00A33E56">
              <w:rPr>
                <w:sz w:val="22"/>
                <w:szCs w:val="22"/>
              </w:rPr>
              <w:t>Návrhom zákona bude umožnené udelenie vnútroštátneho schválenia jednotlivého vozidla s</w:t>
            </w:r>
            <w:r>
              <w:rPr>
                <w:sz w:val="22"/>
                <w:szCs w:val="22"/>
              </w:rPr>
              <w:t> </w:t>
            </w:r>
            <w:r w:rsidRPr="00A33E56">
              <w:rPr>
                <w:sz w:val="22"/>
                <w:szCs w:val="22"/>
              </w:rPr>
              <w:t>obmedzenou</w:t>
            </w:r>
            <w:r>
              <w:rPr>
                <w:sz w:val="22"/>
                <w:szCs w:val="22"/>
              </w:rPr>
              <w:t xml:space="preserve"> </w:t>
            </w:r>
            <w:r w:rsidRPr="00A33E56">
              <w:rPr>
                <w:sz w:val="22"/>
                <w:szCs w:val="22"/>
              </w:rPr>
              <w:t>prevádzkou oproti súčasnému stavu (len po domácky vyrobené vozidlá) aj komerčne vyrábaným vozidlá, ktoré boli vyrobené do 1. júla 2009, čo bude mať pozitívny vplyv prevažne pre</w:t>
            </w:r>
            <w:r>
              <w:rPr>
                <w:sz w:val="22"/>
                <w:szCs w:val="22"/>
              </w:rPr>
              <w:t> </w:t>
            </w:r>
            <w:r w:rsidRPr="00A33E56">
              <w:rPr>
                <w:sz w:val="22"/>
                <w:szCs w:val="22"/>
              </w:rPr>
              <w:t>malých farmárov, ktor</w:t>
            </w:r>
            <w:r w:rsidR="00913BD6">
              <w:rPr>
                <w:sz w:val="22"/>
                <w:szCs w:val="22"/>
              </w:rPr>
              <w:t>í</w:t>
            </w:r>
            <w:r w:rsidRPr="00A33E56">
              <w:rPr>
                <w:sz w:val="22"/>
                <w:szCs w:val="22"/>
              </w:rPr>
              <w:t xml:space="preserve"> vlastnia takéto vozidlá. Týmto podnikateľským subjektov vzniknú </w:t>
            </w:r>
            <w:r>
              <w:rPr>
                <w:sz w:val="22"/>
                <w:szCs w:val="22"/>
              </w:rPr>
              <w:t>priame</w:t>
            </w:r>
            <w:r w:rsidRPr="00A33E56">
              <w:rPr>
                <w:sz w:val="22"/>
                <w:szCs w:val="22"/>
              </w:rPr>
              <w:t xml:space="preserve"> náklady v súvislosti s vykonaním technickej kontroly zvláštne</w:t>
            </w:r>
            <w:r w:rsidR="00913BD6">
              <w:rPr>
                <w:sz w:val="22"/>
                <w:szCs w:val="22"/>
              </w:rPr>
              <w:t>j (približne 50 eur na vozidlo),</w:t>
            </w:r>
            <w:r w:rsidRPr="00A33E56">
              <w:rPr>
                <w:sz w:val="22"/>
                <w:szCs w:val="22"/>
              </w:rPr>
              <w:t xml:space="preserve"> 20 eur správny poplatok za udelenie vnútroštátneho schválenia jednotlivého vozidla s obmedzenou prevádzkou</w:t>
            </w:r>
            <w:r w:rsidR="00913BD6">
              <w:rPr>
                <w:sz w:val="22"/>
                <w:szCs w:val="22"/>
              </w:rPr>
              <w:t xml:space="preserve"> a 33 eur p</w:t>
            </w:r>
            <w:r w:rsidR="00913BD6" w:rsidRPr="00913BD6">
              <w:rPr>
                <w:sz w:val="22"/>
                <w:szCs w:val="22"/>
              </w:rPr>
              <w:t xml:space="preserve">ridelenie zvláštneho evidenčného čísla a vydanie tabuľky so zvláštnym </w:t>
            </w:r>
            <w:r w:rsidR="00913BD6" w:rsidRPr="00913BD6">
              <w:rPr>
                <w:sz w:val="22"/>
                <w:szCs w:val="22"/>
              </w:rPr>
              <w:lastRenderedPageBreak/>
              <w:t>evidenčným číslom, za každú tabuľku</w:t>
            </w:r>
            <w:r w:rsidRPr="00A33E56">
              <w:rPr>
                <w:sz w:val="22"/>
                <w:szCs w:val="22"/>
              </w:rPr>
              <w:t xml:space="preserve">. </w:t>
            </w:r>
            <w:r w:rsidR="002A1BA0">
              <w:rPr>
                <w:sz w:val="22"/>
                <w:szCs w:val="22"/>
              </w:rPr>
              <w:t>Predpokladáme, že v roku 2020 bude táto možnosť využitá pre</w:t>
            </w:r>
            <w:r w:rsidR="00913BD6">
              <w:rPr>
                <w:sz w:val="22"/>
                <w:szCs w:val="22"/>
              </w:rPr>
              <w:t> </w:t>
            </w:r>
            <w:r w:rsidR="002A1BA0">
              <w:rPr>
                <w:sz w:val="22"/>
                <w:szCs w:val="22"/>
              </w:rPr>
              <w:t xml:space="preserve">približne 5000 vozidiel a v nasledujúcich rokoch bude počet vozidiel klesať na 2500 vozidiel v roku 2021 a 2000 vozidiel v roku 2022. </w:t>
            </w:r>
            <w:r w:rsidRPr="00A33E56">
              <w:rPr>
                <w:sz w:val="22"/>
                <w:szCs w:val="22"/>
              </w:rPr>
              <w:t xml:space="preserve">Vzhľadom na to, že </w:t>
            </w:r>
            <w:r w:rsidR="002A1BA0">
              <w:rPr>
                <w:sz w:val="22"/>
                <w:szCs w:val="22"/>
              </w:rPr>
              <w:t>podnikateľské subjekty môžu vlastniť viacero vozidiel, u ktorých budú žiadať o</w:t>
            </w:r>
            <w:r w:rsidR="009203CD">
              <w:rPr>
                <w:sz w:val="22"/>
                <w:szCs w:val="22"/>
              </w:rPr>
              <w:t xml:space="preserve"> vnútroštátne </w:t>
            </w:r>
            <w:r w:rsidR="002A1BA0">
              <w:rPr>
                <w:sz w:val="22"/>
                <w:szCs w:val="22"/>
              </w:rPr>
              <w:t>schválenie jednotlivého vozidla</w:t>
            </w:r>
            <w:r w:rsidR="009203CD">
              <w:rPr>
                <w:sz w:val="22"/>
                <w:szCs w:val="22"/>
              </w:rPr>
              <w:t xml:space="preserve"> s obmedzenou prevádzkou</w:t>
            </w:r>
            <w:r w:rsidR="002A1BA0">
              <w:rPr>
                <w:sz w:val="22"/>
                <w:szCs w:val="22"/>
              </w:rPr>
              <w:t xml:space="preserve"> a nie je možné odhadnúť počet týchto podnikateľských subjektov, nie je možné vypočítať priame náklady na jedného podnikateľa a tiež na celé podnikateľské prostredie.</w:t>
            </w:r>
            <w:r w:rsidR="009203CD">
              <w:rPr>
                <w:sz w:val="22"/>
                <w:szCs w:val="22"/>
              </w:rPr>
              <w:t xml:space="preserve"> Je možné odhadnúť náklady na jedného podnikateľa, ak bude žiadať o vnútroštátne schválenie jednotlivého vozidla s obmedzenou prevádzkou iba pre jedno vozidlo, ktoré bu</w:t>
            </w:r>
            <w:r w:rsidR="00913BD6">
              <w:rPr>
                <w:sz w:val="22"/>
                <w:szCs w:val="22"/>
              </w:rPr>
              <w:t>dú vo výške približne 133</w:t>
            </w:r>
            <w:r w:rsidR="009203CD">
              <w:rPr>
                <w:sz w:val="22"/>
                <w:szCs w:val="22"/>
              </w:rPr>
              <w:t xml:space="preserve"> eur (20 eur</w:t>
            </w:r>
            <w:r w:rsidR="00913BD6">
              <w:rPr>
                <w:sz w:val="22"/>
                <w:szCs w:val="22"/>
              </w:rPr>
              <w:t xml:space="preserve"> + 33 eur</w:t>
            </w:r>
            <w:bookmarkStart w:id="0" w:name="_GoBack"/>
            <w:bookmarkEnd w:id="0"/>
            <w:r w:rsidR="009203CD">
              <w:rPr>
                <w:sz w:val="22"/>
                <w:szCs w:val="22"/>
              </w:rPr>
              <w:t xml:space="preserve"> správny poplatok, 50 eur poplatok za vykonanie technickej kontroly a 30 eur náklady spojené s presunom vozidla a vykonaní technickej kontroly).</w:t>
            </w:r>
          </w:p>
        </w:tc>
      </w:tr>
      <w:tr w:rsidR="00E559B4" w:rsidRPr="00E559B4" w:rsidTr="007B71A4">
        <w:tc>
          <w:tcPr>
            <w:tcW w:w="9212" w:type="dxa"/>
          </w:tcPr>
          <w:p w:rsidR="009F2DFA" w:rsidRPr="00E559B4" w:rsidRDefault="002B1108" w:rsidP="007B71A4">
            <w:pPr>
              <w:rPr>
                <w:b/>
                <w:i/>
              </w:rPr>
            </w:pPr>
            <w:r w:rsidRPr="00E559B4">
              <w:rPr>
                <w:b/>
                <w:i/>
              </w:rPr>
              <w:lastRenderedPageBreak/>
              <w:t>3</w:t>
            </w:r>
            <w:r w:rsidR="009F2DFA" w:rsidRPr="00E559B4">
              <w:rPr>
                <w:b/>
                <w:i/>
              </w:rPr>
              <w:t>.3.2 Nepriame finančné náklady</w:t>
            </w:r>
          </w:p>
          <w:p w:rsidR="007E121A" w:rsidRPr="00E559B4" w:rsidRDefault="009F2DFA" w:rsidP="00587437">
            <w:pPr>
              <w:jc w:val="both"/>
              <w:rPr>
                <w:i/>
              </w:rPr>
            </w:pPr>
            <w:r w:rsidRPr="00E559B4">
              <w:rPr>
                <w:i/>
              </w:rPr>
              <w:t xml:space="preserve">Vyžaduje si predkladaný návrh dodatočné náklady na nákup tovarov alebo služieb? </w:t>
            </w:r>
            <w:r w:rsidR="00B31A8E" w:rsidRPr="00E559B4">
              <w:rPr>
                <w:i/>
              </w:rPr>
              <w:t xml:space="preserve">Zvyšuje predkladaný návrh náklady súvisiace so zamestnávaním? </w:t>
            </w:r>
            <w:r w:rsidRPr="00E559B4">
              <w:rPr>
                <w:i/>
              </w:rPr>
              <w:t>Ak áno, popíšte a vyčíslite ich. Uveďte tiež spôsob ich výpočtu.</w:t>
            </w:r>
          </w:p>
        </w:tc>
      </w:tr>
      <w:tr w:rsidR="00E559B4" w:rsidRPr="00E559B4" w:rsidTr="007B71A4">
        <w:tc>
          <w:tcPr>
            <w:tcW w:w="9212" w:type="dxa"/>
          </w:tcPr>
          <w:p w:rsidR="009F2DFA" w:rsidRPr="00E559B4" w:rsidRDefault="00B66E37" w:rsidP="003500CE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V súvislosti s návrhom zákona nedochádza k nepriamym finančným nákladom regulácie.</w:t>
            </w:r>
          </w:p>
        </w:tc>
      </w:tr>
      <w:tr w:rsidR="00E559B4" w:rsidRPr="00E559B4" w:rsidTr="007B71A4">
        <w:tc>
          <w:tcPr>
            <w:tcW w:w="9212" w:type="dxa"/>
          </w:tcPr>
          <w:p w:rsidR="009F2DFA" w:rsidRPr="00E559B4" w:rsidRDefault="002B1108" w:rsidP="007B71A4">
            <w:pPr>
              <w:rPr>
                <w:b/>
                <w:i/>
              </w:rPr>
            </w:pPr>
            <w:r w:rsidRPr="00E559B4">
              <w:rPr>
                <w:b/>
                <w:i/>
              </w:rPr>
              <w:t>3</w:t>
            </w:r>
            <w:r w:rsidR="009F2DFA" w:rsidRPr="00E559B4">
              <w:rPr>
                <w:b/>
                <w:i/>
              </w:rPr>
              <w:t>.3.3 Administratívne náklady</w:t>
            </w:r>
          </w:p>
          <w:p w:rsidR="007E121A" w:rsidRPr="00E559B4" w:rsidRDefault="009F2DFA" w:rsidP="00CE5733">
            <w:pPr>
              <w:jc w:val="both"/>
              <w:rPr>
                <w:i/>
              </w:rPr>
            </w:pPr>
            <w:r w:rsidRPr="00E559B4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E559B4" w:rsidRPr="00E559B4" w:rsidTr="00CF4568">
        <w:trPr>
          <w:trHeight w:val="1124"/>
        </w:trPr>
        <w:tc>
          <w:tcPr>
            <w:tcW w:w="9212" w:type="dxa"/>
          </w:tcPr>
          <w:p w:rsidR="00F77699" w:rsidRPr="0088369B" w:rsidRDefault="00B66E37" w:rsidP="00F77699">
            <w:pPr>
              <w:pStyle w:val="Odstavecseseznamem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8369B">
              <w:rPr>
                <w:rFonts w:ascii="Times New Roman" w:hAnsi="Times New Roman"/>
              </w:rPr>
              <w:t>Z</w:t>
            </w:r>
            <w:r w:rsidR="00F77699" w:rsidRPr="0088369B">
              <w:rPr>
                <w:rFonts w:ascii="Times New Roman" w:hAnsi="Times New Roman"/>
              </w:rPr>
              <w:t>ákon</w:t>
            </w:r>
            <w:r w:rsidRPr="0088369B">
              <w:rPr>
                <w:rFonts w:ascii="Times New Roman" w:hAnsi="Times New Roman"/>
              </w:rPr>
              <w:t>om č. 106/2018 Z. z.</w:t>
            </w:r>
            <w:r w:rsidR="00F77699" w:rsidRPr="0088369B">
              <w:rPr>
                <w:rFonts w:ascii="Times New Roman" w:hAnsi="Times New Roman"/>
              </w:rPr>
              <w:t xml:space="preserve"> </w:t>
            </w:r>
            <w:r w:rsidR="00E84384" w:rsidRPr="0088369B">
              <w:rPr>
                <w:rFonts w:ascii="Times New Roman" w:hAnsi="Times New Roman"/>
              </w:rPr>
              <w:t>o prevádzke vozidiel</w:t>
            </w:r>
            <w:r w:rsidRPr="0088369B">
              <w:rPr>
                <w:rFonts w:ascii="Times New Roman" w:hAnsi="Times New Roman"/>
              </w:rPr>
              <w:t xml:space="preserve"> v cestnej premávke a o zmene a doplnení niektorých zákonov bol vytvorený</w:t>
            </w:r>
            <w:r w:rsidR="00F77699" w:rsidRPr="0088369B">
              <w:rPr>
                <w:rFonts w:ascii="Times New Roman" w:hAnsi="Times New Roman"/>
              </w:rPr>
              <w:t xml:space="preserve"> register prevádzkových záznamov vozidiel. Ide o</w:t>
            </w:r>
            <w:r w:rsidR="00E91481" w:rsidRPr="0088369B">
              <w:rPr>
                <w:rFonts w:ascii="Times New Roman" w:hAnsi="Times New Roman"/>
              </w:rPr>
              <w:t> </w:t>
            </w:r>
            <w:r w:rsidR="00F77699" w:rsidRPr="0088369B">
              <w:rPr>
                <w:rFonts w:ascii="Times New Roman" w:hAnsi="Times New Roman"/>
              </w:rPr>
              <w:t>vnútroštátny</w:t>
            </w:r>
            <w:r w:rsidR="00E91481" w:rsidRPr="0088369B">
              <w:rPr>
                <w:rFonts w:ascii="Times New Roman" w:hAnsi="Times New Roman"/>
              </w:rPr>
              <w:t xml:space="preserve"> </w:t>
            </w:r>
            <w:r w:rsidR="00F77699" w:rsidRPr="0088369B">
              <w:rPr>
                <w:rFonts w:ascii="Times New Roman" w:hAnsi="Times New Roman"/>
              </w:rPr>
              <w:t>register cestných motorových vozidiel, ktoré sú prihlásené v evidencii vozidiel v Slovenskej republike, do ktorého sa zaznamenáva zobrazovaná hodnota počítadla celkovej prejdenej vzdialenosti cestného motorového vozidla v rôznych životných situáciách počas prevádzky vozidla až do jeho vyradenia z evidencie, tak aby sa eliminovala neoprávnená manipulácia so zobrazovanou hodnotou počítadla.</w:t>
            </w:r>
          </w:p>
          <w:p w:rsidR="00F77699" w:rsidRPr="0088369B" w:rsidRDefault="00B66E37" w:rsidP="003367CF">
            <w:pPr>
              <w:pStyle w:val="Odstavecseseznamem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8369B">
              <w:rPr>
                <w:rFonts w:ascii="Times New Roman" w:hAnsi="Times New Roman"/>
              </w:rPr>
              <w:t>V súčasnosti sú d</w:t>
            </w:r>
            <w:r w:rsidR="00F77699" w:rsidRPr="0088369B">
              <w:rPr>
                <w:rFonts w:ascii="Times New Roman" w:hAnsi="Times New Roman"/>
              </w:rPr>
              <w:t>o registra povinn</w:t>
            </w:r>
            <w:r w:rsidR="003500CE" w:rsidRPr="0088369B">
              <w:rPr>
                <w:rFonts w:ascii="Times New Roman" w:hAnsi="Times New Roman"/>
              </w:rPr>
              <w:t>í</w:t>
            </w:r>
            <w:r w:rsidR="00F77699" w:rsidRPr="0088369B">
              <w:rPr>
                <w:rFonts w:ascii="Times New Roman" w:hAnsi="Times New Roman"/>
              </w:rPr>
              <w:t xml:space="preserve"> bezodplatne zasielať informácie o cestných motorových vozidlách v rozsahu ustanovenom vo vykonávacom predpise</w:t>
            </w:r>
            <w:r w:rsidR="003500CE" w:rsidRPr="0088369B">
              <w:rPr>
                <w:rFonts w:ascii="Times New Roman" w:hAnsi="Times New Roman"/>
              </w:rPr>
              <w:t xml:space="preserve"> nasledovné osoby</w:t>
            </w:r>
            <w:r w:rsidR="00973E58" w:rsidRPr="0088369B">
              <w:rPr>
                <w:rFonts w:ascii="Times New Roman" w:hAnsi="Times New Roman"/>
              </w:rPr>
              <w:t>:</w:t>
            </w:r>
          </w:p>
          <w:p w:rsidR="00F77699" w:rsidRPr="0088369B" w:rsidRDefault="00F77699" w:rsidP="00CF4568">
            <w:pPr>
              <w:pStyle w:val="Odstavecseseznamem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8369B">
              <w:rPr>
                <w:rFonts w:ascii="Times New Roman" w:hAnsi="Times New Roman"/>
                <w:lang w:eastAsia="sk-SK"/>
              </w:rPr>
              <w:t>technická služba technickej kontroly informácie o všetkých vykonaných technických kontrolách, a to nepretržite a priamo,</w:t>
            </w:r>
          </w:p>
          <w:p w:rsidR="00F77699" w:rsidRPr="0088369B" w:rsidRDefault="00F77699" w:rsidP="00CF4568">
            <w:pPr>
              <w:pStyle w:val="Odstavecseseznamem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8369B">
              <w:rPr>
                <w:rFonts w:ascii="Times New Roman" w:hAnsi="Times New Roman"/>
                <w:lang w:eastAsia="sk-SK"/>
              </w:rPr>
              <w:t>technická služba technickej kontroly informácie o všetkých vykonaných cestných technických kontrolách, a to nepretržite a priamo,</w:t>
            </w:r>
          </w:p>
          <w:p w:rsidR="00F77699" w:rsidRPr="0088369B" w:rsidRDefault="00F77699" w:rsidP="00CF4568">
            <w:pPr>
              <w:pStyle w:val="Odstavecseseznamem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8369B">
              <w:rPr>
                <w:rFonts w:ascii="Times New Roman" w:hAnsi="Times New Roman"/>
                <w:lang w:eastAsia="sk-SK"/>
              </w:rPr>
              <w:t>technická služba emisnej kontroly informácie o všetkých vykonaných emisných kontrolách, a to nepretržite a priamo,</w:t>
            </w:r>
          </w:p>
          <w:p w:rsidR="00F77699" w:rsidRPr="0088369B" w:rsidRDefault="00F77699" w:rsidP="00CF4568">
            <w:pPr>
              <w:pStyle w:val="Odstavecseseznamem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8369B">
              <w:rPr>
                <w:rFonts w:ascii="Times New Roman" w:hAnsi="Times New Roman"/>
                <w:lang w:eastAsia="sk-SK"/>
              </w:rPr>
              <w:t>technická služba kontroly originality</w:t>
            </w:r>
            <w:r w:rsidRPr="0088369B">
              <w:rPr>
                <w:rFonts w:ascii="Times New Roman" w:hAnsi="Times New Roman"/>
              </w:rPr>
              <w:t xml:space="preserve"> </w:t>
            </w:r>
            <w:r w:rsidRPr="0088369B">
              <w:rPr>
                <w:rFonts w:ascii="Times New Roman" w:hAnsi="Times New Roman"/>
                <w:lang w:eastAsia="sk-SK"/>
              </w:rPr>
              <w:t>informácie o všetkých vykonaných kontrolách originality, a to nepretržite a priamo,</w:t>
            </w:r>
          </w:p>
          <w:p w:rsidR="00F77699" w:rsidRPr="0088369B" w:rsidRDefault="00F77699" w:rsidP="00CF4568">
            <w:pPr>
              <w:pStyle w:val="Odstavecseseznamem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8369B">
              <w:rPr>
                <w:rFonts w:ascii="Times New Roman" w:hAnsi="Times New Roman"/>
                <w:lang w:eastAsia="sk-SK"/>
              </w:rPr>
              <w:t>orgán Policajného zboru informácie o evidenčných zmenách vozidiel a o evidovaných dopravných nehodách, a to nepretržite a priamo,</w:t>
            </w:r>
          </w:p>
          <w:p w:rsidR="00F77699" w:rsidRPr="0088369B" w:rsidRDefault="00BC5C24" w:rsidP="00CF4568">
            <w:pPr>
              <w:pStyle w:val="Odstavecseseznamem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8369B">
              <w:rPr>
                <w:rFonts w:ascii="Times New Roman" w:hAnsi="Times New Roman"/>
                <w:lang w:eastAsia="sk-SK"/>
              </w:rPr>
              <w:t>M</w:t>
            </w:r>
            <w:r w:rsidR="00F77699" w:rsidRPr="0088369B">
              <w:rPr>
                <w:rFonts w:ascii="Times New Roman" w:hAnsi="Times New Roman"/>
                <w:lang w:eastAsia="sk-SK"/>
              </w:rPr>
              <w:t xml:space="preserve">inisterstvo </w:t>
            </w:r>
            <w:r w:rsidRPr="0088369B">
              <w:rPr>
                <w:rFonts w:ascii="Times New Roman" w:hAnsi="Times New Roman"/>
                <w:lang w:eastAsia="sk-SK"/>
              </w:rPr>
              <w:t xml:space="preserve">dopravy a výstavby SR </w:t>
            </w:r>
            <w:r w:rsidR="00F77699" w:rsidRPr="0088369B">
              <w:rPr>
                <w:rFonts w:ascii="Times New Roman" w:hAnsi="Times New Roman"/>
                <w:lang w:eastAsia="sk-SK"/>
              </w:rPr>
              <w:t xml:space="preserve">z vyplnených záznamov o medzinárodnej preprave nákladov v rámci využívania trvalých prepravných </w:t>
            </w:r>
            <w:r w:rsidR="00F77699" w:rsidRPr="0088369B">
              <w:rPr>
                <w:rFonts w:ascii="Times New Roman" w:hAnsi="Times New Roman"/>
              </w:rPr>
              <w:t>licenci</w:t>
            </w:r>
            <w:r w:rsidRPr="0088369B">
              <w:rPr>
                <w:rFonts w:ascii="Times New Roman" w:hAnsi="Times New Roman"/>
              </w:rPr>
              <w:t>í</w:t>
            </w:r>
            <w:r w:rsidR="00F77699" w:rsidRPr="0088369B">
              <w:rPr>
                <w:rFonts w:ascii="Times New Roman" w:hAnsi="Times New Roman"/>
              </w:rPr>
              <w:t xml:space="preserve"> medzinárodnej organizácie</w:t>
            </w:r>
            <w:r w:rsidR="00F77699" w:rsidRPr="0088369B">
              <w:rPr>
                <w:rFonts w:ascii="Times New Roman" w:hAnsi="Times New Roman"/>
                <w:lang w:eastAsia="sk-SK"/>
              </w:rPr>
              <w:t>,</w:t>
            </w:r>
          </w:p>
          <w:p w:rsidR="00F77699" w:rsidRPr="0088369B" w:rsidRDefault="00F77699" w:rsidP="00CF4568">
            <w:pPr>
              <w:pStyle w:val="Odstavecseseznamem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8369B">
              <w:rPr>
                <w:rFonts w:ascii="Times New Roman" w:hAnsi="Times New Roman"/>
              </w:rPr>
              <w:t xml:space="preserve">výrobcovia a zástupcovia výrobcu </w:t>
            </w:r>
            <w:r w:rsidRPr="0088369B">
              <w:rPr>
                <w:rFonts w:ascii="Times New Roman" w:hAnsi="Times New Roman"/>
                <w:lang w:eastAsia="sk-SK"/>
              </w:rPr>
              <w:t>informácie</w:t>
            </w:r>
            <w:r w:rsidRPr="0088369B">
              <w:rPr>
                <w:rFonts w:ascii="Times New Roman" w:hAnsi="Times New Roman"/>
              </w:rPr>
              <w:t xml:space="preserve"> o evidovaných opravách a údržbe cestných motorových vozidiel, a to</w:t>
            </w:r>
            <w:r w:rsidRPr="0088369B" w:rsidDel="00241852">
              <w:rPr>
                <w:rFonts w:ascii="Times New Roman" w:hAnsi="Times New Roman"/>
              </w:rPr>
              <w:t xml:space="preserve"> </w:t>
            </w:r>
            <w:r w:rsidRPr="0088369B">
              <w:rPr>
                <w:rFonts w:ascii="Times New Roman" w:hAnsi="Times New Roman"/>
                <w:lang w:eastAsia="sk-SK"/>
              </w:rPr>
              <w:t>nepretržite a priamo alebo nepretržite a automatizovane</w:t>
            </w:r>
            <w:r w:rsidRPr="0088369B">
              <w:rPr>
                <w:rFonts w:ascii="Times New Roman" w:hAnsi="Times New Roman"/>
              </w:rPr>
              <w:t>,</w:t>
            </w:r>
          </w:p>
          <w:p w:rsidR="00F77699" w:rsidRPr="0088369B" w:rsidRDefault="00F77699" w:rsidP="00CF4568">
            <w:pPr>
              <w:pStyle w:val="Odstavecseseznamem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8369B">
              <w:rPr>
                <w:rFonts w:ascii="Times New Roman" w:hAnsi="Times New Roman"/>
              </w:rPr>
              <w:t xml:space="preserve">certifikované miesta opravy </w:t>
            </w:r>
            <w:r w:rsidRPr="0088369B">
              <w:rPr>
                <w:rFonts w:ascii="Times New Roman" w:hAnsi="Times New Roman"/>
                <w:lang w:eastAsia="sk-SK"/>
              </w:rPr>
              <w:t>informácie</w:t>
            </w:r>
            <w:r w:rsidRPr="0088369B">
              <w:rPr>
                <w:rFonts w:ascii="Times New Roman" w:hAnsi="Times New Roman"/>
              </w:rPr>
              <w:t xml:space="preserve"> o vykonaných opravách cestných motorových vozidiel, a to </w:t>
            </w:r>
            <w:r w:rsidRPr="0088369B">
              <w:rPr>
                <w:rFonts w:ascii="Times New Roman" w:hAnsi="Times New Roman"/>
                <w:lang w:eastAsia="sk-SK"/>
              </w:rPr>
              <w:t>nepretržite a priamo alebo nepretržite a automatizovane</w:t>
            </w:r>
            <w:r w:rsidRPr="0088369B">
              <w:rPr>
                <w:rFonts w:ascii="Times New Roman" w:hAnsi="Times New Roman"/>
              </w:rPr>
              <w:t>,</w:t>
            </w:r>
          </w:p>
          <w:p w:rsidR="00F77699" w:rsidRPr="0088369B" w:rsidRDefault="00F77699" w:rsidP="00CF4568">
            <w:pPr>
              <w:pStyle w:val="Odstavecseseznamem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8369B">
              <w:rPr>
                <w:rFonts w:ascii="Times New Roman" w:hAnsi="Times New Roman"/>
                <w:lang w:eastAsia="sk-SK"/>
              </w:rPr>
              <w:t>fyzické osoby – podnikatelia a právnické osoby vykonávajúce diagnostiku, opravy alebo údržbu cestných motorových vozidiel alebo vykonávajúce opravy karosérií informácie</w:t>
            </w:r>
            <w:r w:rsidRPr="0088369B">
              <w:rPr>
                <w:rFonts w:ascii="Times New Roman" w:hAnsi="Times New Roman"/>
              </w:rPr>
              <w:t xml:space="preserve"> </w:t>
            </w:r>
            <w:r w:rsidRPr="0088369B">
              <w:rPr>
                <w:rFonts w:ascii="Times New Roman" w:hAnsi="Times New Roman"/>
                <w:lang w:eastAsia="sk-SK"/>
              </w:rPr>
              <w:t>o všetkých vykonaných opravách, údržbe alebo diagnostikovaní vozidiel, a to nepretržite a priamo alebo nepretržite a automatizovane</w:t>
            </w:r>
            <w:r w:rsidRPr="0088369B">
              <w:rPr>
                <w:rFonts w:ascii="Times New Roman" w:hAnsi="Times New Roman"/>
              </w:rPr>
              <w:t>,</w:t>
            </w:r>
          </w:p>
          <w:p w:rsidR="00F77699" w:rsidRPr="0088369B" w:rsidRDefault="00F77699" w:rsidP="00CF4568">
            <w:pPr>
              <w:pStyle w:val="Odstavecseseznamem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8369B">
              <w:rPr>
                <w:rFonts w:ascii="Times New Roman" w:hAnsi="Times New Roman"/>
                <w:lang w:eastAsia="sk-SK"/>
              </w:rPr>
              <w:t>fyzické osoby – podnikatelia a právnické osoby vykonávajúce predaj ojazdených cestných motorových vozidiel priamo alebo sprostredkovane informácie</w:t>
            </w:r>
            <w:r w:rsidRPr="0088369B">
              <w:rPr>
                <w:rFonts w:ascii="Times New Roman" w:hAnsi="Times New Roman"/>
              </w:rPr>
              <w:t xml:space="preserve"> </w:t>
            </w:r>
            <w:r w:rsidRPr="0088369B">
              <w:rPr>
                <w:rFonts w:ascii="Times New Roman" w:hAnsi="Times New Roman"/>
                <w:lang w:eastAsia="sk-SK"/>
              </w:rPr>
              <w:t>o všetkých vykonaných predajoch vozidiel, a to nepretržite a priamo alebo nepretržite a automatizovane</w:t>
            </w:r>
            <w:r w:rsidRPr="0088369B">
              <w:rPr>
                <w:rFonts w:ascii="Times New Roman" w:hAnsi="Times New Roman"/>
              </w:rPr>
              <w:t>,</w:t>
            </w:r>
          </w:p>
          <w:p w:rsidR="00F77699" w:rsidRPr="0088369B" w:rsidRDefault="00F77699" w:rsidP="00CF4568">
            <w:pPr>
              <w:pStyle w:val="Odstavecseseznamem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8369B">
              <w:rPr>
                <w:rFonts w:ascii="Times New Roman" w:hAnsi="Times New Roman"/>
                <w:lang w:eastAsia="sk-SK"/>
              </w:rPr>
              <w:t>poisťovne informácie</w:t>
            </w:r>
            <w:r w:rsidRPr="0088369B">
              <w:rPr>
                <w:rFonts w:ascii="Times New Roman" w:hAnsi="Times New Roman"/>
              </w:rPr>
              <w:t xml:space="preserve"> </w:t>
            </w:r>
            <w:r w:rsidRPr="0088369B">
              <w:rPr>
                <w:rFonts w:ascii="Times New Roman" w:hAnsi="Times New Roman"/>
                <w:lang w:eastAsia="sk-SK"/>
              </w:rPr>
              <w:t>o všetkých cestných motorových vozidlách, na ktorých v rámci poistných udalostí boli vykonané ohliadky vozidiel, a to nepretržite a priamo,</w:t>
            </w:r>
          </w:p>
          <w:p w:rsidR="00F77699" w:rsidRPr="0088369B" w:rsidRDefault="00F77699" w:rsidP="00CF4568">
            <w:pPr>
              <w:pStyle w:val="Odstavecseseznamem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8369B">
              <w:rPr>
                <w:rFonts w:ascii="Times New Roman" w:hAnsi="Times New Roman"/>
                <w:lang w:eastAsia="sk-SK"/>
              </w:rPr>
              <w:t>leasingové spoločnosti údaje z počítadiel prejdenej vzdialenosti ojazdených cestných motorových vozidiel v čase uzavretia zmluvy o financovaní, a to nepretržite a priamo,</w:t>
            </w:r>
          </w:p>
          <w:p w:rsidR="00F77699" w:rsidRPr="0088369B" w:rsidRDefault="00F77699" w:rsidP="00CF4568">
            <w:pPr>
              <w:pStyle w:val="Odstavecseseznamem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8369B">
              <w:rPr>
                <w:rFonts w:ascii="Times New Roman" w:hAnsi="Times New Roman"/>
              </w:rPr>
              <w:t xml:space="preserve">znalci </w:t>
            </w:r>
            <w:r w:rsidRPr="0088369B">
              <w:rPr>
                <w:rFonts w:ascii="Times New Roman" w:hAnsi="Times New Roman"/>
                <w:lang w:eastAsia="sk-SK"/>
              </w:rPr>
              <w:t>údaje z počítadiel prejdenej vzdialenosti cestných motorových vozidiel, na ktorých vykonali ohliadky a tieto údaje zaznamenali, a to priamo</w:t>
            </w:r>
            <w:r w:rsidRPr="0088369B">
              <w:rPr>
                <w:rFonts w:ascii="Times New Roman" w:hAnsi="Times New Roman"/>
              </w:rPr>
              <w:t>.</w:t>
            </w:r>
          </w:p>
          <w:p w:rsidR="00C87D60" w:rsidRPr="0088369B" w:rsidRDefault="003500CE" w:rsidP="003367CF">
            <w:pPr>
              <w:pStyle w:val="Odstavecseseznamem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8369B">
              <w:rPr>
                <w:rFonts w:ascii="Times New Roman" w:hAnsi="Times New Roman"/>
              </w:rPr>
              <w:lastRenderedPageBreak/>
              <w:t xml:space="preserve">Návrhom zákona sa tento okruh osôb rozširuje o </w:t>
            </w:r>
          </w:p>
          <w:p w:rsidR="003500CE" w:rsidRPr="0088369B" w:rsidRDefault="003500CE" w:rsidP="003500CE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8369B">
              <w:rPr>
                <w:rFonts w:ascii="Times New Roman" w:hAnsi="Times New Roman"/>
              </w:rPr>
              <w:t>fyzické osoby – podnikate</w:t>
            </w:r>
            <w:r w:rsidR="00BC5C24" w:rsidRPr="0088369B">
              <w:rPr>
                <w:rFonts w:ascii="Times New Roman" w:hAnsi="Times New Roman"/>
              </w:rPr>
              <w:t>ľov</w:t>
            </w:r>
            <w:r w:rsidRPr="0088369B">
              <w:rPr>
                <w:rFonts w:ascii="Times New Roman" w:hAnsi="Times New Roman"/>
              </w:rPr>
              <w:t xml:space="preserve"> a právnické osoby vykonávajúc</w:t>
            </w:r>
            <w:r w:rsidR="00BC5C24" w:rsidRPr="0088369B">
              <w:rPr>
                <w:rFonts w:ascii="Times New Roman" w:hAnsi="Times New Roman"/>
              </w:rPr>
              <w:t>e</w:t>
            </w:r>
            <w:r w:rsidRPr="0088369B">
              <w:rPr>
                <w:rFonts w:ascii="Times New Roman" w:hAnsi="Times New Roman"/>
              </w:rPr>
              <w:t xml:space="preserve"> služby v oblasti organizovania a realizácie dražieb cestných motorových vozidiel,</w:t>
            </w:r>
          </w:p>
          <w:p w:rsidR="003500CE" w:rsidRPr="0088369B" w:rsidRDefault="003500CE" w:rsidP="003500CE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8369B">
              <w:rPr>
                <w:rFonts w:ascii="Times New Roman" w:hAnsi="Times New Roman"/>
              </w:rPr>
              <w:t>fyzické osoby – podnikate</w:t>
            </w:r>
            <w:r w:rsidR="00BC5C24" w:rsidRPr="0088369B">
              <w:rPr>
                <w:rFonts w:ascii="Times New Roman" w:hAnsi="Times New Roman"/>
              </w:rPr>
              <w:t>ľov</w:t>
            </w:r>
            <w:r w:rsidRPr="0088369B">
              <w:rPr>
                <w:rFonts w:ascii="Times New Roman" w:hAnsi="Times New Roman"/>
              </w:rPr>
              <w:t xml:space="preserve"> a právnické osoby vykonávajúc</w:t>
            </w:r>
            <w:r w:rsidR="00BC5C24" w:rsidRPr="0088369B">
              <w:rPr>
                <w:rFonts w:ascii="Times New Roman" w:hAnsi="Times New Roman"/>
              </w:rPr>
              <w:t>e</w:t>
            </w:r>
            <w:r w:rsidRPr="0088369B">
              <w:rPr>
                <w:rFonts w:ascii="Times New Roman" w:hAnsi="Times New Roman"/>
              </w:rPr>
              <w:t xml:space="preserve"> nastavovania a kalibrácie tachografov, </w:t>
            </w:r>
          </w:p>
          <w:p w:rsidR="003500CE" w:rsidRPr="0088369B" w:rsidRDefault="003500CE" w:rsidP="003500CE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8369B">
              <w:rPr>
                <w:rFonts w:ascii="Times New Roman" w:hAnsi="Times New Roman"/>
              </w:rPr>
              <w:t>požičovne cestných motorových vozidiel.</w:t>
            </w:r>
          </w:p>
          <w:p w:rsidR="003500CE" w:rsidRPr="0088369B" w:rsidRDefault="003500CE" w:rsidP="003367CF">
            <w:pPr>
              <w:pStyle w:val="Odstavecseseznamem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8369B">
              <w:rPr>
                <w:rFonts w:ascii="Times New Roman" w:hAnsi="Times New Roman"/>
              </w:rPr>
              <w:t>Pre tieto osoby vzniknú zvýšené administratívne náklady súvisiace s tým, aby zapísali údaje do registra prevádzkových záznamov.</w:t>
            </w:r>
          </w:p>
          <w:p w:rsidR="003500CE" w:rsidRPr="0088369B" w:rsidRDefault="003500CE" w:rsidP="003367CF">
            <w:pPr>
              <w:pStyle w:val="Odstavecseseznamem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9F2DFA" w:rsidRPr="0088369B" w:rsidRDefault="00C87D60" w:rsidP="00C87D60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</w:rPr>
            </w:pPr>
            <w:r w:rsidRPr="0088369B">
              <w:rPr>
                <w:rFonts w:ascii="Times New Roman" w:hAnsi="Times New Roman"/>
                <w:i/>
                <w:iCs/>
              </w:rPr>
              <w:t>Administratívne náklady  -ohlásenie, oznámenie poskytnutie informácie (60 min), mesačne (koeficient frekvencie 12), priemerná hrubá mesačná mzda v národnom hospodárstve SR (</w:t>
            </w:r>
            <w:r w:rsidR="00D517E6" w:rsidRPr="0088369B">
              <w:rPr>
                <w:rFonts w:ascii="Times New Roman" w:hAnsi="Times New Roman"/>
                <w:i/>
                <w:iCs/>
              </w:rPr>
              <w:t>1013</w:t>
            </w:r>
            <w:r w:rsidRPr="0088369B">
              <w:rPr>
                <w:rFonts w:ascii="Times New Roman" w:hAnsi="Times New Roman"/>
                <w:i/>
                <w:iCs/>
              </w:rPr>
              <w:t xml:space="preserve"> EUR), dotknuté subjekty (</w:t>
            </w:r>
            <w:r w:rsidR="00D517E6" w:rsidRPr="0088369B">
              <w:rPr>
                <w:rFonts w:ascii="Times New Roman" w:hAnsi="Times New Roman"/>
                <w:i/>
                <w:iCs/>
              </w:rPr>
              <w:t>295</w:t>
            </w:r>
            <w:r w:rsidRPr="0088369B">
              <w:rPr>
                <w:rFonts w:ascii="Times New Roman" w:hAnsi="Times New Roman"/>
                <w:i/>
                <w:iCs/>
              </w:rPr>
              <w:t>)(</w:t>
            </w:r>
            <w:r w:rsidR="00D517E6" w:rsidRPr="0088369B">
              <w:rPr>
                <w:rFonts w:ascii="Times New Roman" w:hAnsi="Times New Roman"/>
                <w:i/>
                <w:iCs/>
              </w:rPr>
              <w:t>1013</w:t>
            </w:r>
            <w:r w:rsidRPr="0088369B">
              <w:rPr>
                <w:rFonts w:ascii="Times New Roman" w:hAnsi="Times New Roman"/>
                <w:i/>
                <w:iCs/>
              </w:rPr>
              <w:t xml:space="preserve">/160*12) výsledok </w:t>
            </w:r>
            <w:r w:rsidR="00D517E6" w:rsidRPr="0088369B">
              <w:rPr>
                <w:rFonts w:ascii="Times New Roman" w:hAnsi="Times New Roman"/>
                <w:i/>
                <w:iCs/>
              </w:rPr>
              <w:t>75</w:t>
            </w:r>
            <w:r w:rsidRPr="0088369B">
              <w:rPr>
                <w:rFonts w:ascii="Times New Roman" w:hAnsi="Times New Roman"/>
                <w:i/>
                <w:iCs/>
              </w:rPr>
              <w:t>,</w:t>
            </w:r>
            <w:r w:rsidR="00D517E6" w:rsidRPr="0088369B">
              <w:rPr>
                <w:rFonts w:ascii="Times New Roman" w:hAnsi="Times New Roman"/>
                <w:i/>
                <w:iCs/>
              </w:rPr>
              <w:t>98</w:t>
            </w:r>
            <w:r w:rsidRPr="0088369B">
              <w:rPr>
                <w:rFonts w:ascii="Times New Roman" w:hAnsi="Times New Roman"/>
                <w:i/>
                <w:iCs/>
              </w:rPr>
              <w:t xml:space="preserve"> EUR/podnikateľ</w:t>
            </w:r>
          </w:p>
          <w:p w:rsidR="00963623" w:rsidRPr="0088369B" w:rsidRDefault="00963623" w:rsidP="00C87D60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63623" w:rsidRPr="00E559B4" w:rsidRDefault="00963623" w:rsidP="009203CD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369B">
              <w:rPr>
                <w:rFonts w:ascii="Times New Roman" w:hAnsi="Times New Roman"/>
              </w:rPr>
              <w:t>V súvislosti s precizovaním povinností hospodárskych subjektov pri uvádzaní vozidiel, systémov, komponentov, samostatných technických jednotiek, nebezpečných častí alebo vybavenia a spaľovacích motorov necestných strojov pri uvádzaní na trh v § 22, ktoré kontroluje v rámci dohľadu nad trhom Slovenská obchodná inšpekcia, nepredpokladáme žiadne administratívne náklady. Nejde o zavádzanie nových povinností oproti súčasnému stavu. Tieto povinnosti vyplývajú priamo z regulačných aktov týkajúcich sa schvaľovania vozidiel, systémov, komponentov, samostatných technických jednotiek, nebezpečných častí alebo vybavenia a spaľovacích motorov necestných strojov. Presnejšia špecifikácia je hlavne z dôvodu previazania týchto povinností na sankcie, ktoré musia byť upravené na vnútroštátnej úrovni, práve týmto zákonom o prevádzke vozidiel.</w:t>
            </w:r>
          </w:p>
        </w:tc>
      </w:tr>
      <w:tr w:rsidR="00E559B4" w:rsidRPr="00E559B4" w:rsidTr="007B71A4">
        <w:trPr>
          <w:trHeight w:val="2318"/>
        </w:trPr>
        <w:tc>
          <w:tcPr>
            <w:tcW w:w="9212" w:type="dxa"/>
          </w:tcPr>
          <w:p w:rsidR="009F2DFA" w:rsidRPr="00E559B4" w:rsidRDefault="002B1108" w:rsidP="00966E7B">
            <w:pPr>
              <w:jc w:val="both"/>
              <w:rPr>
                <w:i/>
              </w:rPr>
            </w:pPr>
            <w:r w:rsidRPr="00E559B4">
              <w:rPr>
                <w:b/>
                <w:i/>
              </w:rPr>
              <w:lastRenderedPageBreak/>
              <w:t>3</w:t>
            </w:r>
            <w:r w:rsidR="009F2DFA" w:rsidRPr="00E559B4">
              <w:rPr>
                <w:b/>
                <w:i/>
              </w:rPr>
              <w:t>.3.4 Súhrnná tabuľka nákladov regulácie</w:t>
            </w:r>
          </w:p>
          <w:p w:rsidR="000713C7" w:rsidRPr="00E559B4" w:rsidRDefault="000713C7" w:rsidP="000713C7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E559B4" w:rsidRPr="00E559B4" w:rsidTr="003500CE"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C7" w:rsidRPr="00E559B4" w:rsidRDefault="000713C7" w:rsidP="00863B0B">
                  <w:pPr>
                    <w:rPr>
                      <w:i/>
                    </w:rPr>
                  </w:pP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C7" w:rsidRPr="00E559B4" w:rsidRDefault="000713C7" w:rsidP="00863B0B">
                  <w:pPr>
                    <w:jc w:val="center"/>
                    <w:rPr>
                      <w:i/>
                    </w:rPr>
                  </w:pPr>
                  <w:r w:rsidRPr="00E559B4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C7" w:rsidRPr="00E559B4" w:rsidRDefault="000713C7" w:rsidP="00863B0B">
                  <w:pPr>
                    <w:jc w:val="center"/>
                    <w:rPr>
                      <w:i/>
                    </w:rPr>
                  </w:pPr>
                  <w:r w:rsidRPr="00E559B4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E559B4" w:rsidRPr="00E559B4" w:rsidTr="003500CE"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C7" w:rsidRPr="00E559B4" w:rsidRDefault="000713C7" w:rsidP="00863B0B">
                  <w:pPr>
                    <w:jc w:val="both"/>
                    <w:rPr>
                      <w:i/>
                    </w:rPr>
                  </w:pPr>
                  <w:r w:rsidRPr="00E559B4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C7" w:rsidRPr="00E559B4" w:rsidRDefault="009203CD" w:rsidP="00863B0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100 EUR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C7" w:rsidRPr="00E559B4" w:rsidRDefault="000713C7" w:rsidP="00863B0B">
                  <w:pPr>
                    <w:jc w:val="center"/>
                    <w:rPr>
                      <w:i/>
                    </w:rPr>
                  </w:pPr>
                  <w:r w:rsidRPr="00E559B4">
                    <w:rPr>
                      <w:i/>
                    </w:rPr>
                    <w:t>0</w:t>
                  </w:r>
                </w:p>
              </w:tc>
            </w:tr>
            <w:tr w:rsidR="00E559B4" w:rsidRPr="00E559B4" w:rsidTr="003500CE"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C7" w:rsidRPr="00E559B4" w:rsidRDefault="000713C7" w:rsidP="003500CE">
                  <w:pPr>
                    <w:jc w:val="both"/>
                    <w:rPr>
                      <w:i/>
                    </w:rPr>
                  </w:pPr>
                  <w:r w:rsidRPr="00E559B4">
                    <w:rPr>
                      <w:i/>
                    </w:rPr>
                    <w:t xml:space="preserve">Nepriame finančné náklady </w:t>
                  </w: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C7" w:rsidRPr="00E559B4" w:rsidRDefault="003500CE" w:rsidP="00863B0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C7" w:rsidRPr="00E559B4" w:rsidRDefault="005833BB" w:rsidP="00863B0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</w:tr>
            <w:tr w:rsidR="00E559B4" w:rsidRPr="00E559B4" w:rsidTr="003500CE"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C7" w:rsidRPr="00E559B4" w:rsidRDefault="000713C7" w:rsidP="00863B0B">
                  <w:pPr>
                    <w:jc w:val="both"/>
                    <w:rPr>
                      <w:i/>
                    </w:rPr>
                  </w:pPr>
                  <w:r w:rsidRPr="00E559B4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C7" w:rsidRPr="00E559B4" w:rsidRDefault="00D517E6" w:rsidP="00863B0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75,98</w:t>
                  </w:r>
                  <w:r w:rsidR="000713C7" w:rsidRPr="00E559B4">
                    <w:rPr>
                      <w:i/>
                    </w:rPr>
                    <w:t xml:space="preserve"> EUR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C7" w:rsidRPr="00E559B4" w:rsidRDefault="00D517E6" w:rsidP="00863B0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22 414</w:t>
                  </w:r>
                  <w:r w:rsidR="000713C7" w:rsidRPr="00E559B4">
                    <w:rPr>
                      <w:i/>
                    </w:rPr>
                    <w:t xml:space="preserve"> EUR</w:t>
                  </w:r>
                </w:p>
              </w:tc>
            </w:tr>
            <w:tr w:rsidR="00E559B4" w:rsidRPr="00E559B4" w:rsidTr="003500CE"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C7" w:rsidRPr="00E559B4" w:rsidRDefault="000713C7" w:rsidP="00863B0B">
                  <w:pPr>
                    <w:jc w:val="both"/>
                    <w:rPr>
                      <w:b/>
                      <w:i/>
                    </w:rPr>
                  </w:pPr>
                  <w:r w:rsidRPr="00E559B4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C7" w:rsidRPr="00E559B4" w:rsidRDefault="00D517E6" w:rsidP="00863B0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75,98</w:t>
                  </w:r>
                  <w:r w:rsidR="003500CE" w:rsidRPr="003500CE">
                    <w:rPr>
                      <w:b/>
                      <w:i/>
                    </w:rPr>
                    <w:t xml:space="preserve"> </w:t>
                  </w:r>
                  <w:r w:rsidR="000713C7" w:rsidRPr="00E559B4">
                    <w:rPr>
                      <w:b/>
                      <w:i/>
                    </w:rPr>
                    <w:t>EUR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C7" w:rsidRPr="00E559B4" w:rsidRDefault="00D517E6" w:rsidP="003500CE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22 414</w:t>
                  </w:r>
                  <w:r w:rsidR="003500CE" w:rsidRPr="003500CE">
                    <w:rPr>
                      <w:b/>
                      <w:i/>
                    </w:rPr>
                    <w:t xml:space="preserve"> </w:t>
                  </w:r>
                  <w:r w:rsidR="000713C7" w:rsidRPr="00E559B4">
                    <w:rPr>
                      <w:b/>
                      <w:i/>
                    </w:rPr>
                    <w:t>EUR</w:t>
                  </w:r>
                </w:p>
              </w:tc>
            </w:tr>
          </w:tbl>
          <w:p w:rsidR="009F2DFA" w:rsidRPr="00E559B4" w:rsidRDefault="000713C7" w:rsidP="003500CE">
            <w:pPr>
              <w:jc w:val="both"/>
              <w:rPr>
                <w:i/>
              </w:rPr>
            </w:pPr>
            <w:r w:rsidRPr="00E559B4">
              <w:rPr>
                <w:sz w:val="22"/>
                <w:szCs w:val="22"/>
              </w:rPr>
              <w:t xml:space="preserve">Vyššie uvedené finančné dopady sú orientačného charakteru. Ceny sú uvedené bez DPH. </w:t>
            </w:r>
          </w:p>
        </w:tc>
      </w:tr>
      <w:tr w:rsidR="00E559B4" w:rsidRPr="00E559B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E559B4" w:rsidRDefault="002B1108" w:rsidP="007B71A4">
            <w:pPr>
              <w:rPr>
                <w:b/>
                <w:sz w:val="24"/>
              </w:rPr>
            </w:pPr>
            <w:r w:rsidRPr="00E559B4">
              <w:rPr>
                <w:b/>
                <w:sz w:val="24"/>
              </w:rPr>
              <w:t>3</w:t>
            </w:r>
            <w:r w:rsidR="009F2DFA" w:rsidRPr="00E559B4">
              <w:rPr>
                <w:b/>
                <w:sz w:val="24"/>
              </w:rPr>
              <w:t>.4 Konkurencieschopnosť a správanie sa podnikov na trhu</w:t>
            </w:r>
          </w:p>
          <w:p w:rsidR="009F2DFA" w:rsidRPr="00E559B4" w:rsidRDefault="009F2DFA" w:rsidP="007B71A4">
            <w:r w:rsidRPr="00E559B4">
              <w:rPr>
                <w:b/>
                <w:sz w:val="24"/>
              </w:rPr>
              <w:t xml:space="preserve">       </w:t>
            </w:r>
            <w:r w:rsidRPr="00E559B4">
              <w:rPr>
                <w:sz w:val="24"/>
              </w:rPr>
              <w:t xml:space="preserve">- </w:t>
            </w:r>
            <w:r w:rsidRPr="00E559B4">
              <w:rPr>
                <w:b/>
                <w:sz w:val="24"/>
              </w:rPr>
              <w:t>z toho MSP</w:t>
            </w:r>
          </w:p>
        </w:tc>
      </w:tr>
      <w:tr w:rsidR="00E559B4" w:rsidRPr="00E559B4" w:rsidTr="007B71A4">
        <w:tc>
          <w:tcPr>
            <w:tcW w:w="9212" w:type="dxa"/>
          </w:tcPr>
          <w:p w:rsidR="009F2DFA" w:rsidRPr="00E559B4" w:rsidRDefault="009F2DFA" w:rsidP="00241D39">
            <w:pPr>
              <w:jc w:val="both"/>
              <w:rPr>
                <w:i/>
              </w:rPr>
            </w:pPr>
            <w:r w:rsidRPr="00E559B4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</w:t>
            </w:r>
            <w:r w:rsidR="003500CE">
              <w:rPr>
                <w:i/>
              </w:rPr>
              <w:t> </w:t>
            </w:r>
            <w:r w:rsidRPr="00E559B4">
              <w:rPr>
                <w:i/>
              </w:rPr>
              <w:t>niektorými</w:t>
            </w:r>
            <w:r w:rsidR="003500CE">
              <w:rPr>
                <w:i/>
              </w:rPr>
              <w:t xml:space="preserve"> </w:t>
            </w:r>
            <w:r w:rsidRPr="00E559B4">
              <w:rPr>
                <w:i/>
              </w:rPr>
              <w:t>podnikmi alebo produktmi zaobchádzať v porovnateľnej situácii rôzne (špeciálne režimy pre mikro, malé a stredné podniky tzv. MSP)? Ak áno, popíšte.</w:t>
            </w:r>
          </w:p>
          <w:p w:rsidR="009F2DFA" w:rsidRPr="00E559B4" w:rsidRDefault="009F2DFA" w:rsidP="00241D39">
            <w:pPr>
              <w:jc w:val="both"/>
              <w:rPr>
                <w:i/>
              </w:rPr>
            </w:pPr>
            <w:r w:rsidRPr="00E559B4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E559B4" w:rsidRDefault="009F2DFA" w:rsidP="00241D39">
            <w:pPr>
              <w:jc w:val="both"/>
              <w:rPr>
                <w:i/>
              </w:rPr>
            </w:pPr>
            <w:r w:rsidRPr="00E559B4">
              <w:rPr>
                <w:i/>
              </w:rPr>
              <w:t>Ako ovplyvní cenu alebo dostupnosť základných zdrojov (suroviny, mechanizmy, pracovná sila, energie atď.)?</w:t>
            </w:r>
          </w:p>
          <w:p w:rsidR="00C92901" w:rsidRPr="00E559B4" w:rsidRDefault="009F2DFA" w:rsidP="00241D39">
            <w:pPr>
              <w:jc w:val="both"/>
              <w:rPr>
                <w:i/>
              </w:rPr>
            </w:pPr>
            <w:r w:rsidRPr="00E559B4">
              <w:rPr>
                <w:i/>
              </w:rPr>
              <w:t>Ovplyvňuje prístup k financiám? Ak áno, ako?</w:t>
            </w:r>
          </w:p>
        </w:tc>
      </w:tr>
      <w:tr w:rsidR="00E559B4" w:rsidRPr="00E559B4" w:rsidTr="00E559B4">
        <w:trPr>
          <w:trHeight w:val="1003"/>
        </w:trPr>
        <w:tc>
          <w:tcPr>
            <w:tcW w:w="9212" w:type="dxa"/>
          </w:tcPr>
          <w:p w:rsidR="00836C43" w:rsidRPr="00E559B4" w:rsidRDefault="00BE052A" w:rsidP="00C96034">
            <w:pPr>
              <w:jc w:val="both"/>
              <w:rPr>
                <w:sz w:val="22"/>
                <w:szCs w:val="22"/>
              </w:rPr>
            </w:pPr>
            <w:r w:rsidRPr="00E559B4">
              <w:rPr>
                <w:sz w:val="22"/>
                <w:szCs w:val="22"/>
              </w:rPr>
              <w:t>N</w:t>
            </w:r>
            <w:r w:rsidR="003500CE">
              <w:rPr>
                <w:sz w:val="22"/>
                <w:szCs w:val="22"/>
              </w:rPr>
              <w:t>ávrhom zákona ne</w:t>
            </w:r>
            <w:r w:rsidR="003500CE" w:rsidRPr="00E559B4">
              <w:rPr>
                <w:sz w:val="22"/>
                <w:szCs w:val="22"/>
              </w:rPr>
              <w:t>dochádza</w:t>
            </w:r>
            <w:r w:rsidR="00836C43" w:rsidRPr="00E559B4">
              <w:rPr>
                <w:sz w:val="22"/>
                <w:szCs w:val="22"/>
              </w:rPr>
              <w:t xml:space="preserve"> k vytváraniu bariér pre vstup na trh </w:t>
            </w:r>
            <w:r w:rsidR="002D1387" w:rsidRPr="00E559B4">
              <w:rPr>
                <w:sz w:val="22"/>
                <w:szCs w:val="22"/>
              </w:rPr>
              <w:t xml:space="preserve">a </w:t>
            </w:r>
            <w:r w:rsidR="00836C43" w:rsidRPr="00E559B4">
              <w:rPr>
                <w:sz w:val="22"/>
                <w:szCs w:val="22"/>
              </w:rPr>
              <w:t>nej</w:t>
            </w:r>
            <w:r w:rsidR="002D1387" w:rsidRPr="00E559B4">
              <w:rPr>
                <w:sz w:val="22"/>
                <w:szCs w:val="22"/>
              </w:rPr>
              <w:t>de o</w:t>
            </w:r>
            <w:r w:rsidR="00836C43" w:rsidRPr="00E559B4">
              <w:rPr>
                <w:sz w:val="22"/>
                <w:szCs w:val="22"/>
              </w:rPr>
              <w:t> prísnejšiu reguláciu. Zároveň návrh zákona nebude mať vplyv na obchodné bariéry</w:t>
            </w:r>
            <w:r w:rsidR="00C96034">
              <w:rPr>
                <w:sz w:val="22"/>
                <w:szCs w:val="22"/>
              </w:rPr>
              <w:t>,</w:t>
            </w:r>
            <w:r w:rsidR="00836C43" w:rsidRPr="00E559B4">
              <w:rPr>
                <w:sz w:val="22"/>
                <w:szCs w:val="22"/>
              </w:rPr>
              <w:t xml:space="preserve"> ani vplyv na vyv</w:t>
            </w:r>
            <w:r w:rsidR="00E406B2" w:rsidRPr="00E559B4">
              <w:rPr>
                <w:sz w:val="22"/>
                <w:szCs w:val="22"/>
              </w:rPr>
              <w:t>olanie cezhraničných investícií</w:t>
            </w:r>
            <w:r w:rsidR="00C96034">
              <w:rPr>
                <w:sz w:val="22"/>
                <w:szCs w:val="22"/>
              </w:rPr>
              <w:t>,</w:t>
            </w:r>
            <w:r w:rsidR="00E406B2" w:rsidRPr="00E559B4">
              <w:rPr>
                <w:sz w:val="22"/>
                <w:szCs w:val="22"/>
              </w:rPr>
              <w:t xml:space="preserve"> ani na</w:t>
            </w:r>
            <w:r w:rsidR="00E91481" w:rsidRPr="00E559B4">
              <w:rPr>
                <w:sz w:val="22"/>
                <w:szCs w:val="22"/>
              </w:rPr>
              <w:t> </w:t>
            </w:r>
            <w:r w:rsidR="00E406B2" w:rsidRPr="00E559B4">
              <w:rPr>
                <w:sz w:val="22"/>
                <w:szCs w:val="22"/>
              </w:rPr>
              <w:t>cenu a dostupnosť služieb. Návrh zákona nevytvára nové možnosti financovania aktivít</w:t>
            </w:r>
            <w:r w:rsidR="00DA26A8" w:rsidRPr="00E559B4">
              <w:rPr>
                <w:sz w:val="22"/>
                <w:szCs w:val="22"/>
              </w:rPr>
              <w:t>.</w:t>
            </w:r>
            <w:r w:rsidR="00F77699" w:rsidRPr="00E559B4">
              <w:rPr>
                <w:sz w:val="22"/>
                <w:szCs w:val="22"/>
              </w:rPr>
              <w:t xml:space="preserve"> </w:t>
            </w:r>
          </w:p>
        </w:tc>
      </w:tr>
      <w:tr w:rsidR="00E559B4" w:rsidRPr="00E559B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E559B4" w:rsidRDefault="002B1108" w:rsidP="007B71A4">
            <w:pPr>
              <w:rPr>
                <w:b/>
                <w:sz w:val="24"/>
              </w:rPr>
            </w:pPr>
            <w:r w:rsidRPr="00E559B4">
              <w:rPr>
                <w:b/>
                <w:sz w:val="24"/>
              </w:rPr>
              <w:t>3</w:t>
            </w:r>
            <w:r w:rsidR="009F2DFA" w:rsidRPr="00E559B4">
              <w:rPr>
                <w:b/>
                <w:sz w:val="24"/>
              </w:rPr>
              <w:t xml:space="preserve">.5 Inovácie </w:t>
            </w:r>
          </w:p>
          <w:p w:rsidR="009F2DFA" w:rsidRPr="00E559B4" w:rsidRDefault="009F2DFA" w:rsidP="007B71A4">
            <w:pPr>
              <w:rPr>
                <w:b/>
              </w:rPr>
            </w:pPr>
            <w:r w:rsidRPr="00E559B4">
              <w:rPr>
                <w:sz w:val="24"/>
              </w:rPr>
              <w:t xml:space="preserve">       - </w:t>
            </w:r>
            <w:r w:rsidRPr="00E559B4">
              <w:rPr>
                <w:b/>
                <w:sz w:val="24"/>
              </w:rPr>
              <w:t>z toho MSP</w:t>
            </w:r>
          </w:p>
        </w:tc>
      </w:tr>
      <w:tr w:rsidR="00E559B4" w:rsidRPr="00E559B4" w:rsidTr="007B71A4">
        <w:tc>
          <w:tcPr>
            <w:tcW w:w="9212" w:type="dxa"/>
          </w:tcPr>
          <w:p w:rsidR="009F2DFA" w:rsidRPr="00E559B4" w:rsidRDefault="009F2DFA" w:rsidP="006B28B1">
            <w:pPr>
              <w:jc w:val="both"/>
              <w:rPr>
                <w:i/>
              </w:rPr>
            </w:pPr>
            <w:r w:rsidRPr="00E559B4">
              <w:rPr>
                <w:i/>
              </w:rPr>
              <w:t>Uveďte, ako podporuje navrhovaná zmena inovácie.</w:t>
            </w:r>
          </w:p>
          <w:p w:rsidR="009F2DFA" w:rsidRPr="00E559B4" w:rsidRDefault="009F2DFA" w:rsidP="006B28B1">
            <w:pPr>
              <w:jc w:val="both"/>
              <w:rPr>
                <w:i/>
              </w:rPr>
            </w:pPr>
            <w:r w:rsidRPr="00E559B4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E559B4" w:rsidRDefault="009F2DFA" w:rsidP="006B28B1">
            <w:pPr>
              <w:jc w:val="both"/>
              <w:rPr>
                <w:i/>
              </w:rPr>
            </w:pPr>
            <w:r w:rsidRPr="00E559B4">
              <w:rPr>
                <w:i/>
              </w:rPr>
              <w:t xml:space="preserve">Uveďte, ako vplýva navrhovaná zmena na </w:t>
            </w:r>
            <w:r w:rsidR="00904C9B" w:rsidRPr="00E559B4">
              <w:rPr>
                <w:i/>
              </w:rPr>
              <w:t xml:space="preserve">jednotlivé </w:t>
            </w:r>
            <w:r w:rsidRPr="00E559B4">
              <w:rPr>
                <w:i/>
              </w:rPr>
              <w:t>práva duševného vlastníctva (</w:t>
            </w:r>
            <w:r w:rsidR="00904C9B" w:rsidRPr="00E559B4">
              <w:rPr>
                <w:i/>
              </w:rPr>
              <w:t xml:space="preserve">napr. </w:t>
            </w:r>
            <w:r w:rsidRPr="00E559B4">
              <w:rPr>
                <w:i/>
              </w:rPr>
              <w:t xml:space="preserve">patenty, ochranné známky, </w:t>
            </w:r>
            <w:r w:rsidR="00904C9B" w:rsidRPr="00E559B4">
              <w:rPr>
                <w:i/>
              </w:rPr>
              <w:t>autorské práva</w:t>
            </w:r>
            <w:r w:rsidRPr="00E559B4">
              <w:rPr>
                <w:i/>
              </w:rPr>
              <w:t>, vlastníctvo know-how).</w:t>
            </w:r>
          </w:p>
          <w:p w:rsidR="009F2DFA" w:rsidRPr="00E559B4" w:rsidRDefault="009F2DFA" w:rsidP="006B28B1">
            <w:pPr>
              <w:jc w:val="both"/>
              <w:rPr>
                <w:i/>
              </w:rPr>
            </w:pPr>
            <w:r w:rsidRPr="00E559B4">
              <w:rPr>
                <w:i/>
              </w:rPr>
              <w:t>Podporuje vyššiu efektivitu výroby/využívania zdrojov? Ak áno, ako?</w:t>
            </w:r>
          </w:p>
          <w:p w:rsidR="00C92901" w:rsidRPr="00E559B4" w:rsidRDefault="00837639" w:rsidP="003367CF">
            <w:pPr>
              <w:jc w:val="both"/>
              <w:rPr>
                <w:i/>
              </w:rPr>
            </w:pPr>
            <w:r w:rsidRPr="00E559B4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E559B4" w:rsidTr="00C92901">
        <w:trPr>
          <w:trHeight w:val="800"/>
        </w:trPr>
        <w:tc>
          <w:tcPr>
            <w:tcW w:w="9212" w:type="dxa"/>
          </w:tcPr>
          <w:p w:rsidR="009F2DFA" w:rsidRPr="00E559B4" w:rsidRDefault="00E406B2" w:rsidP="00DF4133">
            <w:pPr>
              <w:jc w:val="both"/>
              <w:rPr>
                <w:sz w:val="22"/>
                <w:szCs w:val="22"/>
              </w:rPr>
            </w:pPr>
            <w:r w:rsidRPr="00E559B4">
              <w:rPr>
                <w:sz w:val="22"/>
                <w:szCs w:val="22"/>
              </w:rPr>
              <w:lastRenderedPageBreak/>
              <w:t>Návrh zákona nemá vplyv na inovácie podnikateľov.</w:t>
            </w:r>
          </w:p>
        </w:tc>
      </w:tr>
    </w:tbl>
    <w:p w:rsidR="009F2DFA" w:rsidRPr="00E559B4" w:rsidRDefault="009F2DFA" w:rsidP="00B512BC">
      <w:pPr>
        <w:jc w:val="both"/>
      </w:pPr>
    </w:p>
    <w:sectPr w:rsidR="009F2DFA" w:rsidRPr="00E559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04" w:rsidRDefault="00B25604" w:rsidP="009F2DFA">
      <w:r>
        <w:separator/>
      </w:r>
    </w:p>
  </w:endnote>
  <w:endnote w:type="continuationSeparator" w:id="0">
    <w:p w:rsidR="00B25604" w:rsidRDefault="00B25604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FA" w:rsidRDefault="009F2DF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13BD6">
      <w:rPr>
        <w:noProof/>
      </w:rPr>
      <w:t>3</w:t>
    </w:r>
    <w:r>
      <w:fldChar w:fldCharType="end"/>
    </w:r>
  </w:p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04" w:rsidRDefault="00B25604" w:rsidP="009F2DFA">
      <w:r>
        <w:separator/>
      </w:r>
    </w:p>
  </w:footnote>
  <w:footnote w:type="continuationSeparator" w:id="0">
    <w:p w:rsidR="00B25604" w:rsidRDefault="00B25604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21C0B"/>
    <w:multiLevelType w:val="hybridMultilevel"/>
    <w:tmpl w:val="2A2E8F70"/>
    <w:lvl w:ilvl="0" w:tplc="8AF66A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033"/>
    <w:multiLevelType w:val="hybridMultilevel"/>
    <w:tmpl w:val="D428BFC2"/>
    <w:lvl w:ilvl="0" w:tplc="0B040A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1E5125"/>
    <w:multiLevelType w:val="hybridMultilevel"/>
    <w:tmpl w:val="6818CAB8"/>
    <w:lvl w:ilvl="0" w:tplc="BEC291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7775D"/>
    <w:multiLevelType w:val="hybridMultilevel"/>
    <w:tmpl w:val="D428BFC2"/>
    <w:lvl w:ilvl="0" w:tplc="0B040A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305A5"/>
    <w:multiLevelType w:val="hybridMultilevel"/>
    <w:tmpl w:val="7BDC4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71CA2A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30F48A9C">
      <w:start w:val="1"/>
      <w:numFmt w:val="decimal"/>
      <w:lvlText w:val="(%3)"/>
      <w:lvlJc w:val="left"/>
      <w:pPr>
        <w:ind w:left="2160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958B1"/>
    <w:multiLevelType w:val="hybridMultilevel"/>
    <w:tmpl w:val="7BDC4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71CA2A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30F48A9C">
      <w:start w:val="1"/>
      <w:numFmt w:val="decimal"/>
      <w:lvlText w:val="(%3)"/>
      <w:lvlJc w:val="left"/>
      <w:pPr>
        <w:ind w:left="2160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871DD"/>
    <w:multiLevelType w:val="hybridMultilevel"/>
    <w:tmpl w:val="4E9070D4"/>
    <w:lvl w:ilvl="0" w:tplc="979E3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F7134"/>
    <w:multiLevelType w:val="hybridMultilevel"/>
    <w:tmpl w:val="5FBE8D7C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4"/>
  </w:num>
  <w:num w:numId="5">
    <w:abstractNumId w:val="3"/>
  </w:num>
  <w:num w:numId="6">
    <w:abstractNumId w:val="11"/>
  </w:num>
  <w:num w:numId="7">
    <w:abstractNumId w:val="16"/>
  </w:num>
  <w:num w:numId="8">
    <w:abstractNumId w:val="7"/>
  </w:num>
  <w:num w:numId="9">
    <w:abstractNumId w:val="0"/>
  </w:num>
  <w:num w:numId="10">
    <w:abstractNumId w:val="19"/>
  </w:num>
  <w:num w:numId="11">
    <w:abstractNumId w:val="12"/>
  </w:num>
  <w:num w:numId="12">
    <w:abstractNumId w:val="8"/>
  </w:num>
  <w:num w:numId="13">
    <w:abstractNumId w:val="6"/>
  </w:num>
  <w:num w:numId="14">
    <w:abstractNumId w:val="10"/>
  </w:num>
  <w:num w:numId="15">
    <w:abstractNumId w:val="4"/>
  </w:num>
  <w:num w:numId="16">
    <w:abstractNumId w:val="1"/>
  </w:num>
  <w:num w:numId="17">
    <w:abstractNumId w:val="18"/>
  </w:num>
  <w:num w:numId="18">
    <w:abstractNumId w:val="1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42C66"/>
    <w:rsid w:val="00062455"/>
    <w:rsid w:val="000713C7"/>
    <w:rsid w:val="00086C92"/>
    <w:rsid w:val="000D2622"/>
    <w:rsid w:val="000E61CB"/>
    <w:rsid w:val="000E74CA"/>
    <w:rsid w:val="000F3DD9"/>
    <w:rsid w:val="00101483"/>
    <w:rsid w:val="00146597"/>
    <w:rsid w:val="00154881"/>
    <w:rsid w:val="00186F9A"/>
    <w:rsid w:val="001B3B4F"/>
    <w:rsid w:val="001D5A16"/>
    <w:rsid w:val="00223491"/>
    <w:rsid w:val="00241852"/>
    <w:rsid w:val="00241D39"/>
    <w:rsid w:val="00251450"/>
    <w:rsid w:val="00251590"/>
    <w:rsid w:val="00254A27"/>
    <w:rsid w:val="002730BD"/>
    <w:rsid w:val="002A1BA0"/>
    <w:rsid w:val="002A35A6"/>
    <w:rsid w:val="002B1108"/>
    <w:rsid w:val="002D1387"/>
    <w:rsid w:val="002E73E2"/>
    <w:rsid w:val="00302D69"/>
    <w:rsid w:val="00327741"/>
    <w:rsid w:val="0033505A"/>
    <w:rsid w:val="003367CF"/>
    <w:rsid w:val="00336D8B"/>
    <w:rsid w:val="003500CE"/>
    <w:rsid w:val="00362AE3"/>
    <w:rsid w:val="00390F94"/>
    <w:rsid w:val="003A7475"/>
    <w:rsid w:val="003B110A"/>
    <w:rsid w:val="003C7F2A"/>
    <w:rsid w:val="003D1528"/>
    <w:rsid w:val="003D440D"/>
    <w:rsid w:val="00402262"/>
    <w:rsid w:val="004572DA"/>
    <w:rsid w:val="00464960"/>
    <w:rsid w:val="00477AF6"/>
    <w:rsid w:val="004C2B06"/>
    <w:rsid w:val="004C7B45"/>
    <w:rsid w:val="004D0A80"/>
    <w:rsid w:val="004D594B"/>
    <w:rsid w:val="004F3175"/>
    <w:rsid w:val="0052297F"/>
    <w:rsid w:val="00550EBA"/>
    <w:rsid w:val="00567A32"/>
    <w:rsid w:val="005833BB"/>
    <w:rsid w:val="00587437"/>
    <w:rsid w:val="0063010E"/>
    <w:rsid w:val="0066102E"/>
    <w:rsid w:val="00671E3A"/>
    <w:rsid w:val="006A525F"/>
    <w:rsid w:val="006A641A"/>
    <w:rsid w:val="006B28B1"/>
    <w:rsid w:val="006B306A"/>
    <w:rsid w:val="006E4620"/>
    <w:rsid w:val="006F2E8A"/>
    <w:rsid w:val="00722507"/>
    <w:rsid w:val="00736168"/>
    <w:rsid w:val="00780BA6"/>
    <w:rsid w:val="00781C9E"/>
    <w:rsid w:val="0079269B"/>
    <w:rsid w:val="00796B9A"/>
    <w:rsid w:val="007B4666"/>
    <w:rsid w:val="007B71A4"/>
    <w:rsid w:val="007D0970"/>
    <w:rsid w:val="007E121A"/>
    <w:rsid w:val="00836C43"/>
    <w:rsid w:val="00837639"/>
    <w:rsid w:val="00843187"/>
    <w:rsid w:val="00862514"/>
    <w:rsid w:val="00863B0B"/>
    <w:rsid w:val="0088369B"/>
    <w:rsid w:val="008874BC"/>
    <w:rsid w:val="00895496"/>
    <w:rsid w:val="008A1252"/>
    <w:rsid w:val="008D66BF"/>
    <w:rsid w:val="00904C9B"/>
    <w:rsid w:val="00913BD6"/>
    <w:rsid w:val="009203CD"/>
    <w:rsid w:val="0094580B"/>
    <w:rsid w:val="00963623"/>
    <w:rsid w:val="00966E7B"/>
    <w:rsid w:val="00973E58"/>
    <w:rsid w:val="009A3F74"/>
    <w:rsid w:val="009E57DF"/>
    <w:rsid w:val="009F2DFA"/>
    <w:rsid w:val="00A317F8"/>
    <w:rsid w:val="00A33106"/>
    <w:rsid w:val="00A33E56"/>
    <w:rsid w:val="00A952BD"/>
    <w:rsid w:val="00A95ED1"/>
    <w:rsid w:val="00AA0026"/>
    <w:rsid w:val="00B25604"/>
    <w:rsid w:val="00B31A8E"/>
    <w:rsid w:val="00B512BC"/>
    <w:rsid w:val="00B534BC"/>
    <w:rsid w:val="00B6122B"/>
    <w:rsid w:val="00B66E37"/>
    <w:rsid w:val="00B74D62"/>
    <w:rsid w:val="00B77486"/>
    <w:rsid w:val="00B90D79"/>
    <w:rsid w:val="00B96B64"/>
    <w:rsid w:val="00BA073A"/>
    <w:rsid w:val="00BA31D3"/>
    <w:rsid w:val="00BC0337"/>
    <w:rsid w:val="00BC5C24"/>
    <w:rsid w:val="00BE052A"/>
    <w:rsid w:val="00BF2F50"/>
    <w:rsid w:val="00BF4CE7"/>
    <w:rsid w:val="00C008DB"/>
    <w:rsid w:val="00C87D60"/>
    <w:rsid w:val="00C92901"/>
    <w:rsid w:val="00C96034"/>
    <w:rsid w:val="00CA5E99"/>
    <w:rsid w:val="00CB306F"/>
    <w:rsid w:val="00CB3623"/>
    <w:rsid w:val="00CD199E"/>
    <w:rsid w:val="00CE5733"/>
    <w:rsid w:val="00CF4568"/>
    <w:rsid w:val="00D24448"/>
    <w:rsid w:val="00D517E6"/>
    <w:rsid w:val="00D5490D"/>
    <w:rsid w:val="00D55EF5"/>
    <w:rsid w:val="00D77D37"/>
    <w:rsid w:val="00D81C19"/>
    <w:rsid w:val="00DA26A8"/>
    <w:rsid w:val="00DB054F"/>
    <w:rsid w:val="00DC3F30"/>
    <w:rsid w:val="00DD4179"/>
    <w:rsid w:val="00DF4133"/>
    <w:rsid w:val="00E406B2"/>
    <w:rsid w:val="00E53646"/>
    <w:rsid w:val="00E559B4"/>
    <w:rsid w:val="00E83B93"/>
    <w:rsid w:val="00E84384"/>
    <w:rsid w:val="00E86AD1"/>
    <w:rsid w:val="00E91481"/>
    <w:rsid w:val="00E945EC"/>
    <w:rsid w:val="00EA0F8C"/>
    <w:rsid w:val="00ED620C"/>
    <w:rsid w:val="00EE0C3E"/>
    <w:rsid w:val="00EE36B5"/>
    <w:rsid w:val="00EE67D1"/>
    <w:rsid w:val="00EF2B81"/>
    <w:rsid w:val="00EF2BD7"/>
    <w:rsid w:val="00F04CCD"/>
    <w:rsid w:val="00F05685"/>
    <w:rsid w:val="00F41620"/>
    <w:rsid w:val="00F44062"/>
    <w:rsid w:val="00F77699"/>
    <w:rsid w:val="00F828AE"/>
    <w:rsid w:val="00FA6D1A"/>
    <w:rsid w:val="00FB2D32"/>
    <w:rsid w:val="00FB5C13"/>
    <w:rsid w:val="00FE4301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B1C7F"/>
  <w14:defaultImageDpi w14:val="0"/>
  <w15:docId w15:val="{3AB6C162-0667-43B6-A2D1-98C963EE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"/>
    <w:basedOn w:val="Normlny"/>
    <w:link w:val="OdsekzoznamuChar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Siln">
    <w:name w:val="Strong"/>
    <w:basedOn w:val="Predvolenpsmoodseku"/>
    <w:uiPriority w:val="22"/>
    <w:qFormat/>
    <w:rsid w:val="003B110A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186F9A"/>
    <w:pPr>
      <w:suppressAutoHyphens/>
      <w:spacing w:after="120" w:line="100" w:lineRule="atLeast"/>
    </w:pPr>
    <w:rPr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86F9A"/>
    <w:rPr>
      <w:rFonts w:ascii="Times New Roman" w:hAnsi="Times New Roman" w:cs="Times New Roman"/>
      <w:sz w:val="20"/>
      <w:szCs w:val="20"/>
      <w:lang w:val="cs-CZ" w:eastAsia="ar-SA" w:bidi="ar-SA"/>
    </w:rPr>
  </w:style>
  <w:style w:type="paragraph" w:customStyle="1" w:styleId="Odstavecseseznamem">
    <w:name w:val="Odstavec se seznamem"/>
    <w:basedOn w:val="Normlny"/>
    <w:uiPriority w:val="34"/>
    <w:qFormat/>
    <w:rsid w:val="00F828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tab-span">
    <w:name w:val="apple-tab-span"/>
    <w:basedOn w:val="Predvolenpsmoodseku"/>
    <w:rsid w:val="00F828AE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77699"/>
    <w:rPr>
      <w:rFonts w:ascii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F77699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7699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973E58"/>
    <w:rPr>
      <w:rFonts w:cs="Times New Roman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E4620"/>
    <w:rPr>
      <w:rFonts w:ascii="Calibr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6E4620"/>
    <w:rPr>
      <w:rFonts w:ascii="Calibri" w:hAnsi="Calibri" w:cs="Times New Roman"/>
    </w:rPr>
  </w:style>
  <w:style w:type="character" w:customStyle="1" w:styleId="OdsekzoznamuChar">
    <w:name w:val="Odsek zoznamu Char"/>
    <w:aliases w:val="Odsek zoznamu1 Char,Odsek Char"/>
    <w:link w:val="Odsekzoznamu"/>
    <w:uiPriority w:val="34"/>
    <w:locked/>
    <w:rsid w:val="00587437"/>
  </w:style>
  <w:style w:type="character" w:styleId="Odkaznakomentr">
    <w:name w:val="annotation reference"/>
    <w:basedOn w:val="Predvolenpsmoodseku"/>
    <w:uiPriority w:val="99"/>
    <w:semiHidden/>
    <w:unhideWhenUsed/>
    <w:rsid w:val="00CF456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456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F456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45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F4568"/>
    <w:rPr>
      <w:rFonts w:ascii="Times New Roman" w:hAnsi="Times New Roman" w:cs="Times New Roman"/>
      <w:b/>
      <w:bCs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9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986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1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1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19873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0C2C5"/>
                                                <w:left w:val="single" w:sz="6" w:space="0" w:color="C0C2C5"/>
                                                <w:bottom w:val="single" w:sz="6" w:space="11" w:color="C0C2C5"/>
                                                <w:right w:val="single" w:sz="6" w:space="0" w:color="C0C2C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1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19</cp:revision>
  <cp:lastPrinted>2017-06-12T08:58:00Z</cp:lastPrinted>
  <dcterms:created xsi:type="dcterms:W3CDTF">2019-02-19T20:26:00Z</dcterms:created>
  <dcterms:modified xsi:type="dcterms:W3CDTF">2019-05-19T19:40:00Z</dcterms:modified>
</cp:coreProperties>
</file>