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02" w:rsidRPr="00260F6A" w:rsidRDefault="006C0F02" w:rsidP="006C0F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>DOLOŽKA ZLUČITEĽNOSTI</w:t>
      </w:r>
    </w:p>
    <w:p w:rsidR="006C0F02" w:rsidRPr="00260F6A" w:rsidRDefault="00D473F3" w:rsidP="006C0F02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60F6A">
        <w:rPr>
          <w:rFonts w:ascii="Times New Roman" w:hAnsi="Times New Roman"/>
          <w:b/>
          <w:sz w:val="24"/>
          <w:szCs w:val="24"/>
          <w:lang w:eastAsia="sk-SK"/>
        </w:rPr>
        <w:t xml:space="preserve">k </w:t>
      </w:r>
      <w:r w:rsidR="006C0F02" w:rsidRPr="00260F6A">
        <w:rPr>
          <w:rFonts w:ascii="Times New Roman" w:hAnsi="Times New Roman"/>
          <w:b/>
          <w:sz w:val="24"/>
          <w:szCs w:val="24"/>
          <w:lang w:eastAsia="sk-SK"/>
        </w:rPr>
        <w:t xml:space="preserve">návrhu zákona, ktorým sa mení a dopĺňa zákon č. 563/2009 Z. z. o správe daní (daňový poriadok) a o zmene a doplnení niektorých zákonov v znení neskorších predpisov </w:t>
      </w:r>
      <w:r w:rsidR="006C0F02" w:rsidRPr="00260F6A">
        <w:rPr>
          <w:rFonts w:ascii="Times New Roman" w:hAnsi="Times New Roman"/>
          <w:b/>
          <w:bCs/>
          <w:sz w:val="24"/>
          <w:szCs w:val="24"/>
          <w:lang w:eastAsia="sk-SK"/>
        </w:rPr>
        <w:t>a ktorým sa menia a dopĺňajú niektoré zákony</w:t>
      </w:r>
      <w:r w:rsidR="006C0F02" w:rsidRPr="00260F6A">
        <w:rPr>
          <w:rFonts w:ascii="Times New Roman" w:hAnsi="Times New Roman"/>
          <w:b/>
          <w:sz w:val="24"/>
          <w:szCs w:val="24"/>
          <w:lang w:eastAsia="sk-SK"/>
        </w:rPr>
        <w:t xml:space="preserve"> s právom Európskej únie</w:t>
      </w:r>
    </w:p>
    <w:p w:rsidR="006C0F02" w:rsidRPr="00260F6A" w:rsidRDefault="006C0F02" w:rsidP="005F28B6">
      <w:pPr>
        <w:autoSpaceDE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C0F02" w:rsidRPr="00260F6A" w:rsidRDefault="00E17BF6" w:rsidP="006D5AE5">
      <w:pPr>
        <w:numPr>
          <w:ilvl w:val="0"/>
          <w:numId w:val="4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Navrhovateľ </w:t>
      </w:r>
      <w:r w:rsidR="006C0F02" w:rsidRPr="00260F6A">
        <w:rPr>
          <w:rFonts w:ascii="Times New Roman" w:hAnsi="Times New Roman"/>
          <w:b/>
          <w:bCs/>
          <w:sz w:val="24"/>
          <w:szCs w:val="24"/>
          <w:lang w:eastAsia="sk-SK"/>
        </w:rPr>
        <w:t>zákona:</w:t>
      </w:r>
    </w:p>
    <w:p w:rsidR="006C0F02" w:rsidRPr="00260F6A" w:rsidRDefault="00A2587D" w:rsidP="006D5AE5">
      <w:pPr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260F6A">
        <w:rPr>
          <w:rFonts w:ascii="Times New Roman" w:hAnsi="Times New Roman"/>
          <w:sz w:val="24"/>
          <w:szCs w:val="24"/>
          <w:lang w:eastAsia="sk-SK"/>
        </w:rPr>
        <w:t>Vláda</w:t>
      </w:r>
      <w:r w:rsidR="006C0F02" w:rsidRPr="00260F6A">
        <w:rPr>
          <w:rFonts w:ascii="Times New Roman" w:hAnsi="Times New Roman"/>
          <w:sz w:val="24"/>
          <w:szCs w:val="24"/>
          <w:lang w:eastAsia="sk-SK"/>
        </w:rPr>
        <w:t xml:space="preserve"> Slovenskej republiky. </w:t>
      </w:r>
    </w:p>
    <w:p w:rsidR="006C0F02" w:rsidRPr="00260F6A" w:rsidRDefault="006C0F02" w:rsidP="006D5A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C0F02" w:rsidRPr="00260F6A" w:rsidRDefault="006C0F02" w:rsidP="006D5AE5">
      <w:pPr>
        <w:numPr>
          <w:ilvl w:val="0"/>
          <w:numId w:val="4"/>
        </w:numPr>
        <w:autoSpaceDE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>Názov návrhu zákona:</w:t>
      </w:r>
    </w:p>
    <w:p w:rsidR="006C0F02" w:rsidRPr="00260F6A" w:rsidRDefault="006C0F02" w:rsidP="006D5AE5">
      <w:pPr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sz w:val="24"/>
          <w:szCs w:val="24"/>
          <w:lang w:eastAsia="sk-SK"/>
        </w:rPr>
        <w:t xml:space="preserve">Návrh zákona, ktorým sa mení a dopĺňa zákon č. 563/2009 Z. z. o správe daní (daňový poriadok) a o zmene a doplnení niektorých zákonov v znení neskorších predpisov 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>a ktorým sa menia a dopĺňajú niektoré zákony</w:t>
      </w:r>
      <w:r w:rsidR="004B413D" w:rsidRPr="00260F6A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6C0F02" w:rsidRPr="00260F6A" w:rsidRDefault="006C0F02" w:rsidP="006D5AE5">
      <w:pPr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2783C" w:rsidRPr="00260F6A" w:rsidRDefault="00A2783C" w:rsidP="00E619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>Pr</w:t>
      </w:r>
      <w:r w:rsidR="00E619B7" w:rsidRPr="00260F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edmet návrhu zákona </w:t>
      </w: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>je upraven</w:t>
      </w:r>
      <w:r w:rsidR="00E619B7" w:rsidRPr="00260F6A">
        <w:rPr>
          <w:rFonts w:ascii="Times New Roman" w:hAnsi="Times New Roman"/>
          <w:b/>
          <w:bCs/>
          <w:sz w:val="24"/>
          <w:szCs w:val="24"/>
          <w:lang w:eastAsia="sk-SK"/>
        </w:rPr>
        <w:t>ý</w:t>
      </w: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 práve Európskej únie:</w:t>
      </w:r>
    </w:p>
    <w:p w:rsidR="00A2783C" w:rsidRPr="00260F6A" w:rsidRDefault="00A2783C" w:rsidP="00E619B7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/>
          <w:bCs/>
          <w:iCs/>
          <w:sz w:val="24"/>
          <w:szCs w:val="24"/>
          <w:lang w:eastAsia="sk-SK"/>
        </w:rPr>
        <w:t>Primárne právo</w:t>
      </w:r>
      <w:r w:rsidRPr="00260F6A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: </w:t>
      </w:r>
    </w:p>
    <w:p w:rsidR="00A2783C" w:rsidRPr="00260F6A" w:rsidRDefault="00A2783C" w:rsidP="006D5AE5">
      <w:pPr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Cs/>
          <w:sz w:val="24"/>
          <w:szCs w:val="24"/>
          <w:lang w:eastAsia="sk-SK"/>
        </w:rPr>
        <w:t>čl. 110 a</w:t>
      </w:r>
      <w:r w:rsidR="007343A7" w:rsidRPr="00260F6A">
        <w:rPr>
          <w:rFonts w:ascii="Times New Roman" w:hAnsi="Times New Roman"/>
          <w:bCs/>
          <w:sz w:val="24"/>
          <w:szCs w:val="24"/>
          <w:lang w:eastAsia="sk-SK"/>
        </w:rPr>
        <w:t>ž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 113 </w:t>
      </w:r>
      <w:r w:rsidR="007343A7"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a 115 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>Zmluvy o fungovaní Európskej únie.</w:t>
      </w:r>
    </w:p>
    <w:p w:rsidR="00E619B7" w:rsidRPr="00260F6A" w:rsidRDefault="00E619B7" w:rsidP="00E619B7">
      <w:pPr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2783C" w:rsidRPr="00260F6A" w:rsidRDefault="00A2783C" w:rsidP="00E619B7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/>
          <w:bCs/>
          <w:iCs/>
          <w:sz w:val="24"/>
          <w:szCs w:val="24"/>
          <w:lang w:eastAsia="sk-SK"/>
        </w:rPr>
        <w:t>Sekundárne právo</w:t>
      </w: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714AD9" w:rsidRPr="00954AB8" w:rsidRDefault="0040221B" w:rsidP="00714AD9">
      <w:pPr>
        <w:numPr>
          <w:ilvl w:val="0"/>
          <w:numId w:val="5"/>
        </w:numPr>
        <w:spacing w:after="120" w:line="240" w:lineRule="auto"/>
        <w:ind w:left="1276" w:hanging="283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954AB8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smernica Európskeho parlamentu a Rady </w:t>
      </w:r>
      <w:r w:rsidRPr="00FF51B0">
        <w:rPr>
          <w:rFonts w:ascii="Times New Roman" w:hAnsi="Times New Roman"/>
          <w:bCs/>
          <w:iCs/>
          <w:sz w:val="24"/>
          <w:szCs w:val="24"/>
          <w:u w:val="single"/>
          <w:lang w:eastAsia="sk-SK"/>
        </w:rPr>
        <w:t>2006/123/ES</w:t>
      </w:r>
      <w:r w:rsidRPr="00954AB8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 z 12. decembra 2006 o službách na vnútornom trhu (Ú. v. EÚ L 376/36, 27.12.2006), gestor</w:t>
      </w:r>
      <w:r w:rsidR="00714AD9" w:rsidRPr="00954AB8">
        <w:rPr>
          <w:rFonts w:ascii="Times New Roman" w:hAnsi="Times New Roman"/>
          <w:bCs/>
          <w:iCs/>
          <w:sz w:val="24"/>
          <w:szCs w:val="24"/>
          <w:lang w:eastAsia="sk-SK"/>
        </w:rPr>
        <w:t>: MH SR, spolugestori: MV SR, MF SR, MPRV SR, MS SR MDV SR, MPSVR SR, ÚGKK SR,</w:t>
      </w:r>
    </w:p>
    <w:p w:rsidR="00E619B7" w:rsidRPr="00260F6A" w:rsidRDefault="00E619B7" w:rsidP="007343A7">
      <w:pPr>
        <w:numPr>
          <w:ilvl w:val="0"/>
          <w:numId w:val="5"/>
        </w:numPr>
        <w:spacing w:after="120" w:line="240" w:lineRule="auto"/>
        <w:ind w:left="1276"/>
        <w:jc w:val="both"/>
        <w:rPr>
          <w:rFonts w:ascii="Times New Roman" w:hAnsi="Times New Roman"/>
          <w:bCs/>
          <w:i/>
          <w:iCs/>
          <w:sz w:val="24"/>
          <w:szCs w:val="24"/>
          <w:lang w:eastAsia="sk-SK"/>
        </w:rPr>
      </w:pPr>
      <w:r w:rsidRPr="00260F6A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smernica 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Rady </w:t>
      </w:r>
      <w:r w:rsidRPr="00260F6A">
        <w:rPr>
          <w:rFonts w:ascii="Times New Roman" w:hAnsi="Times New Roman"/>
          <w:bCs/>
          <w:sz w:val="24"/>
          <w:szCs w:val="24"/>
          <w:u w:val="single"/>
          <w:lang w:eastAsia="sk-SK"/>
        </w:rPr>
        <w:t>2010/24/EÚ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 zo 16. marca 2010 o vzájomnej pomoci pri vymáhaní pohľadávok vyplývajúcich z daní, poplatkov a ďalších opatrení (</w:t>
      </w:r>
      <w:r w:rsidRPr="00260F6A">
        <w:rPr>
          <w:rFonts w:ascii="Times New Roman" w:hAnsi="Times New Roman"/>
          <w:bCs/>
          <w:iCs/>
          <w:sz w:val="24"/>
          <w:szCs w:val="24"/>
          <w:lang w:eastAsia="sk-SK"/>
        </w:rPr>
        <w:t>Ú. v. EÚ L 84, 31.3.2010),</w:t>
      </w:r>
      <w:r w:rsidR="009244F7" w:rsidRPr="00260F6A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 </w:t>
      </w:r>
      <w:r w:rsidR="009244F7" w:rsidRPr="00260F6A">
        <w:rPr>
          <w:rFonts w:ascii="Times New Roman" w:hAnsi="Times New Roman"/>
          <w:bCs/>
          <w:iCs/>
          <w:sz w:val="24"/>
          <w:szCs w:val="24"/>
        </w:rPr>
        <w:t>gestor: MF SR, spolugestor: MPRV SR,</w:t>
      </w:r>
    </w:p>
    <w:p w:rsidR="00E619B7" w:rsidRPr="00260F6A" w:rsidRDefault="00E619B7" w:rsidP="007343A7">
      <w:pPr>
        <w:numPr>
          <w:ilvl w:val="0"/>
          <w:numId w:val="5"/>
        </w:numPr>
        <w:spacing w:after="120" w:line="240" w:lineRule="auto"/>
        <w:ind w:left="1276"/>
        <w:jc w:val="both"/>
        <w:rPr>
          <w:rFonts w:ascii="Times New Roman" w:hAnsi="Times New Roman"/>
          <w:bCs/>
          <w:i/>
          <w:iCs/>
          <w:sz w:val="24"/>
          <w:szCs w:val="24"/>
          <w:lang w:eastAsia="sk-SK"/>
        </w:rPr>
      </w:pPr>
      <w:r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smernica Rady </w:t>
      </w:r>
      <w:r w:rsidRPr="00260F6A">
        <w:rPr>
          <w:rFonts w:ascii="Times New Roman" w:hAnsi="Times New Roman"/>
          <w:bCs/>
          <w:sz w:val="24"/>
          <w:szCs w:val="24"/>
          <w:u w:val="single"/>
          <w:lang w:eastAsia="sk-SK"/>
        </w:rPr>
        <w:t>2011/16/EÚ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 z 15. februára 2011 o administratívnej spolupráci v oblasti daní a zrušení smernice 77/799/EHS (</w:t>
      </w:r>
      <w:r w:rsidRPr="00260F6A">
        <w:rPr>
          <w:rFonts w:ascii="Times New Roman" w:hAnsi="Times New Roman"/>
          <w:bCs/>
          <w:iCs/>
          <w:sz w:val="24"/>
          <w:szCs w:val="24"/>
          <w:lang w:eastAsia="sk-SK"/>
        </w:rPr>
        <w:t>Ú. v. EÚ L 64, 11.3. 2011) v platnom zne</w:t>
      </w:r>
      <w:r w:rsidR="007343A7" w:rsidRPr="00260F6A">
        <w:rPr>
          <w:rFonts w:ascii="Times New Roman" w:hAnsi="Times New Roman"/>
          <w:bCs/>
          <w:iCs/>
          <w:sz w:val="24"/>
          <w:szCs w:val="24"/>
          <w:lang w:eastAsia="sk-SK"/>
        </w:rPr>
        <w:t>ní,</w:t>
      </w:r>
      <w:r w:rsidR="009244F7" w:rsidRPr="00260F6A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 </w:t>
      </w:r>
      <w:r w:rsidR="009244F7" w:rsidRPr="00260F6A">
        <w:rPr>
          <w:rFonts w:ascii="Times New Roman" w:hAnsi="Times New Roman"/>
          <w:bCs/>
          <w:iCs/>
          <w:sz w:val="24"/>
          <w:szCs w:val="24"/>
        </w:rPr>
        <w:t>gestor: MF SR,</w:t>
      </w:r>
    </w:p>
    <w:p w:rsidR="005723BD" w:rsidRDefault="009E7FD5" w:rsidP="00FF51B0">
      <w:pPr>
        <w:numPr>
          <w:ilvl w:val="0"/>
          <w:numId w:val="5"/>
        </w:numPr>
        <w:spacing w:after="120" w:line="240" w:lineRule="auto"/>
        <w:ind w:left="1276" w:hanging="357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260F6A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smernica Rady (EÚ) </w:t>
      </w:r>
      <w:r w:rsidRPr="00260F6A">
        <w:rPr>
          <w:rFonts w:ascii="Times New Roman" w:hAnsi="Times New Roman"/>
          <w:bCs/>
          <w:iCs/>
          <w:sz w:val="24"/>
          <w:szCs w:val="24"/>
          <w:u w:val="single"/>
          <w:lang w:eastAsia="sk-SK"/>
        </w:rPr>
        <w:t>2016/1164</w:t>
      </w:r>
      <w:r w:rsidRPr="00260F6A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 z 12. júla 2016, ktorou sa stanovujú pravidlá proti praktikám vyhýbania sa daňovým povinnostiam, ktoré majú priamy vplyv na fungovanie vnútorného t</w:t>
      </w:r>
      <w:r w:rsidR="00E619B7" w:rsidRPr="00260F6A">
        <w:rPr>
          <w:rFonts w:ascii="Times New Roman" w:hAnsi="Times New Roman"/>
          <w:bCs/>
          <w:iCs/>
          <w:sz w:val="24"/>
          <w:szCs w:val="24"/>
          <w:lang w:eastAsia="sk-SK"/>
        </w:rPr>
        <w:t>rhu (Ú. v. EÚ L 193, 19.7.2016)</w:t>
      </w:r>
      <w:r w:rsidR="007343A7" w:rsidRPr="00260F6A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, </w:t>
      </w:r>
      <w:r w:rsidR="007343A7" w:rsidRPr="00260F6A">
        <w:rPr>
          <w:rFonts w:ascii="Times New Roman" w:hAnsi="Times New Roman"/>
          <w:sz w:val="24"/>
          <w:szCs w:val="24"/>
        </w:rPr>
        <w:t>v platnom znení</w:t>
      </w:r>
      <w:r w:rsidR="007343A7" w:rsidRPr="00260F6A">
        <w:rPr>
          <w:rFonts w:ascii="Times New Roman" w:hAnsi="Times New Roman"/>
          <w:bCs/>
          <w:iCs/>
          <w:sz w:val="24"/>
          <w:szCs w:val="24"/>
        </w:rPr>
        <w:t>, gestor: MF SR</w:t>
      </w:r>
      <w:r w:rsidR="005723BD">
        <w:rPr>
          <w:rFonts w:ascii="Times New Roman" w:hAnsi="Times New Roman"/>
          <w:bCs/>
          <w:iCs/>
          <w:sz w:val="24"/>
          <w:szCs w:val="24"/>
          <w:lang w:eastAsia="sk-SK"/>
        </w:rPr>
        <w:t>,</w:t>
      </w:r>
    </w:p>
    <w:p w:rsidR="009E7FD5" w:rsidRPr="00FF51B0" w:rsidRDefault="005723BD" w:rsidP="009E7FD5">
      <w:pPr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FF51B0">
        <w:rPr>
          <w:rFonts w:ascii="Times New Roman" w:hAnsi="Times New Roman"/>
          <w:sz w:val="24"/>
          <w:szCs w:val="24"/>
        </w:rPr>
        <w:t xml:space="preserve">nariadenie Európskeho parlamentu a Rady (EÚ) </w:t>
      </w:r>
      <w:r w:rsidRPr="00FF51B0">
        <w:rPr>
          <w:rFonts w:ascii="Times New Roman" w:hAnsi="Times New Roman"/>
          <w:sz w:val="24"/>
          <w:szCs w:val="24"/>
          <w:u w:val="single"/>
        </w:rPr>
        <w:t>2016/679</w:t>
      </w:r>
      <w:r w:rsidRPr="00FF51B0">
        <w:rPr>
          <w:rFonts w:ascii="Times New Roman" w:hAnsi="Times New Roman"/>
          <w:sz w:val="24"/>
          <w:szCs w:val="24"/>
        </w:rPr>
        <w:t xml:space="preserve"> z 27. apríla 2016 o ochrane fyzických osôb pri spracúvaní osobných údajov a o voľnom pohybe takýchto údajov, ktorým sa zrušuje smernica 95/46/ES (všeobecné nariadenie o ochrane údajov, (</w:t>
      </w:r>
      <w:r w:rsidRPr="00FF51B0">
        <w:rPr>
          <w:rStyle w:val="Zvraznenie"/>
          <w:rFonts w:ascii="Times New Roman" w:hAnsi="Times New Roman"/>
          <w:i w:val="0"/>
          <w:sz w:val="24"/>
          <w:szCs w:val="24"/>
        </w:rPr>
        <w:t xml:space="preserve">Ú. v. EÚ L 119, 4.5.2016), </w:t>
      </w:r>
      <w:r w:rsidRPr="00FF51B0">
        <w:rPr>
          <w:rFonts w:ascii="Times New Roman" w:hAnsi="Times New Roman"/>
          <w:bCs/>
          <w:iCs/>
          <w:sz w:val="24"/>
          <w:szCs w:val="24"/>
        </w:rPr>
        <w:t>gestor: ÚOOÚ SR.</w:t>
      </w:r>
    </w:p>
    <w:p w:rsidR="00E619B7" w:rsidRPr="00260F6A" w:rsidRDefault="00E619B7" w:rsidP="00E619B7">
      <w:pPr>
        <w:spacing w:after="0" w:line="240" w:lineRule="auto"/>
        <w:ind w:left="1276"/>
        <w:jc w:val="both"/>
        <w:rPr>
          <w:rFonts w:ascii="Times New Roman" w:hAnsi="Times New Roman"/>
          <w:bCs/>
          <w:iCs/>
          <w:sz w:val="24"/>
          <w:szCs w:val="24"/>
          <w:u w:val="single"/>
          <w:lang w:eastAsia="sk-SK"/>
        </w:rPr>
      </w:pPr>
    </w:p>
    <w:p w:rsidR="00A2783C" w:rsidRPr="00260F6A" w:rsidRDefault="00E619B7" w:rsidP="0060547C">
      <w:pPr>
        <w:numPr>
          <w:ilvl w:val="1"/>
          <w:numId w:val="4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Judikatúra </w:t>
      </w:r>
      <w:r w:rsidR="00A2783C" w:rsidRPr="00260F6A">
        <w:rPr>
          <w:rFonts w:ascii="Times New Roman" w:hAnsi="Times New Roman"/>
          <w:b/>
          <w:bCs/>
          <w:sz w:val="24"/>
          <w:szCs w:val="24"/>
          <w:lang w:eastAsia="sk-SK"/>
        </w:rPr>
        <w:t>Súdneho dvora Európskej únie:</w:t>
      </w:r>
    </w:p>
    <w:p w:rsidR="00A2783C" w:rsidRPr="00260F6A" w:rsidRDefault="00A2783C" w:rsidP="006D5AE5">
      <w:pPr>
        <w:numPr>
          <w:ilvl w:val="0"/>
          <w:numId w:val="6"/>
        </w:numPr>
        <w:tabs>
          <w:tab w:val="clear" w:pos="900"/>
          <w:tab w:val="num" w:pos="709"/>
          <w:tab w:val="num" w:pos="3402"/>
        </w:tabs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rozhodnutie Súdneho dvora vo veci </w:t>
      </w:r>
      <w:r w:rsidR="004658A4" w:rsidRPr="00260F6A">
        <w:rPr>
          <w:rFonts w:ascii="Times New Roman" w:hAnsi="Times New Roman"/>
          <w:sz w:val="24"/>
          <w:szCs w:val="24"/>
        </w:rPr>
        <w:t xml:space="preserve">C </w:t>
      </w:r>
      <w:r w:rsidR="004658A4" w:rsidRPr="00260F6A">
        <w:rPr>
          <w:rFonts w:ascii="Times New Roman" w:hAnsi="Times New Roman"/>
          <w:sz w:val="24"/>
          <w:szCs w:val="24"/>
        </w:rPr>
        <w:noBreakHyphen/>
        <w:t xml:space="preserve"> 682/15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="004658A4" w:rsidRPr="00260F6A">
        <w:rPr>
          <w:rFonts w:ascii="Times New Roman" w:hAnsi="Times New Roman"/>
          <w:bCs/>
          <w:sz w:val="24"/>
          <w:szCs w:val="24"/>
        </w:rPr>
        <w:t xml:space="preserve">Berlioz Investment Fund SA </w:t>
      </w:r>
      <w:r w:rsidR="004658A4" w:rsidRPr="00260F6A">
        <w:rPr>
          <w:rFonts w:ascii="Times New Roman" w:hAnsi="Times New Roman"/>
          <w:bCs/>
          <w:sz w:val="24"/>
          <w:szCs w:val="24"/>
          <w:lang w:eastAsia="sk-SK"/>
        </w:rPr>
        <w:t>proti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3E1491" w:rsidRPr="00260F6A">
        <w:rPr>
          <w:rFonts w:ascii="Times New Roman" w:hAnsi="Times New Roman"/>
          <w:bCs/>
          <w:sz w:val="24"/>
          <w:szCs w:val="24"/>
        </w:rPr>
        <w:t>Directeur de l’administration des contributions directes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>, [20</w:t>
      </w:r>
      <w:r w:rsidR="004658A4" w:rsidRPr="00260F6A">
        <w:rPr>
          <w:rFonts w:ascii="Times New Roman" w:hAnsi="Times New Roman"/>
          <w:bCs/>
          <w:sz w:val="24"/>
          <w:szCs w:val="24"/>
          <w:lang w:eastAsia="sk-SK"/>
        </w:rPr>
        <w:t>1</w:t>
      </w:r>
      <w:r w:rsidR="003E1491" w:rsidRPr="00260F6A">
        <w:rPr>
          <w:rFonts w:ascii="Times New Roman" w:hAnsi="Times New Roman"/>
          <w:bCs/>
          <w:sz w:val="24"/>
          <w:szCs w:val="24"/>
          <w:lang w:eastAsia="sk-SK"/>
        </w:rPr>
        <w:t>7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>]</w:t>
      </w:r>
      <w:r w:rsidR="004658A4" w:rsidRPr="00260F6A">
        <w:rPr>
          <w:rFonts w:ascii="Times New Roman" w:hAnsi="Times New Roman"/>
          <w:bCs/>
          <w:sz w:val="24"/>
          <w:szCs w:val="24"/>
          <w:lang w:val="cs-CZ" w:eastAsia="sk-SK"/>
        </w:rPr>
        <w:t>.</w:t>
      </w:r>
    </w:p>
    <w:p w:rsidR="004658A4" w:rsidRPr="00260F6A" w:rsidRDefault="004658A4" w:rsidP="004658A4">
      <w:pPr>
        <w:tabs>
          <w:tab w:val="num" w:pos="3402"/>
        </w:tabs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  <w:lang w:val="cs-CZ" w:eastAsia="sk-SK"/>
        </w:rPr>
      </w:pPr>
    </w:p>
    <w:p w:rsidR="004658A4" w:rsidRPr="00260F6A" w:rsidRDefault="003E1491" w:rsidP="003E1491">
      <w:pPr>
        <w:tabs>
          <w:tab w:val="num" w:pos="340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cs-CZ" w:eastAsia="sk-SK"/>
        </w:rPr>
      </w:pPr>
      <w:r w:rsidRPr="00260F6A">
        <w:rPr>
          <w:rFonts w:ascii="Times New Roman" w:hAnsi="Times New Roman"/>
          <w:bCs/>
          <w:sz w:val="24"/>
          <w:szCs w:val="24"/>
          <w:lang w:val="cs-CZ" w:eastAsia="sk-SK"/>
        </w:rPr>
        <w:t xml:space="preserve">       </w:t>
      </w:r>
      <w:r w:rsidR="004658A4" w:rsidRPr="00260F6A">
        <w:rPr>
          <w:rFonts w:ascii="Times New Roman" w:hAnsi="Times New Roman"/>
          <w:bCs/>
          <w:sz w:val="24"/>
          <w:szCs w:val="24"/>
          <w:lang w:val="cs-CZ" w:eastAsia="sk-SK"/>
        </w:rPr>
        <w:t>Výrok rozhodnutia:</w:t>
      </w:r>
    </w:p>
    <w:p w:rsidR="003E1491" w:rsidRPr="00260F6A" w:rsidRDefault="003E1491" w:rsidP="003E1491">
      <w:pPr>
        <w:pStyle w:val="c08dispositif"/>
        <w:ind w:left="993" w:firstLine="0"/>
        <w:rPr>
          <w:b w:val="0"/>
        </w:rPr>
      </w:pPr>
      <w:r w:rsidRPr="00260F6A">
        <w:rPr>
          <w:b w:val="0"/>
        </w:rPr>
        <w:t xml:space="preserve">1. Článok 51 ods. 1 Charty základných práv Európskej únie sa má vykladať v tom zmysle, že členský štát vykonáva právo Únie v zmysle tohto ustanovenia, a teda dôjde k uplatneniu Charty základných práv Európskej únie, keď ukladá vo svojej právnej úprave peňažnú sankciu účastníkovi správneho konania, ktorý odmieta </w:t>
      </w:r>
      <w:r w:rsidRPr="00260F6A">
        <w:rPr>
          <w:b w:val="0"/>
        </w:rPr>
        <w:lastRenderedPageBreak/>
        <w:t xml:space="preserve">poskytnúť informácie v rámci výmeny medzi daňovými orgánmi, založenú najmä na ustanoveniach smernice Rady </w:t>
      </w:r>
      <w:bookmarkStart w:id="1" w:name="ctx64"/>
      <w:r w:rsidRPr="00260F6A">
        <w:rPr>
          <w:b w:val="0"/>
        </w:rPr>
        <w:t>2011/16</w:t>
      </w:r>
      <w:bookmarkEnd w:id="1"/>
      <w:r w:rsidRPr="00260F6A">
        <w:rPr>
          <w:b w:val="0"/>
        </w:rPr>
        <w:t>/EÚ z 15. februára 2011 o administratívnej spolupráci v oblasti daní a zrušení smernice 77/799/EHS.</w:t>
      </w:r>
    </w:p>
    <w:p w:rsidR="003E1491" w:rsidRPr="00260F6A" w:rsidRDefault="003E1491" w:rsidP="003E1491">
      <w:pPr>
        <w:pStyle w:val="c08dispositif"/>
        <w:ind w:left="993" w:firstLine="0"/>
        <w:rPr>
          <w:b w:val="0"/>
        </w:rPr>
      </w:pPr>
      <w:r w:rsidRPr="00260F6A">
        <w:rPr>
          <w:b w:val="0"/>
        </w:rPr>
        <w:t xml:space="preserve">2. Článok 47 Charty základných práv Európskej únie sa má vykladať v tom zmysle, že účastník správneho konania, ktorému bola uložená peňažná sankcia za nesplnenie správneho rozhodnutia, ktoré mu podľa smernice </w:t>
      </w:r>
      <w:bookmarkStart w:id="2" w:name="ctx65"/>
      <w:r w:rsidRPr="00260F6A">
        <w:rPr>
          <w:b w:val="0"/>
        </w:rPr>
        <w:t>2011/16</w:t>
      </w:r>
      <w:bookmarkEnd w:id="2"/>
      <w:r w:rsidRPr="00260F6A">
        <w:rPr>
          <w:b w:val="0"/>
        </w:rPr>
        <w:t xml:space="preserve"> ukladalo povinnosť poskytnúť informácie v rámci výmeny medzi vnútroštátnymi daňovými správami, má právo napadnúť zákonnosť tohto rozhodnutia.</w:t>
      </w:r>
    </w:p>
    <w:p w:rsidR="003E1491" w:rsidRPr="00260F6A" w:rsidRDefault="003E1491" w:rsidP="003E1491">
      <w:pPr>
        <w:pStyle w:val="c08dispositif"/>
        <w:ind w:left="993" w:firstLine="0"/>
        <w:rPr>
          <w:b w:val="0"/>
        </w:rPr>
      </w:pPr>
      <w:r w:rsidRPr="00260F6A">
        <w:rPr>
          <w:b w:val="0"/>
        </w:rPr>
        <w:t xml:space="preserve">3. Článok 1 ods. 1 a článok 5 smernice </w:t>
      </w:r>
      <w:bookmarkStart w:id="3" w:name="ctx66"/>
      <w:r w:rsidRPr="00260F6A">
        <w:rPr>
          <w:b w:val="0"/>
        </w:rPr>
        <w:t>2011/16</w:t>
      </w:r>
      <w:bookmarkEnd w:id="3"/>
      <w:r w:rsidRPr="00260F6A">
        <w:rPr>
          <w:b w:val="0"/>
        </w:rPr>
        <w:t xml:space="preserve"> sa majú vykladať v tom zmysle, že „predvídateľná relevantnosť“ informácií, ktoré si jeden členský štát vyžiadal od iného členského štátu, je podmienkou, ktorú musí uvedená žiadosť o informácie spĺňať, aby dožiadanému členského štátu vznikla povinnosť vyhovieť tejto žiadosti, a tým aj podmienkou zákonnosti rozhodnutia o uložení povinnosti adresovanej týmto členským štátom účastníkovi správneho konania a podmienkou sankčného opatrenia uloženému tomuto účastníkovi správneho konania za nesplnenie tohto rozhodnutia.</w:t>
      </w:r>
    </w:p>
    <w:p w:rsidR="003E1491" w:rsidRPr="00260F6A" w:rsidRDefault="003E1491" w:rsidP="003E1491">
      <w:pPr>
        <w:pStyle w:val="c08dispositif"/>
        <w:ind w:left="993" w:firstLine="0"/>
        <w:rPr>
          <w:b w:val="0"/>
        </w:rPr>
      </w:pPr>
      <w:r w:rsidRPr="00260F6A">
        <w:rPr>
          <w:b w:val="0"/>
        </w:rPr>
        <w:t xml:space="preserve">4. Článok 1 ods. 1 a článok 5 smernice </w:t>
      </w:r>
      <w:bookmarkStart w:id="4" w:name="ctx67"/>
      <w:r w:rsidRPr="00260F6A">
        <w:rPr>
          <w:b w:val="0"/>
        </w:rPr>
        <w:t>2011/16</w:t>
      </w:r>
      <w:bookmarkEnd w:id="4"/>
      <w:r w:rsidRPr="00260F6A">
        <w:rPr>
          <w:b w:val="0"/>
        </w:rPr>
        <w:t xml:space="preserve"> sa majú vykladať v tom zmysle, že overenie dožiadaného orgánu, ktorému dožadujúci orgán podal žiadosť o informácie podľa tejto smernice, sa neobmedzuje na formálnu správnosť tejto žiadosti, ale musí tomuto dožiadanému orgánu umožniť zabezpečenie toho, aby požadované informácie neboli úplne zbavené predvídateľnej relevantnosti z hľadiska určenia dotknutého platiteľa dane a určenia tretej osoby, ktorá bola prípadne informovaná, ako aj z hľadiska potreby predmetného daňového vyšetrovania. Tieto isté ustanovenia smernice </w:t>
      </w:r>
      <w:bookmarkStart w:id="5" w:name="ctx68"/>
      <w:r w:rsidRPr="00260F6A">
        <w:rPr>
          <w:b w:val="0"/>
        </w:rPr>
        <w:t>2011/16</w:t>
      </w:r>
      <w:bookmarkEnd w:id="5"/>
      <w:r w:rsidRPr="00260F6A">
        <w:rPr>
          <w:b w:val="0"/>
        </w:rPr>
        <w:t xml:space="preserve"> a článok 47 Charty základných práv Európskej únie sa majú vykladať v tom zmysle, že v rámci žaloby podanej účastníkom správneho konania proti sankčnému opatreniu, ktoré mu bolo uložené dožiadaným orgánom z dôvodu nedodržania rozhodnutia o uložení povinnosti prijatého týmto orgánom na základe žiadosti o informácie adresovanej dožadujúcim orgánom na základe smernice </w:t>
      </w:r>
      <w:bookmarkStart w:id="6" w:name="ctx69"/>
      <w:r w:rsidRPr="00260F6A">
        <w:rPr>
          <w:b w:val="0"/>
        </w:rPr>
        <w:t>2011/16</w:t>
      </w:r>
      <w:bookmarkEnd w:id="6"/>
      <w:r w:rsidRPr="00260F6A">
        <w:rPr>
          <w:b w:val="0"/>
        </w:rPr>
        <w:t>, má vnútroštátny súd okrem právomoci zmeniť uloženú pokutu právomoc preskúmať zákonnosť tohto rozhodnutia o uložení povinnosti. Pokiaľ ide o podmienku zákonnosti uvedeného rozhodnutia týkajúcu sa predvídateľnej relevantnosti požadovaných informácií, súdne preskúmanie sa obmedzuje na overenie zjavnej neexistencie takejto relevantnosti.</w:t>
      </w:r>
    </w:p>
    <w:p w:rsidR="003E1491" w:rsidRDefault="003E1491" w:rsidP="003E1491">
      <w:pPr>
        <w:pStyle w:val="c08dispositif"/>
        <w:ind w:left="993" w:firstLine="0"/>
        <w:rPr>
          <w:b w:val="0"/>
        </w:rPr>
      </w:pPr>
      <w:r w:rsidRPr="00260F6A">
        <w:rPr>
          <w:b w:val="0"/>
        </w:rPr>
        <w:t xml:space="preserve">5. Článok 47 druhý odsek Charty základných práv Európskej únie sa má vykladať v tom zmysle, že súd dožiadaného členského štátu má v rámci výkonu svojej súdnej právomoci právo na prístup k žiadosti o informácie adresovanej dožadujúcim členským štátom dožiadanému členskému štátu. Dotknutý účastník správneho konania naopak nemá právo na prístup k celej žiadosti o informácie, ktorá zostáva tajným dokumentom v súlade s článkom 16 smernice </w:t>
      </w:r>
      <w:bookmarkStart w:id="7" w:name="ctx70"/>
      <w:r w:rsidRPr="00260F6A">
        <w:rPr>
          <w:b w:val="0"/>
        </w:rPr>
        <w:t>2011/16</w:t>
      </w:r>
      <w:bookmarkEnd w:id="7"/>
      <w:r w:rsidRPr="00260F6A">
        <w:rPr>
          <w:b w:val="0"/>
        </w:rPr>
        <w:t>. Na to, aby bola jeho záležitosť prejednaná v celom rozsahu v súvislosti s neexistenciou predvídateľnej relevantnosti požadovaných informácií, v zásade stačí, aby mal informácie uvedené v článku 20 ods. 2 tejto smernice.</w:t>
      </w:r>
    </w:p>
    <w:p w:rsidR="00FF51B0" w:rsidRPr="00260F6A" w:rsidRDefault="00FF51B0" w:rsidP="003E1491">
      <w:pPr>
        <w:pStyle w:val="c08dispositif"/>
        <w:ind w:left="993" w:firstLine="0"/>
        <w:rPr>
          <w:b w:val="0"/>
        </w:rPr>
      </w:pPr>
    </w:p>
    <w:p w:rsidR="00A2783C" w:rsidRDefault="00A2783C" w:rsidP="006D5A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Záväzky Slovenskej republiky vo vzťahu k Európskej únii:</w:t>
      </w:r>
    </w:p>
    <w:p w:rsidR="00096530" w:rsidRPr="00260F6A" w:rsidRDefault="00096530" w:rsidP="00FF51B0">
      <w:pPr>
        <w:spacing w:after="0" w:line="240" w:lineRule="auto"/>
        <w:ind w:left="425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2783C" w:rsidRPr="00260F6A" w:rsidRDefault="00C2004A" w:rsidP="006D5AE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F51B0">
        <w:rPr>
          <w:rFonts w:ascii="Times New Roman" w:hAnsi="Times New Roman"/>
          <w:bCs/>
          <w:sz w:val="24"/>
          <w:szCs w:val="24"/>
          <w:lang w:eastAsia="sk-SK"/>
        </w:rPr>
        <w:t>Lehota na prebratie s</w:t>
      </w:r>
      <w:r w:rsidRPr="00FF51B0">
        <w:rPr>
          <w:rFonts w:ascii="Times New Roman" w:hAnsi="Times New Roman"/>
          <w:sz w:val="24"/>
          <w:szCs w:val="24"/>
        </w:rPr>
        <w:t>mernice 2006/123/ES bola stanovená do 28.12. 2009</w:t>
      </w:r>
      <w:r w:rsidR="00A2783C" w:rsidRPr="00260F6A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4E3E5E" w:rsidRPr="00260F6A" w:rsidRDefault="004E3E5E" w:rsidP="004E3E5E">
      <w:pPr>
        <w:spacing w:after="0" w:line="240" w:lineRule="auto"/>
        <w:ind w:left="85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2783C" w:rsidRPr="00260F6A" w:rsidRDefault="00A2783C" w:rsidP="003B01DB">
      <w:pPr>
        <w:numPr>
          <w:ilvl w:val="1"/>
          <w:numId w:val="4"/>
        </w:numPr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Proti SR nebolo </w:t>
      </w:r>
      <w:r w:rsidR="003B01DB" w:rsidRPr="00260F6A">
        <w:rPr>
          <w:rFonts w:ascii="Times New Roman" w:hAnsi="Times New Roman"/>
          <w:sz w:val="24"/>
          <w:szCs w:val="24"/>
        </w:rPr>
        <w:t xml:space="preserve">začaté konanie v rámci „EÚ Pilot“, ani nebol začatý postup EK ako aj nebolo 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 xml:space="preserve">začaté konanie o porušení Zmluvy o fungovaní Európskej únie </w:t>
      </w:r>
      <w:r w:rsidR="00CD0306" w:rsidRPr="00260F6A">
        <w:rPr>
          <w:rFonts w:ascii="Times New Roman" w:hAnsi="Times New Roman"/>
          <w:bCs/>
          <w:sz w:val="24"/>
          <w:szCs w:val="24"/>
          <w:lang w:eastAsia="sk-SK"/>
        </w:rPr>
        <w:t>podľa čl. 258 až 260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BA5825" w:rsidRPr="00FF51B0" w:rsidRDefault="00096530" w:rsidP="0009653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F51B0">
        <w:rPr>
          <w:rFonts w:ascii="Times New Roman" w:hAnsi="Times New Roman"/>
          <w:sz w:val="24"/>
          <w:szCs w:val="24"/>
        </w:rPr>
        <w:t>Smernica 2006/123/ES bola prebratá do zákona č. 136/2010 Z. z. o službách na vnútornom trhu a o zmene a doplnení niektorých zákonov v znení neskorších predpisov, do zákona č. 78/1992 Zb. o daňových poradcoch a Slovenskej komore daňových poradcov</w:t>
      </w:r>
      <w:r w:rsidRPr="00FF51B0" w:rsidDel="0009653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F51B0">
        <w:rPr>
          <w:rFonts w:ascii="Times New Roman" w:hAnsi="Times New Roman"/>
          <w:sz w:val="24"/>
          <w:szCs w:val="24"/>
        </w:rPr>
        <w:t>v znení neskorších predpisov</w:t>
      </w:r>
      <w:r w:rsidRPr="00FF51B0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FF51B0">
        <w:rPr>
          <w:rFonts w:ascii="Times New Roman" w:hAnsi="Times New Roman"/>
          <w:sz w:val="24"/>
          <w:szCs w:val="24"/>
        </w:rPr>
        <w:t xml:space="preserve">do zákona č. 5/2004 Z. z. </w:t>
      </w:r>
      <w:r w:rsidRPr="00FF51B0">
        <w:rPr>
          <w:rFonts w:ascii="Times New Roman" w:hAnsi="Times New Roman"/>
          <w:sz w:val="24"/>
          <w:szCs w:val="24"/>
          <w:lang w:eastAsia="cs-CZ"/>
        </w:rPr>
        <w:t xml:space="preserve">o službách zamestnanosti a o zmene a doplnení niektorých zákonov </w:t>
      </w:r>
      <w:r w:rsidRPr="00FF51B0">
        <w:rPr>
          <w:rFonts w:ascii="Times New Roman" w:hAnsi="Times New Roman"/>
          <w:sz w:val="24"/>
          <w:szCs w:val="24"/>
        </w:rPr>
        <w:t>v znení neskorších predpisov, do zákona č. 137/2010 Z. z. o ovzduší v znení neskorších predpisov, do zákona č. 124/2006 Z. z. o bezpečnosti a ochrane zdravia pri práci a o zmene a doplnení niektorých zákonov v znení neskorších predpisov a do zákona č. 455/1991 Zb. o živnostenskom podnikaní</w:t>
      </w:r>
      <w:r w:rsidRPr="00FF51B0" w:rsidDel="0009653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F51B0">
        <w:rPr>
          <w:rFonts w:ascii="Times New Roman" w:hAnsi="Times New Roman"/>
          <w:sz w:val="24"/>
          <w:szCs w:val="24"/>
          <w:lang w:eastAsia="cs-CZ"/>
        </w:rPr>
        <w:t xml:space="preserve">(živnostenský zákon) </w:t>
      </w:r>
      <w:r w:rsidRPr="00FF51B0">
        <w:rPr>
          <w:rFonts w:ascii="Times New Roman" w:hAnsi="Times New Roman"/>
          <w:sz w:val="24"/>
          <w:szCs w:val="24"/>
        </w:rPr>
        <w:t>v znení neskorších predpisov</w:t>
      </w:r>
      <w:r w:rsidR="001670D9" w:rsidRPr="00FF51B0">
        <w:rPr>
          <w:rFonts w:ascii="Times New Roman" w:hAnsi="Times New Roman"/>
          <w:sz w:val="24"/>
          <w:szCs w:val="24"/>
          <w:lang w:eastAsia="cs-CZ"/>
        </w:rPr>
        <w:t>.</w:t>
      </w:r>
    </w:p>
    <w:p w:rsidR="00A2783C" w:rsidRPr="00260F6A" w:rsidRDefault="00A2783C" w:rsidP="006D5AE5">
      <w:p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2783C" w:rsidRPr="00260F6A" w:rsidRDefault="009244F7" w:rsidP="006D5AE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Návrh zákona je </w:t>
      </w:r>
      <w:r w:rsidR="00A2783C" w:rsidRPr="00260F6A">
        <w:rPr>
          <w:rFonts w:ascii="Times New Roman" w:hAnsi="Times New Roman"/>
          <w:b/>
          <w:bCs/>
          <w:sz w:val="24"/>
          <w:szCs w:val="24"/>
          <w:lang w:eastAsia="sk-SK"/>
        </w:rPr>
        <w:t>zlučiteľn</w:t>
      </w:r>
      <w:r w:rsidRPr="00260F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ý </w:t>
      </w:r>
      <w:r w:rsidR="00A2783C" w:rsidRPr="00260F6A">
        <w:rPr>
          <w:rFonts w:ascii="Times New Roman" w:hAnsi="Times New Roman"/>
          <w:b/>
          <w:bCs/>
          <w:sz w:val="24"/>
          <w:szCs w:val="24"/>
          <w:lang w:eastAsia="sk-SK"/>
        </w:rPr>
        <w:t>s právom Európskej únie:</w:t>
      </w:r>
    </w:p>
    <w:p w:rsidR="00003D84" w:rsidRPr="00260F6A" w:rsidRDefault="00003D84" w:rsidP="006D5AE5">
      <w:pPr>
        <w:pStyle w:val="Odsekzoznamu"/>
        <w:spacing w:after="0" w:line="240" w:lineRule="auto"/>
        <w:ind w:left="425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2783C" w:rsidRPr="00260F6A" w:rsidRDefault="00A2783C" w:rsidP="00260F6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60F6A">
        <w:rPr>
          <w:rFonts w:ascii="Times New Roman" w:hAnsi="Times New Roman"/>
          <w:bCs/>
          <w:sz w:val="24"/>
          <w:szCs w:val="24"/>
          <w:lang w:eastAsia="sk-SK"/>
        </w:rPr>
        <w:t>Úpln</w:t>
      </w:r>
      <w:r w:rsidR="009244F7" w:rsidRPr="00260F6A">
        <w:rPr>
          <w:rFonts w:ascii="Times New Roman" w:hAnsi="Times New Roman"/>
          <w:bCs/>
          <w:sz w:val="24"/>
          <w:szCs w:val="24"/>
          <w:lang w:eastAsia="sk-SK"/>
        </w:rPr>
        <w:t>e</w:t>
      </w:r>
      <w:r w:rsidRPr="00260F6A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sectPr w:rsidR="00A2783C" w:rsidRPr="00260F6A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D26"/>
    <w:multiLevelType w:val="hybridMultilevel"/>
    <w:tmpl w:val="AB789FC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8AA6D21"/>
    <w:multiLevelType w:val="hybridMultilevel"/>
    <w:tmpl w:val="64740DE4"/>
    <w:lvl w:ilvl="0" w:tplc="2948F396">
      <w:start w:val="1"/>
      <w:numFmt w:val="decimal"/>
      <w:lvlText w:val="%1."/>
      <w:lvlJc w:val="left"/>
      <w:pPr>
        <w:ind w:left="835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3" w15:restartNumberingAfterBreak="0">
    <w:nsid w:val="4A527123"/>
    <w:multiLevelType w:val="hybridMultilevel"/>
    <w:tmpl w:val="0FC42C70"/>
    <w:lvl w:ilvl="0" w:tplc="1C4A8E6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5" w15:restartNumberingAfterBreak="0">
    <w:nsid w:val="5D0B44FF"/>
    <w:multiLevelType w:val="hybridMultilevel"/>
    <w:tmpl w:val="38349D9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7B564C"/>
    <w:multiLevelType w:val="hybridMultilevel"/>
    <w:tmpl w:val="3A46DE4C"/>
    <w:lvl w:ilvl="0" w:tplc="AE744958"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67381AF0"/>
    <w:multiLevelType w:val="hybridMultilevel"/>
    <w:tmpl w:val="545C9D60"/>
    <w:lvl w:ilvl="0" w:tplc="B240BA3A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25AE5"/>
    <w:multiLevelType w:val="singleLevel"/>
    <w:tmpl w:val="422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02"/>
    <w:rsid w:val="00003D84"/>
    <w:rsid w:val="00096530"/>
    <w:rsid w:val="000A2CE6"/>
    <w:rsid w:val="000C4010"/>
    <w:rsid w:val="001670D9"/>
    <w:rsid w:val="00236671"/>
    <w:rsid w:val="00260F6A"/>
    <w:rsid w:val="00317D3F"/>
    <w:rsid w:val="00383E42"/>
    <w:rsid w:val="003A6A05"/>
    <w:rsid w:val="003B01DB"/>
    <w:rsid w:val="003C1D56"/>
    <w:rsid w:val="003E1491"/>
    <w:rsid w:val="0040221B"/>
    <w:rsid w:val="00443811"/>
    <w:rsid w:val="004658A4"/>
    <w:rsid w:val="004B413D"/>
    <w:rsid w:val="004E3E5E"/>
    <w:rsid w:val="005122D2"/>
    <w:rsid w:val="00563C1B"/>
    <w:rsid w:val="005723BD"/>
    <w:rsid w:val="005F28B6"/>
    <w:rsid w:val="0060547C"/>
    <w:rsid w:val="006B0306"/>
    <w:rsid w:val="006C0F02"/>
    <w:rsid w:val="006D5AE5"/>
    <w:rsid w:val="006F2032"/>
    <w:rsid w:val="00714AD9"/>
    <w:rsid w:val="0072658C"/>
    <w:rsid w:val="007343A7"/>
    <w:rsid w:val="00745E58"/>
    <w:rsid w:val="00754455"/>
    <w:rsid w:val="00796811"/>
    <w:rsid w:val="008E0665"/>
    <w:rsid w:val="009244F7"/>
    <w:rsid w:val="00954AB8"/>
    <w:rsid w:val="009A4BED"/>
    <w:rsid w:val="009E7FD5"/>
    <w:rsid w:val="00A2587D"/>
    <w:rsid w:val="00A2783C"/>
    <w:rsid w:val="00A8025E"/>
    <w:rsid w:val="00A9718F"/>
    <w:rsid w:val="00AB512B"/>
    <w:rsid w:val="00B77B7F"/>
    <w:rsid w:val="00B82020"/>
    <w:rsid w:val="00BA5825"/>
    <w:rsid w:val="00BB42D6"/>
    <w:rsid w:val="00BB499E"/>
    <w:rsid w:val="00BB76F6"/>
    <w:rsid w:val="00C07E86"/>
    <w:rsid w:val="00C1503C"/>
    <w:rsid w:val="00C2004A"/>
    <w:rsid w:val="00C5053E"/>
    <w:rsid w:val="00C81E94"/>
    <w:rsid w:val="00CB398B"/>
    <w:rsid w:val="00CD0306"/>
    <w:rsid w:val="00D01C78"/>
    <w:rsid w:val="00D22569"/>
    <w:rsid w:val="00D3362A"/>
    <w:rsid w:val="00D473F3"/>
    <w:rsid w:val="00DF350A"/>
    <w:rsid w:val="00E05135"/>
    <w:rsid w:val="00E17BF6"/>
    <w:rsid w:val="00E619B7"/>
    <w:rsid w:val="00F647D3"/>
    <w:rsid w:val="00F82B02"/>
    <w:rsid w:val="00F90D09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E11C57-AEBD-4782-BF63-D09C843F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B02"/>
    <w:rPr>
      <w:rFonts w:cs="Times New Roman"/>
      <w:szCs w:val="3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F82B02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647D3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B499E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rsid w:val="00B7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77B7F"/>
    <w:rPr>
      <w:rFonts w:ascii="Segoe UI" w:hAnsi="Segoe UI" w:cs="Segoe UI"/>
      <w:sz w:val="18"/>
      <w:szCs w:val="18"/>
    </w:rPr>
  </w:style>
  <w:style w:type="paragraph" w:customStyle="1" w:styleId="c08dispositif">
    <w:name w:val="c08dispositif"/>
    <w:basedOn w:val="Normlny"/>
    <w:rsid w:val="003E1491"/>
    <w:pPr>
      <w:spacing w:before="100" w:beforeAutospacing="1" w:after="240" w:line="240" w:lineRule="auto"/>
      <w:ind w:left="1134" w:hanging="567"/>
      <w:jc w:val="both"/>
    </w:pPr>
    <w:rPr>
      <w:rFonts w:ascii="Times New Roman" w:hAnsi="Times New Roman"/>
      <w:b/>
      <w:bCs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723B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Ivanicova Eva</cp:lastModifiedBy>
  <cp:revision>2</cp:revision>
  <cp:lastPrinted>2019-05-02T10:45:00Z</cp:lastPrinted>
  <dcterms:created xsi:type="dcterms:W3CDTF">2019-08-06T13:47:00Z</dcterms:created>
  <dcterms:modified xsi:type="dcterms:W3CDTF">2019-08-06T13:47:00Z</dcterms:modified>
</cp:coreProperties>
</file>