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797ED8">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797ED8">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8C7EF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8C7EF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7D5748" w:rsidRDefault="008C7EF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D5748" w:rsidRPr="007D5748" w:rsidRDefault="008C7EF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r>
      <w:tr w:rsidR="007D5748" w:rsidRPr="007D5748" w:rsidTr="00797ED8">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E7576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E7576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E7576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E7576D"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7D5748" w:rsidRPr="007D5748" w:rsidTr="00797ED8">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97ED8">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97E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797ED8">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E7576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E7576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E7576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E7576D"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97ED8">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97E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97E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97ED8">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035A0" w:rsidRPr="007D5748" w:rsidTr="00FB6478">
        <w:trPr>
          <w:trHeight w:val="125"/>
          <w:jc w:val="center"/>
        </w:trPr>
        <w:tc>
          <w:tcPr>
            <w:tcW w:w="4661" w:type="dxa"/>
            <w:shd w:val="clear" w:color="auto" w:fill="C0C0C0"/>
            <w:noWrap/>
            <w:vAlign w:val="center"/>
          </w:tcPr>
          <w:p w:rsidR="00E035A0" w:rsidRPr="007D5748" w:rsidRDefault="00E035A0"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bottom"/>
          </w:tcPr>
          <w:p w:rsidR="00E035A0" w:rsidRPr="00446450" w:rsidRDefault="00E035A0">
            <w:pPr>
              <w:jc w:val="right"/>
              <w:rPr>
                <w:rFonts w:ascii="Times New Roman" w:eastAsia="Times New Roman" w:hAnsi="Times New Roman" w:cs="Times New Roman"/>
                <w:b/>
                <w:bCs/>
                <w:sz w:val="24"/>
                <w:szCs w:val="24"/>
                <w:lang w:eastAsia="sk-SK"/>
              </w:rPr>
            </w:pPr>
            <w:r w:rsidRPr="00446450">
              <w:rPr>
                <w:rFonts w:ascii="Times New Roman" w:eastAsia="Times New Roman" w:hAnsi="Times New Roman" w:cs="Times New Roman"/>
                <w:b/>
                <w:bCs/>
                <w:sz w:val="24"/>
                <w:szCs w:val="24"/>
                <w:lang w:eastAsia="sk-SK"/>
              </w:rPr>
              <w:t>51 697 671</w:t>
            </w:r>
          </w:p>
        </w:tc>
        <w:tc>
          <w:tcPr>
            <w:tcW w:w="1267" w:type="dxa"/>
            <w:shd w:val="clear" w:color="auto" w:fill="C0C0C0"/>
            <w:noWrap/>
            <w:vAlign w:val="bottom"/>
          </w:tcPr>
          <w:p w:rsidR="00E035A0" w:rsidRPr="00E035A0" w:rsidRDefault="00E035A0">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54 106 782</w:t>
            </w:r>
          </w:p>
        </w:tc>
        <w:tc>
          <w:tcPr>
            <w:tcW w:w="1267" w:type="dxa"/>
            <w:shd w:val="clear" w:color="auto" w:fill="C0C0C0"/>
            <w:noWrap/>
            <w:vAlign w:val="bottom"/>
          </w:tcPr>
          <w:p w:rsidR="00E035A0" w:rsidRPr="00E035A0" w:rsidRDefault="00E035A0">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56 411 731</w:t>
            </w:r>
          </w:p>
        </w:tc>
        <w:tc>
          <w:tcPr>
            <w:tcW w:w="1267" w:type="dxa"/>
            <w:shd w:val="clear" w:color="auto" w:fill="C0C0C0"/>
            <w:noWrap/>
            <w:vAlign w:val="bottom"/>
          </w:tcPr>
          <w:p w:rsidR="00E035A0" w:rsidRPr="00E035A0" w:rsidRDefault="00E035A0">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58 938 977</w:t>
            </w:r>
          </w:p>
        </w:tc>
      </w:tr>
      <w:tr w:rsidR="007D5748" w:rsidRPr="007D5748" w:rsidTr="00797ED8">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97ED8">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E035A0" w:rsidRPr="007D5748" w:rsidTr="00FB6478">
        <w:trPr>
          <w:trHeight w:val="70"/>
          <w:jc w:val="center"/>
        </w:trPr>
        <w:tc>
          <w:tcPr>
            <w:tcW w:w="4661" w:type="dxa"/>
            <w:noWrap/>
            <w:vAlign w:val="center"/>
          </w:tcPr>
          <w:p w:rsidR="00E035A0" w:rsidRPr="007D5748" w:rsidRDefault="00E035A0"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bottom"/>
          </w:tcPr>
          <w:p w:rsidR="00E035A0" w:rsidRPr="00446450" w:rsidRDefault="00E035A0" w:rsidP="00E035A0">
            <w:pPr>
              <w:jc w:val="right"/>
              <w:rPr>
                <w:rFonts w:ascii="Times New Roman" w:eastAsia="Times New Roman" w:hAnsi="Times New Roman" w:cs="Times New Roman"/>
                <w:b/>
                <w:bCs/>
                <w:sz w:val="24"/>
                <w:szCs w:val="24"/>
                <w:lang w:eastAsia="sk-SK"/>
              </w:rPr>
            </w:pPr>
            <w:r w:rsidRPr="00446450">
              <w:rPr>
                <w:rFonts w:ascii="Times New Roman" w:eastAsia="Times New Roman" w:hAnsi="Times New Roman" w:cs="Times New Roman"/>
                <w:b/>
                <w:bCs/>
                <w:sz w:val="24"/>
                <w:szCs w:val="24"/>
                <w:lang w:eastAsia="sk-SK"/>
              </w:rPr>
              <w:t>51 697 671</w:t>
            </w:r>
          </w:p>
        </w:tc>
        <w:tc>
          <w:tcPr>
            <w:tcW w:w="1267" w:type="dxa"/>
            <w:noWrap/>
            <w:vAlign w:val="bottom"/>
          </w:tcPr>
          <w:p w:rsidR="00E035A0" w:rsidRPr="00E035A0" w:rsidRDefault="00E035A0" w:rsidP="00E035A0">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54 106 782</w:t>
            </w:r>
          </w:p>
        </w:tc>
        <w:tc>
          <w:tcPr>
            <w:tcW w:w="1267" w:type="dxa"/>
            <w:noWrap/>
            <w:vAlign w:val="bottom"/>
          </w:tcPr>
          <w:p w:rsidR="00E035A0" w:rsidRPr="00E035A0" w:rsidRDefault="00E035A0" w:rsidP="00E035A0">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56 411 731</w:t>
            </w:r>
          </w:p>
        </w:tc>
        <w:tc>
          <w:tcPr>
            <w:tcW w:w="1267" w:type="dxa"/>
            <w:noWrap/>
            <w:vAlign w:val="bottom"/>
          </w:tcPr>
          <w:p w:rsidR="00E035A0" w:rsidRPr="00E035A0" w:rsidRDefault="00E035A0" w:rsidP="00E035A0">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58 938 977</w:t>
            </w:r>
          </w:p>
        </w:tc>
      </w:tr>
      <w:tr w:rsidR="00BD1C67" w:rsidRPr="007D5748" w:rsidTr="00FB6478">
        <w:trPr>
          <w:trHeight w:val="70"/>
          <w:jc w:val="center"/>
        </w:trPr>
        <w:tc>
          <w:tcPr>
            <w:tcW w:w="4661" w:type="dxa"/>
            <w:noWrap/>
            <w:vAlign w:val="center"/>
          </w:tcPr>
          <w:p w:rsidR="00BD1C67" w:rsidRPr="007D5748" w:rsidRDefault="00BD1C67"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r>
              <w:rPr>
                <w:bCs/>
                <w:i/>
                <w:iCs/>
              </w:rPr>
              <w:t xml:space="preserve"> </w:t>
            </w:r>
            <w:r w:rsidRPr="00EA7AC8">
              <w:rPr>
                <w:rFonts w:ascii="Times New Roman" w:eastAsia="Times New Roman" w:hAnsi="Times New Roman" w:cs="Times New Roman"/>
                <w:bCs/>
                <w:i/>
                <w:iCs/>
                <w:sz w:val="24"/>
                <w:szCs w:val="24"/>
                <w:lang w:eastAsia="sk-SK"/>
              </w:rPr>
              <w:t>kapitoly MK SR</w:t>
            </w:r>
          </w:p>
        </w:tc>
        <w:tc>
          <w:tcPr>
            <w:tcW w:w="1267" w:type="dxa"/>
            <w:noWrap/>
            <w:vAlign w:val="bottom"/>
          </w:tcPr>
          <w:p w:rsidR="00BD1C67" w:rsidRPr="00446450" w:rsidRDefault="00BD1C67" w:rsidP="007B2158">
            <w:pPr>
              <w:jc w:val="right"/>
              <w:rPr>
                <w:rFonts w:ascii="Times New Roman" w:eastAsia="Times New Roman" w:hAnsi="Times New Roman" w:cs="Times New Roman"/>
                <w:b/>
                <w:bCs/>
                <w:sz w:val="24"/>
                <w:szCs w:val="24"/>
                <w:lang w:eastAsia="sk-SK"/>
              </w:rPr>
            </w:pPr>
            <w:r w:rsidRPr="00446450">
              <w:rPr>
                <w:rFonts w:ascii="Times New Roman" w:eastAsia="Times New Roman" w:hAnsi="Times New Roman" w:cs="Times New Roman"/>
                <w:b/>
                <w:bCs/>
                <w:sz w:val="24"/>
                <w:szCs w:val="24"/>
                <w:lang w:eastAsia="sk-SK"/>
              </w:rPr>
              <w:t>51 697 671</w:t>
            </w:r>
          </w:p>
        </w:tc>
        <w:tc>
          <w:tcPr>
            <w:tcW w:w="1267" w:type="dxa"/>
            <w:noWrap/>
            <w:vAlign w:val="bottom"/>
          </w:tcPr>
          <w:p w:rsidR="00BD1C67" w:rsidRPr="00E035A0" w:rsidRDefault="00BD1C67" w:rsidP="007B2158">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54 106 782</w:t>
            </w:r>
          </w:p>
        </w:tc>
        <w:tc>
          <w:tcPr>
            <w:tcW w:w="1267" w:type="dxa"/>
            <w:noWrap/>
            <w:vAlign w:val="bottom"/>
          </w:tcPr>
          <w:p w:rsidR="00BD1C67" w:rsidRPr="00E035A0" w:rsidRDefault="00BD1C67" w:rsidP="007B2158">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56 411 731</w:t>
            </w:r>
          </w:p>
        </w:tc>
        <w:tc>
          <w:tcPr>
            <w:tcW w:w="1267" w:type="dxa"/>
            <w:noWrap/>
            <w:vAlign w:val="bottom"/>
          </w:tcPr>
          <w:p w:rsidR="00BD1C67" w:rsidRPr="00E035A0" w:rsidRDefault="00BD1C67" w:rsidP="007B2158">
            <w:pPr>
              <w:jc w:val="right"/>
              <w:rPr>
                <w:rFonts w:ascii="Times New Roman" w:eastAsia="Times New Roman" w:hAnsi="Times New Roman" w:cs="Times New Roman"/>
                <w:b/>
                <w:bCs/>
                <w:sz w:val="24"/>
                <w:szCs w:val="24"/>
                <w:lang w:eastAsia="sk-SK"/>
              </w:rPr>
            </w:pPr>
            <w:r w:rsidRPr="00E035A0">
              <w:rPr>
                <w:rFonts w:ascii="Times New Roman" w:eastAsia="Times New Roman" w:hAnsi="Times New Roman" w:cs="Times New Roman"/>
                <w:b/>
                <w:bCs/>
                <w:sz w:val="24"/>
                <w:szCs w:val="24"/>
                <w:lang w:eastAsia="sk-SK"/>
              </w:rPr>
              <w:t>58 938 977</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A7AC8" w:rsidRPr="007D5748" w:rsidTr="00797ED8">
        <w:trPr>
          <w:trHeight w:val="125"/>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125"/>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shd w:val="clear" w:color="auto" w:fill="BFBFBF" w:themeFill="background1" w:themeFillShade="BF"/>
            <w:noWrap/>
            <w:vAlign w:val="center"/>
          </w:tcPr>
          <w:p w:rsidR="00EA7AC8" w:rsidRPr="007D5748" w:rsidRDefault="00EA7AC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shd w:val="clear" w:color="auto" w:fill="BFBFBF" w:themeFill="background1" w:themeFillShade="BF"/>
            <w:noWrap/>
            <w:vAlign w:val="center"/>
          </w:tcPr>
          <w:p w:rsidR="00EA7AC8" w:rsidRPr="007D5748" w:rsidRDefault="00EA7AC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66AC3" w:rsidRPr="007D5748" w:rsidTr="00797ED8">
        <w:trPr>
          <w:trHeight w:val="70"/>
          <w:jc w:val="center"/>
        </w:trPr>
        <w:tc>
          <w:tcPr>
            <w:tcW w:w="4661" w:type="dxa"/>
            <w:shd w:val="clear" w:color="auto" w:fill="C0C0C0"/>
            <w:noWrap/>
            <w:vAlign w:val="center"/>
          </w:tcPr>
          <w:p w:rsidR="00666AC3" w:rsidRPr="007D5748" w:rsidRDefault="00666AC3"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666AC3" w:rsidRPr="007D5748" w:rsidRDefault="001B5339" w:rsidP="00797ED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49 536 036</w:t>
            </w:r>
          </w:p>
        </w:tc>
        <w:tc>
          <w:tcPr>
            <w:tcW w:w="1267" w:type="dxa"/>
            <w:shd w:val="clear" w:color="auto" w:fill="C0C0C0"/>
            <w:noWrap/>
            <w:vAlign w:val="center"/>
          </w:tcPr>
          <w:p w:rsidR="00666AC3" w:rsidRPr="007D5748" w:rsidRDefault="001B5339" w:rsidP="00FB647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49 536 036</w:t>
            </w:r>
          </w:p>
        </w:tc>
        <w:tc>
          <w:tcPr>
            <w:tcW w:w="1267" w:type="dxa"/>
            <w:shd w:val="clear" w:color="auto" w:fill="C0C0C0"/>
            <w:noWrap/>
            <w:vAlign w:val="center"/>
          </w:tcPr>
          <w:p w:rsidR="00666AC3" w:rsidRPr="007D5748" w:rsidRDefault="001B5339" w:rsidP="00FB647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49 536 036</w:t>
            </w:r>
          </w:p>
        </w:tc>
        <w:tc>
          <w:tcPr>
            <w:tcW w:w="1267" w:type="dxa"/>
            <w:shd w:val="clear" w:color="auto" w:fill="C0C0C0"/>
            <w:noWrap/>
            <w:vAlign w:val="center"/>
          </w:tcPr>
          <w:p w:rsidR="00666AC3" w:rsidRPr="007D5748" w:rsidRDefault="001B5339" w:rsidP="00FB647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49 536 036</w:t>
            </w:r>
          </w:p>
        </w:tc>
      </w:tr>
      <w:tr w:rsidR="00EA7AC8" w:rsidRPr="007D5748" w:rsidTr="00797ED8">
        <w:trPr>
          <w:trHeight w:val="70"/>
          <w:jc w:val="center"/>
        </w:trPr>
        <w:tc>
          <w:tcPr>
            <w:tcW w:w="4661" w:type="dxa"/>
            <w:noWrap/>
            <w:vAlign w:val="center"/>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EA7AC8" w:rsidRPr="007D5748" w:rsidRDefault="00EA7AC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A7AC8" w:rsidRPr="007D5748" w:rsidTr="00797ED8">
        <w:trPr>
          <w:trHeight w:val="70"/>
          <w:jc w:val="center"/>
        </w:trPr>
        <w:tc>
          <w:tcPr>
            <w:tcW w:w="4661" w:type="dxa"/>
            <w:shd w:val="clear" w:color="auto" w:fill="BFBFBF" w:themeFill="background1" w:themeFillShade="BF"/>
            <w:noWrap/>
            <w:vAlign w:val="center"/>
          </w:tcPr>
          <w:p w:rsidR="00EA7AC8" w:rsidRPr="007D5748" w:rsidRDefault="00EA7AC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EA7AC8" w:rsidRPr="007D5748" w:rsidRDefault="00EA7AC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D1C67" w:rsidRPr="007D5748" w:rsidTr="00FB6478">
        <w:trPr>
          <w:trHeight w:val="70"/>
          <w:jc w:val="center"/>
        </w:trPr>
        <w:tc>
          <w:tcPr>
            <w:tcW w:w="4661" w:type="dxa"/>
            <w:shd w:val="clear" w:color="auto" w:fill="A6A6A6" w:themeFill="background1" w:themeFillShade="A6"/>
            <w:noWrap/>
            <w:vAlign w:val="center"/>
          </w:tcPr>
          <w:p w:rsidR="00BD1C67" w:rsidRPr="007D5748" w:rsidRDefault="00BD1C67"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bottom"/>
          </w:tcPr>
          <w:p w:rsidR="00BD1C67" w:rsidRPr="00BD1C67" w:rsidRDefault="00BD1C67">
            <w:pPr>
              <w:jc w:val="right"/>
              <w:rPr>
                <w:rFonts w:ascii="Times New Roman" w:eastAsia="Times New Roman" w:hAnsi="Times New Roman" w:cs="Times New Roman"/>
                <w:b/>
                <w:bCs/>
                <w:sz w:val="24"/>
                <w:szCs w:val="24"/>
                <w:lang w:eastAsia="sk-SK"/>
              </w:rPr>
            </w:pPr>
            <w:r w:rsidRPr="00BD1C67">
              <w:rPr>
                <w:rFonts w:ascii="Times New Roman" w:eastAsia="Times New Roman" w:hAnsi="Times New Roman" w:cs="Times New Roman"/>
                <w:b/>
                <w:bCs/>
                <w:sz w:val="24"/>
                <w:szCs w:val="24"/>
                <w:lang w:eastAsia="sk-SK"/>
              </w:rPr>
              <w:t>2 161 635</w:t>
            </w:r>
          </w:p>
        </w:tc>
        <w:tc>
          <w:tcPr>
            <w:tcW w:w="1267" w:type="dxa"/>
            <w:shd w:val="clear" w:color="auto" w:fill="A6A6A6" w:themeFill="background1" w:themeFillShade="A6"/>
            <w:noWrap/>
            <w:vAlign w:val="bottom"/>
          </w:tcPr>
          <w:p w:rsidR="00BD1C67" w:rsidRPr="00BD1C67" w:rsidRDefault="00BD1C67">
            <w:pPr>
              <w:jc w:val="right"/>
              <w:rPr>
                <w:rFonts w:ascii="Times New Roman" w:eastAsia="Times New Roman" w:hAnsi="Times New Roman" w:cs="Times New Roman"/>
                <w:b/>
                <w:bCs/>
                <w:sz w:val="24"/>
                <w:szCs w:val="24"/>
                <w:lang w:eastAsia="sk-SK"/>
              </w:rPr>
            </w:pPr>
            <w:r w:rsidRPr="00BD1C67">
              <w:rPr>
                <w:rFonts w:ascii="Times New Roman" w:eastAsia="Times New Roman" w:hAnsi="Times New Roman" w:cs="Times New Roman"/>
                <w:b/>
                <w:bCs/>
                <w:sz w:val="24"/>
                <w:szCs w:val="24"/>
                <w:lang w:eastAsia="sk-SK"/>
              </w:rPr>
              <w:t>4 570 746</w:t>
            </w:r>
          </w:p>
        </w:tc>
        <w:tc>
          <w:tcPr>
            <w:tcW w:w="1267" w:type="dxa"/>
            <w:shd w:val="clear" w:color="auto" w:fill="A6A6A6" w:themeFill="background1" w:themeFillShade="A6"/>
            <w:noWrap/>
            <w:vAlign w:val="bottom"/>
          </w:tcPr>
          <w:p w:rsidR="00BD1C67" w:rsidRPr="00BD1C67" w:rsidRDefault="00BD1C67">
            <w:pPr>
              <w:jc w:val="right"/>
              <w:rPr>
                <w:rFonts w:ascii="Times New Roman" w:eastAsia="Times New Roman" w:hAnsi="Times New Roman" w:cs="Times New Roman"/>
                <w:b/>
                <w:bCs/>
                <w:sz w:val="24"/>
                <w:szCs w:val="24"/>
                <w:lang w:eastAsia="sk-SK"/>
              </w:rPr>
            </w:pPr>
            <w:r w:rsidRPr="00BD1C67">
              <w:rPr>
                <w:rFonts w:ascii="Times New Roman" w:eastAsia="Times New Roman" w:hAnsi="Times New Roman" w:cs="Times New Roman"/>
                <w:b/>
                <w:bCs/>
                <w:sz w:val="24"/>
                <w:szCs w:val="24"/>
                <w:lang w:eastAsia="sk-SK"/>
              </w:rPr>
              <w:t>6 875 695</w:t>
            </w:r>
          </w:p>
        </w:tc>
        <w:tc>
          <w:tcPr>
            <w:tcW w:w="1267" w:type="dxa"/>
            <w:shd w:val="clear" w:color="auto" w:fill="A6A6A6" w:themeFill="background1" w:themeFillShade="A6"/>
            <w:noWrap/>
            <w:vAlign w:val="bottom"/>
          </w:tcPr>
          <w:p w:rsidR="00BD1C67" w:rsidRPr="00BD1C67" w:rsidRDefault="00BD1C67">
            <w:pPr>
              <w:jc w:val="right"/>
              <w:rPr>
                <w:rFonts w:ascii="Times New Roman" w:eastAsia="Times New Roman" w:hAnsi="Times New Roman" w:cs="Times New Roman"/>
                <w:b/>
                <w:bCs/>
                <w:sz w:val="24"/>
                <w:szCs w:val="24"/>
                <w:lang w:eastAsia="sk-SK"/>
              </w:rPr>
            </w:pPr>
            <w:r w:rsidRPr="00BD1C67">
              <w:rPr>
                <w:rFonts w:ascii="Times New Roman" w:eastAsia="Times New Roman" w:hAnsi="Times New Roman" w:cs="Times New Roman"/>
                <w:b/>
                <w:bCs/>
                <w:sz w:val="24"/>
                <w:szCs w:val="24"/>
                <w:lang w:eastAsia="sk-SK"/>
              </w:rPr>
              <w:t>9 402 941</w:t>
            </w:r>
          </w:p>
        </w:tc>
      </w:tr>
      <w:bookmarkEnd w:id="1"/>
    </w:tbl>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E7576D"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 kapitoly M</w:t>
      </w:r>
      <w:r w:rsidR="00EA7AC8">
        <w:rPr>
          <w:rFonts w:ascii="Times New Roman" w:eastAsia="Times New Roman" w:hAnsi="Times New Roman" w:cs="Times New Roman"/>
          <w:b/>
          <w:bCs/>
          <w:sz w:val="24"/>
          <w:szCs w:val="24"/>
          <w:lang w:eastAsia="sk-SK"/>
        </w:rPr>
        <w:t>K</w:t>
      </w:r>
      <w:r>
        <w:rPr>
          <w:rFonts w:ascii="Times New Roman" w:eastAsia="Times New Roman" w:hAnsi="Times New Roman" w:cs="Times New Roman"/>
          <w:b/>
          <w:bCs/>
          <w:sz w:val="24"/>
          <w:szCs w:val="24"/>
          <w:lang w:eastAsia="sk-SK"/>
        </w:rPr>
        <w:t xml:space="preserve"> SR</w:t>
      </w:r>
      <w:r w:rsidR="004A2712">
        <w:rPr>
          <w:rFonts w:ascii="Times New Roman" w:eastAsia="Times New Roman" w:hAnsi="Times New Roman" w:cs="Times New Roman"/>
          <w:b/>
          <w:bCs/>
          <w:sz w:val="24"/>
          <w:szCs w:val="24"/>
          <w:lang w:eastAsia="sk-SK"/>
        </w:rPr>
        <w:t xml:space="preserve"> podľa </w:t>
      </w:r>
      <w:r w:rsidR="009A755D">
        <w:rPr>
          <w:rFonts w:ascii="Times New Roman" w:eastAsia="Times New Roman" w:hAnsi="Times New Roman" w:cs="Times New Roman"/>
          <w:b/>
          <w:bCs/>
          <w:sz w:val="24"/>
          <w:szCs w:val="24"/>
          <w:lang w:eastAsia="sk-SK"/>
        </w:rPr>
        <w:t>očakávaného rozpočtu na rok 2020</w:t>
      </w:r>
      <w:r w:rsidR="004A2712">
        <w:rPr>
          <w:rFonts w:ascii="Times New Roman" w:eastAsia="Times New Roman" w:hAnsi="Times New Roman" w:cs="Times New Roman"/>
          <w:b/>
          <w:bCs/>
          <w:sz w:val="24"/>
          <w:szCs w:val="24"/>
          <w:lang w:eastAsia="sk-SK"/>
        </w:rPr>
        <w:t>.</w:t>
      </w:r>
      <w:r w:rsidR="00446450">
        <w:rPr>
          <w:rFonts w:ascii="Times New Roman" w:eastAsia="Times New Roman" w:hAnsi="Times New Roman" w:cs="Times New Roman"/>
          <w:b/>
          <w:bCs/>
          <w:sz w:val="24"/>
          <w:szCs w:val="24"/>
          <w:lang w:eastAsia="sk-SK"/>
        </w:rPr>
        <w:t xml:space="preserve"> S</w:t>
      </w:r>
      <w:r w:rsidR="00446450" w:rsidRPr="00446450">
        <w:rPr>
          <w:rFonts w:ascii="Times New Roman" w:eastAsia="Times New Roman" w:hAnsi="Times New Roman" w:cs="Times New Roman"/>
          <w:b/>
          <w:bCs/>
          <w:sz w:val="24"/>
          <w:szCs w:val="24"/>
          <w:lang w:eastAsia="sk-SK"/>
        </w:rPr>
        <w:t>uma rozpočtovo krytých prostriedkov bola v súlade s pripravovaným Návrhom rozpočtu verejnej správy na roky 2020 až 2022 stanovená na  49 536 036 Eur. Táto suma bola ponechaná ako odhad aj na rok 2023.</w:t>
      </w:r>
      <w:r w:rsidR="00506C2C">
        <w:rPr>
          <w:rFonts w:ascii="Times New Roman" w:eastAsia="Times New Roman" w:hAnsi="Times New Roman" w:cs="Times New Roman"/>
          <w:b/>
          <w:bCs/>
          <w:sz w:val="24"/>
          <w:szCs w:val="24"/>
          <w:lang w:eastAsia="sk-SK"/>
        </w:rPr>
        <w:t xml:space="preserve"> </w:t>
      </w:r>
      <w:r w:rsidR="00506C2C" w:rsidRPr="00506C2C">
        <w:rPr>
          <w:rFonts w:ascii="Times New Roman" w:eastAsia="Times New Roman" w:hAnsi="Times New Roman" w:cs="Times New Roman"/>
          <w:b/>
          <w:bCs/>
          <w:sz w:val="24"/>
          <w:szCs w:val="24"/>
          <w:lang w:eastAsia="sk-SK"/>
        </w:rPr>
        <w:t>Rozpočtovo nekrytý vplyv bude riešený pri príprave rozpočtu verejnej správy na príslušný rozpočtový rok.</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185D49" w:rsidRDefault="00185D49" w:rsidP="007D5748">
      <w:pPr>
        <w:spacing w:after="0" w:line="240" w:lineRule="auto"/>
        <w:ind w:firstLine="708"/>
        <w:jc w:val="both"/>
        <w:rPr>
          <w:rFonts w:ascii="Times New Roman" w:eastAsia="Times New Roman" w:hAnsi="Times New Roman" w:cs="Times New Roman"/>
          <w:sz w:val="24"/>
          <w:szCs w:val="24"/>
          <w:lang w:eastAsia="sk-SK"/>
        </w:rPr>
      </w:pPr>
    </w:p>
    <w:p w:rsidR="00185D49" w:rsidRPr="007D5748" w:rsidRDefault="00185D49" w:rsidP="007D5748">
      <w:pPr>
        <w:spacing w:after="0" w:line="240" w:lineRule="auto"/>
        <w:ind w:firstLine="708"/>
        <w:jc w:val="both"/>
        <w:rPr>
          <w:rFonts w:ascii="Times New Roman" w:eastAsia="Times New Roman" w:hAnsi="Times New Roman" w:cs="Times New Roman"/>
          <w:sz w:val="24"/>
          <w:szCs w:val="24"/>
          <w:lang w:eastAsia="sk-SK"/>
        </w:rPr>
      </w:pPr>
      <w:r w:rsidRPr="00FB6478">
        <w:rPr>
          <w:rFonts w:ascii="Times New Roman" w:hAnsi="Times New Roman"/>
          <w:sz w:val="24"/>
          <w:szCs w:val="24"/>
        </w:rPr>
        <w:t>Cieľom predloženého návrhu zákona je upraviť podporu činnosti registrovaných cirkví a náboženských spoločností (ďalej len „cirkvi“) zo strany štátu. Podľa predloženého návrhu zákona bude štát napomáhať činnosti cirkví poskytovaním príspevku štátu, ktorým sa na účely tohto zákona rozumie suma (súhrn) finančných prostriedkov poskytovaných zo štátneho rozpočtu všetkým cirkvám, a ktorá bude následne podľa tohto návrhu rozdelená medzi jednotlivé cirkvi.</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EA7AC8">
        <w:rPr>
          <w:rFonts w:ascii="Times New Roman" w:eastAsia="Times New Roman" w:hAnsi="Times New Roman" w:cs="Times New Roman"/>
          <w:b/>
          <w:sz w:val="24"/>
          <w:szCs w:val="24"/>
          <w:bdr w:val="single" w:sz="4" w:space="0" w:color="auto"/>
          <w:lang w:eastAsia="sk-SK"/>
        </w:rPr>
        <w:t>x</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97ED8">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797ED8">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97ED8">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97ED8">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97ED8">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022D69">
      <w:pPr>
        <w:spacing w:after="0" w:line="240" w:lineRule="auto"/>
        <w:ind w:firstLine="708"/>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185D49" w:rsidRDefault="00185D49"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66003" w:rsidRPr="0073596B" w:rsidRDefault="0023640E" w:rsidP="00022D69">
      <w:pPr>
        <w:ind w:firstLine="708"/>
        <w:rPr>
          <w:rFonts w:ascii="Times New Roman" w:hAnsi="Times New Roman"/>
          <w:sz w:val="24"/>
          <w:szCs w:val="24"/>
        </w:rPr>
      </w:pPr>
      <w:r w:rsidRPr="00AD20CF">
        <w:rPr>
          <w:rFonts w:ascii="Times New Roman" w:hAnsi="Times New Roman"/>
          <w:sz w:val="24"/>
          <w:szCs w:val="24"/>
        </w:rPr>
        <w:t>Príspevok vychádza zo sumy finančných prostriedkov, ktorú štát cirkvám poskyt</w:t>
      </w:r>
      <w:r w:rsidR="00797ED8">
        <w:rPr>
          <w:rFonts w:ascii="Times New Roman" w:hAnsi="Times New Roman"/>
          <w:sz w:val="24"/>
          <w:szCs w:val="24"/>
        </w:rPr>
        <w:t xml:space="preserve">ne podľa </w:t>
      </w:r>
      <w:r w:rsidR="00766003">
        <w:rPr>
          <w:rFonts w:ascii="Times New Roman" w:hAnsi="Times New Roman"/>
          <w:sz w:val="24"/>
          <w:szCs w:val="24"/>
        </w:rPr>
        <w:t>rozpočtu na rok 2019 (Príloha 1</w:t>
      </w:r>
      <w:r w:rsidR="00797ED8">
        <w:rPr>
          <w:rFonts w:ascii="Times New Roman" w:hAnsi="Times New Roman"/>
          <w:sz w:val="24"/>
          <w:szCs w:val="24"/>
        </w:rPr>
        <w:t>)</w:t>
      </w:r>
      <w:r w:rsidRPr="00AD20CF">
        <w:rPr>
          <w:rFonts w:ascii="Times New Roman" w:hAnsi="Times New Roman"/>
          <w:sz w:val="24"/>
          <w:szCs w:val="24"/>
        </w:rPr>
        <w:t>.</w:t>
      </w:r>
      <w:r w:rsidR="00185D49" w:rsidRPr="0073596B">
        <w:rPr>
          <w:rFonts w:ascii="Times New Roman" w:hAnsi="Times New Roman"/>
          <w:sz w:val="24"/>
          <w:szCs w:val="24"/>
        </w:rPr>
        <w:t xml:space="preserve"> </w:t>
      </w:r>
    </w:p>
    <w:p w:rsidR="009A755D" w:rsidRPr="0073596B" w:rsidRDefault="00797ED8" w:rsidP="00022D69">
      <w:pPr>
        <w:ind w:firstLine="708"/>
        <w:rPr>
          <w:rFonts w:ascii="Times New Roman" w:hAnsi="Times New Roman"/>
          <w:sz w:val="24"/>
          <w:szCs w:val="24"/>
        </w:rPr>
      </w:pPr>
      <w:r w:rsidRPr="0073596B">
        <w:rPr>
          <w:rFonts w:ascii="Times New Roman" w:hAnsi="Times New Roman"/>
          <w:sz w:val="24"/>
          <w:szCs w:val="24"/>
        </w:rPr>
        <w:t>V každom nasledujúcom roku dôjde k automatickému z</w:t>
      </w:r>
      <w:r w:rsidR="00185D49" w:rsidRPr="0073596B">
        <w:rPr>
          <w:rFonts w:ascii="Times New Roman" w:hAnsi="Times New Roman"/>
          <w:sz w:val="24"/>
          <w:szCs w:val="24"/>
        </w:rPr>
        <w:t>v</w:t>
      </w:r>
      <w:r w:rsidRPr="0073596B">
        <w:rPr>
          <w:rFonts w:ascii="Times New Roman" w:hAnsi="Times New Roman"/>
          <w:sz w:val="24"/>
          <w:szCs w:val="24"/>
        </w:rPr>
        <w:t>ýšen</w:t>
      </w:r>
      <w:r w:rsidR="00185D49" w:rsidRPr="0073596B">
        <w:rPr>
          <w:rFonts w:ascii="Times New Roman" w:hAnsi="Times New Roman"/>
          <w:sz w:val="24"/>
          <w:szCs w:val="24"/>
        </w:rPr>
        <w:t>i</w:t>
      </w:r>
      <w:r w:rsidRPr="0073596B">
        <w:rPr>
          <w:rFonts w:ascii="Times New Roman" w:hAnsi="Times New Roman"/>
          <w:sz w:val="24"/>
          <w:szCs w:val="24"/>
        </w:rPr>
        <w:t>u celkového príspevku (teda sumy príspevkov pre jednotlivé cirkvi)</w:t>
      </w:r>
      <w:r w:rsidR="009E46B3" w:rsidRPr="0073596B">
        <w:rPr>
          <w:rFonts w:ascii="Times New Roman" w:hAnsi="Times New Roman"/>
          <w:sz w:val="24"/>
          <w:szCs w:val="24"/>
        </w:rPr>
        <w:t xml:space="preserve"> podľa vzorca</w:t>
      </w:r>
    </w:p>
    <w:p w:rsidR="002C3D10" w:rsidRDefault="009E46B3" w:rsidP="005A2AA9">
      <w:pPr>
        <w:ind w:firstLine="708"/>
        <w:rPr>
          <w:rFonts w:ascii="Times New Roman" w:hAnsi="Times New Roman"/>
          <w:sz w:val="24"/>
          <w:szCs w:val="24"/>
        </w:rPr>
      </w:pPr>
      <w:r w:rsidRPr="0073596B">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t-1</m:t>
            </m:r>
          </m:sub>
        </m:sSub>
        <m:r>
          <m:rPr>
            <m:sty m:val="p"/>
          </m:rPr>
          <w:rPr>
            <w:rFonts w:ascii="Cambria Math" w:hAnsi="Cambria Math"/>
            <w:sz w:val="24"/>
            <w:szCs w:val="24"/>
          </w:rPr>
          <m:t>×0,2×</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t-1</m:t>
            </m:r>
          </m:sub>
        </m:sSub>
        <m:r>
          <m:rPr>
            <m:sty m:val="p"/>
          </m:rPr>
          <w:rPr>
            <w:rFonts w:ascii="Cambria Math" w:hAnsi="Cambria Math"/>
            <w:sz w:val="24"/>
            <w:szCs w:val="24"/>
          </w:rPr>
          <m:t xml:space="preserve"> ×0,8 ×(1+ </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t</m:t>
            </m:r>
          </m:sub>
        </m:sSub>
        <m:r>
          <m:rPr>
            <m:sty m:val="p"/>
          </m:rPr>
          <w:rPr>
            <w:rFonts w:ascii="Cambria Math" w:hAnsi="Cambria Math"/>
            <w:sz w:val="24"/>
            <w:szCs w:val="24"/>
          </w:rPr>
          <m:t>)</m:t>
        </m:r>
      </m:oMath>
    </w:p>
    <w:p w:rsidR="00CF6EDB" w:rsidRDefault="00CF6EDB" w:rsidP="002C3D10">
      <w:pPr>
        <w:rPr>
          <w:rFonts w:ascii="Times New Roman" w:hAnsi="Times New Roman"/>
          <w:sz w:val="24"/>
          <w:szCs w:val="24"/>
        </w:rPr>
      </w:pPr>
      <w:r>
        <w:rPr>
          <w:rFonts w:ascii="Times New Roman" w:hAnsi="Times New Roman"/>
          <w:sz w:val="24"/>
          <w:szCs w:val="24"/>
        </w:rPr>
        <w:t>Koeficienty 0,2 a 0,8 odrážajú skutočnosť, že</w:t>
      </w:r>
      <w:r w:rsidR="00A20CBF">
        <w:rPr>
          <w:rFonts w:ascii="Times New Roman" w:hAnsi="Times New Roman"/>
          <w:sz w:val="24"/>
          <w:szCs w:val="24"/>
        </w:rPr>
        <w:t xml:space="preserve"> typicky cca</w:t>
      </w:r>
      <w:r>
        <w:rPr>
          <w:rFonts w:ascii="Times New Roman" w:hAnsi="Times New Roman"/>
          <w:sz w:val="24"/>
          <w:szCs w:val="24"/>
        </w:rPr>
        <w:t xml:space="preserve"> 80 % príspevku štátu ide na mzdy a 20 % na prevád</w:t>
      </w:r>
      <w:r w:rsidR="00A20CBF">
        <w:rPr>
          <w:rFonts w:ascii="Times New Roman" w:hAnsi="Times New Roman"/>
          <w:sz w:val="24"/>
          <w:szCs w:val="24"/>
        </w:rPr>
        <w:t>zku ústredí. Valorizácia sa potom</w:t>
      </w:r>
      <w:r>
        <w:rPr>
          <w:rFonts w:ascii="Times New Roman" w:hAnsi="Times New Roman"/>
          <w:sz w:val="24"/>
          <w:szCs w:val="24"/>
        </w:rPr>
        <w:t xml:space="preserve"> </w:t>
      </w:r>
      <w:r w:rsidR="00A20CBF">
        <w:rPr>
          <w:rFonts w:ascii="Times New Roman" w:hAnsi="Times New Roman"/>
          <w:sz w:val="24"/>
          <w:szCs w:val="24"/>
        </w:rPr>
        <w:t xml:space="preserve">vo vzorci </w:t>
      </w:r>
      <w:r>
        <w:rPr>
          <w:rFonts w:ascii="Times New Roman" w:hAnsi="Times New Roman"/>
          <w:sz w:val="24"/>
          <w:szCs w:val="24"/>
        </w:rPr>
        <w:t xml:space="preserve">zohľadňuje iba v tej časti príspevku štátu, ktorá ide na mzdy. </w:t>
      </w:r>
      <w:r w:rsidR="00A20CBF">
        <w:rPr>
          <w:rFonts w:ascii="Times New Roman" w:hAnsi="Times New Roman"/>
          <w:sz w:val="24"/>
          <w:szCs w:val="24"/>
        </w:rPr>
        <w:t xml:space="preserve">Pomerné rozdelenie príspevku štátu </w:t>
      </w:r>
      <w:r w:rsidR="005A2AA9">
        <w:rPr>
          <w:rFonts w:ascii="Times New Roman" w:hAnsi="Times New Roman"/>
          <w:sz w:val="24"/>
          <w:szCs w:val="24"/>
        </w:rPr>
        <w:t xml:space="preserve">na mzdové a prevádzkové náklady </w:t>
      </w:r>
      <w:r w:rsidR="00A20CBF">
        <w:rPr>
          <w:rFonts w:ascii="Times New Roman" w:hAnsi="Times New Roman"/>
          <w:sz w:val="24"/>
          <w:szCs w:val="24"/>
        </w:rPr>
        <w:t>za posledných 5 rokov bolo nasledovné:</w:t>
      </w:r>
    </w:p>
    <w:tbl>
      <w:tblPr>
        <w:tblW w:w="9157" w:type="dxa"/>
        <w:tblInd w:w="55" w:type="dxa"/>
        <w:tblCellMar>
          <w:left w:w="70" w:type="dxa"/>
          <w:right w:w="70" w:type="dxa"/>
        </w:tblCellMar>
        <w:tblLook w:val="04A0" w:firstRow="1" w:lastRow="0" w:firstColumn="1" w:lastColumn="0" w:noHBand="0" w:noVBand="1"/>
      </w:tblPr>
      <w:tblGrid>
        <w:gridCol w:w="2710"/>
        <w:gridCol w:w="1288"/>
        <w:gridCol w:w="1289"/>
        <w:gridCol w:w="1290"/>
        <w:gridCol w:w="1290"/>
        <w:gridCol w:w="1290"/>
      </w:tblGrid>
      <w:tr w:rsidR="00A20CBF" w:rsidRPr="00A20CBF" w:rsidTr="00A20CBF">
        <w:trPr>
          <w:trHeight w:val="402"/>
        </w:trPr>
        <w:tc>
          <w:tcPr>
            <w:tcW w:w="2710" w:type="dxa"/>
            <w:tcBorders>
              <w:top w:val="single" w:sz="4" w:space="0" w:color="auto"/>
              <w:left w:val="single" w:sz="4" w:space="0" w:color="auto"/>
              <w:bottom w:val="nil"/>
              <w:right w:val="single" w:sz="8" w:space="0" w:color="auto"/>
            </w:tcBorders>
            <w:shd w:val="clear" w:color="auto" w:fill="auto"/>
            <w:noWrap/>
            <w:vAlign w:val="center"/>
            <w:hideMark/>
          </w:tcPr>
          <w:p w:rsidR="00A20CBF" w:rsidRPr="00A20CBF" w:rsidRDefault="00A20CBF" w:rsidP="00A20CBF">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Rok</w:t>
            </w:r>
          </w:p>
        </w:tc>
        <w:tc>
          <w:tcPr>
            <w:tcW w:w="1288" w:type="dxa"/>
            <w:tcBorders>
              <w:top w:val="single" w:sz="4" w:space="0" w:color="auto"/>
              <w:left w:val="single" w:sz="4" w:space="0" w:color="auto"/>
              <w:bottom w:val="nil"/>
              <w:right w:val="single" w:sz="8"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2014</w:t>
            </w:r>
          </w:p>
        </w:tc>
        <w:tc>
          <w:tcPr>
            <w:tcW w:w="1289" w:type="dxa"/>
            <w:tcBorders>
              <w:top w:val="single" w:sz="4" w:space="0" w:color="auto"/>
              <w:left w:val="single" w:sz="4" w:space="0" w:color="auto"/>
              <w:bottom w:val="nil"/>
              <w:right w:val="single" w:sz="8"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2015</w:t>
            </w:r>
          </w:p>
        </w:tc>
        <w:tc>
          <w:tcPr>
            <w:tcW w:w="1290" w:type="dxa"/>
            <w:tcBorders>
              <w:top w:val="single" w:sz="4" w:space="0" w:color="auto"/>
              <w:left w:val="single" w:sz="4" w:space="0" w:color="auto"/>
              <w:bottom w:val="nil"/>
              <w:right w:val="single" w:sz="8"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2016</w:t>
            </w:r>
          </w:p>
        </w:tc>
        <w:tc>
          <w:tcPr>
            <w:tcW w:w="1290" w:type="dxa"/>
            <w:tcBorders>
              <w:top w:val="single" w:sz="4" w:space="0" w:color="auto"/>
              <w:left w:val="single" w:sz="4" w:space="0" w:color="auto"/>
              <w:bottom w:val="nil"/>
              <w:right w:val="single" w:sz="8"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2017</w:t>
            </w:r>
          </w:p>
        </w:tc>
        <w:tc>
          <w:tcPr>
            <w:tcW w:w="1290" w:type="dxa"/>
            <w:tcBorders>
              <w:top w:val="single" w:sz="4" w:space="0" w:color="auto"/>
              <w:left w:val="single" w:sz="4" w:space="0" w:color="auto"/>
              <w:bottom w:val="nil"/>
              <w:right w:val="single" w:sz="8"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2018</w:t>
            </w:r>
          </w:p>
        </w:tc>
      </w:tr>
      <w:tr w:rsidR="00A20CBF" w:rsidRPr="00A20CBF" w:rsidTr="00A20CBF">
        <w:trPr>
          <w:trHeight w:val="402"/>
        </w:trPr>
        <w:tc>
          <w:tcPr>
            <w:tcW w:w="271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20CBF" w:rsidRPr="00A20CBF" w:rsidRDefault="00A20CBF" w:rsidP="00A20CBF">
            <w:pPr>
              <w:spacing w:after="0" w:line="240" w:lineRule="auto"/>
              <w:rPr>
                <w:rFonts w:ascii="Arial" w:eastAsia="Times New Roman" w:hAnsi="Arial" w:cs="Arial"/>
                <w:b/>
                <w:bCs/>
                <w:sz w:val="20"/>
                <w:szCs w:val="20"/>
                <w:lang w:eastAsia="sk-SK"/>
              </w:rPr>
            </w:pPr>
            <w:r w:rsidRPr="00A20CBF">
              <w:rPr>
                <w:rFonts w:ascii="Arial" w:eastAsia="Times New Roman" w:hAnsi="Arial" w:cs="Arial"/>
                <w:b/>
                <w:bCs/>
                <w:sz w:val="20"/>
                <w:szCs w:val="20"/>
                <w:lang w:eastAsia="sk-SK"/>
              </w:rPr>
              <w:t xml:space="preserve">Spolu €  </w:t>
            </w:r>
          </w:p>
        </w:tc>
        <w:tc>
          <w:tcPr>
            <w:tcW w:w="1288" w:type="dxa"/>
            <w:tcBorders>
              <w:top w:val="single" w:sz="8" w:space="0" w:color="auto"/>
              <w:left w:val="single" w:sz="4" w:space="0" w:color="auto"/>
              <w:bottom w:val="single" w:sz="8" w:space="0" w:color="auto"/>
              <w:right w:val="single" w:sz="8" w:space="0" w:color="auto"/>
            </w:tcBorders>
            <w:vAlign w:val="bottom"/>
          </w:tcPr>
          <w:p w:rsidR="00A20CBF" w:rsidRDefault="00A20CBF" w:rsidP="00A20CBF">
            <w:pPr>
              <w:jc w:val="right"/>
              <w:rPr>
                <w:rFonts w:ascii="Arial" w:hAnsi="Arial" w:cs="Arial"/>
                <w:b/>
                <w:bCs/>
                <w:sz w:val="20"/>
                <w:szCs w:val="20"/>
              </w:rPr>
            </w:pPr>
            <w:r>
              <w:rPr>
                <w:rFonts w:ascii="Arial" w:hAnsi="Arial" w:cs="Arial"/>
                <w:b/>
                <w:bCs/>
                <w:sz w:val="20"/>
                <w:szCs w:val="20"/>
              </w:rPr>
              <w:t>38 492 510</w:t>
            </w:r>
          </w:p>
        </w:tc>
        <w:tc>
          <w:tcPr>
            <w:tcW w:w="1289" w:type="dxa"/>
            <w:tcBorders>
              <w:top w:val="single" w:sz="8" w:space="0" w:color="auto"/>
              <w:left w:val="single" w:sz="4" w:space="0" w:color="auto"/>
              <w:bottom w:val="single" w:sz="8" w:space="0" w:color="auto"/>
              <w:right w:val="single" w:sz="8" w:space="0" w:color="auto"/>
            </w:tcBorders>
            <w:vAlign w:val="bottom"/>
          </w:tcPr>
          <w:p w:rsidR="00A20CBF" w:rsidRDefault="00A20CBF" w:rsidP="00A20CBF">
            <w:pPr>
              <w:jc w:val="right"/>
              <w:rPr>
                <w:rFonts w:ascii="Arial" w:hAnsi="Arial" w:cs="Arial"/>
                <w:b/>
                <w:bCs/>
                <w:sz w:val="20"/>
                <w:szCs w:val="20"/>
              </w:rPr>
            </w:pPr>
            <w:r>
              <w:rPr>
                <w:rFonts w:ascii="Arial" w:hAnsi="Arial" w:cs="Arial"/>
                <w:b/>
                <w:bCs/>
                <w:sz w:val="20"/>
                <w:szCs w:val="20"/>
              </w:rPr>
              <w:t>38 949 895</w:t>
            </w:r>
          </w:p>
        </w:tc>
        <w:tc>
          <w:tcPr>
            <w:tcW w:w="1290" w:type="dxa"/>
            <w:tcBorders>
              <w:top w:val="single" w:sz="8" w:space="0" w:color="auto"/>
              <w:left w:val="single" w:sz="4" w:space="0" w:color="auto"/>
              <w:bottom w:val="single" w:sz="8" w:space="0" w:color="auto"/>
              <w:right w:val="single" w:sz="8" w:space="0" w:color="auto"/>
            </w:tcBorders>
            <w:vAlign w:val="bottom"/>
          </w:tcPr>
          <w:p w:rsidR="00A20CBF" w:rsidRDefault="00A20CBF" w:rsidP="00A20CBF">
            <w:pPr>
              <w:jc w:val="right"/>
              <w:rPr>
                <w:rFonts w:ascii="Arial" w:hAnsi="Arial" w:cs="Arial"/>
                <w:b/>
                <w:bCs/>
                <w:sz w:val="20"/>
                <w:szCs w:val="20"/>
              </w:rPr>
            </w:pPr>
            <w:r>
              <w:rPr>
                <w:rFonts w:ascii="Arial" w:hAnsi="Arial" w:cs="Arial"/>
                <w:b/>
                <w:bCs/>
                <w:sz w:val="20"/>
                <w:szCs w:val="20"/>
              </w:rPr>
              <w:t>40 054 154</w:t>
            </w:r>
          </w:p>
        </w:tc>
        <w:tc>
          <w:tcPr>
            <w:tcW w:w="1290" w:type="dxa"/>
            <w:tcBorders>
              <w:top w:val="single" w:sz="8" w:space="0" w:color="auto"/>
              <w:left w:val="single" w:sz="4" w:space="0" w:color="auto"/>
              <w:bottom w:val="single" w:sz="8" w:space="0" w:color="auto"/>
              <w:right w:val="single" w:sz="8" w:space="0" w:color="auto"/>
            </w:tcBorders>
            <w:vAlign w:val="bottom"/>
          </w:tcPr>
          <w:p w:rsidR="00A20CBF" w:rsidRDefault="00A20CBF" w:rsidP="00A20CBF">
            <w:pPr>
              <w:jc w:val="right"/>
              <w:rPr>
                <w:rFonts w:ascii="Arial" w:hAnsi="Arial" w:cs="Arial"/>
                <w:b/>
                <w:bCs/>
                <w:sz w:val="20"/>
                <w:szCs w:val="20"/>
              </w:rPr>
            </w:pPr>
            <w:r>
              <w:rPr>
                <w:rFonts w:ascii="Arial" w:hAnsi="Arial" w:cs="Arial"/>
                <w:b/>
                <w:bCs/>
                <w:sz w:val="20"/>
                <w:szCs w:val="20"/>
              </w:rPr>
              <w:t>41 180 390</w:t>
            </w:r>
          </w:p>
        </w:tc>
        <w:tc>
          <w:tcPr>
            <w:tcW w:w="1290" w:type="dxa"/>
            <w:tcBorders>
              <w:top w:val="single" w:sz="8" w:space="0" w:color="auto"/>
              <w:left w:val="single" w:sz="4" w:space="0" w:color="auto"/>
              <w:bottom w:val="single" w:sz="8" w:space="0" w:color="auto"/>
              <w:right w:val="single" w:sz="8" w:space="0" w:color="auto"/>
            </w:tcBorders>
            <w:vAlign w:val="bottom"/>
          </w:tcPr>
          <w:p w:rsidR="00A20CBF" w:rsidRDefault="00A20CBF" w:rsidP="00A20CBF">
            <w:pPr>
              <w:jc w:val="right"/>
              <w:rPr>
                <w:rFonts w:ascii="Arial" w:hAnsi="Arial" w:cs="Arial"/>
                <w:b/>
                <w:bCs/>
                <w:sz w:val="20"/>
                <w:szCs w:val="20"/>
              </w:rPr>
            </w:pPr>
            <w:r>
              <w:rPr>
                <w:rFonts w:ascii="Arial" w:hAnsi="Arial" w:cs="Arial"/>
                <w:b/>
                <w:bCs/>
                <w:sz w:val="20"/>
                <w:szCs w:val="20"/>
              </w:rPr>
              <w:t>44 594 684</w:t>
            </w:r>
          </w:p>
        </w:tc>
      </w:tr>
      <w:tr w:rsidR="00A20CBF" w:rsidRPr="00A20CBF" w:rsidTr="00A20CBF">
        <w:trPr>
          <w:trHeight w:val="255"/>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rsidR="00A20CBF" w:rsidRPr="00A20CBF" w:rsidRDefault="00A20CBF" w:rsidP="00A20CBF">
            <w:pPr>
              <w:spacing w:after="0" w:line="240" w:lineRule="auto"/>
              <w:rPr>
                <w:rFonts w:ascii="Arial" w:eastAsia="Times New Roman" w:hAnsi="Arial" w:cs="Arial"/>
                <w:sz w:val="20"/>
                <w:szCs w:val="20"/>
                <w:lang w:eastAsia="sk-SK"/>
              </w:rPr>
            </w:pPr>
            <w:r w:rsidRPr="00A20CBF">
              <w:rPr>
                <w:rFonts w:ascii="Arial" w:eastAsia="Times New Roman" w:hAnsi="Arial" w:cs="Arial"/>
                <w:sz w:val="20"/>
                <w:szCs w:val="20"/>
                <w:lang w:eastAsia="sk-SK"/>
              </w:rPr>
              <w:t>z toho na platy a odvody</w:t>
            </w:r>
          </w:p>
        </w:tc>
        <w:tc>
          <w:tcPr>
            <w:tcW w:w="1288"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78,0 %</w:t>
            </w:r>
          </w:p>
        </w:tc>
        <w:tc>
          <w:tcPr>
            <w:tcW w:w="1289"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78,7 %</w:t>
            </w:r>
          </w:p>
        </w:tc>
        <w:tc>
          <w:tcPr>
            <w:tcW w:w="1290"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79,8 %</w:t>
            </w:r>
          </w:p>
        </w:tc>
        <w:tc>
          <w:tcPr>
            <w:tcW w:w="1290"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80,2 %</w:t>
            </w:r>
          </w:p>
        </w:tc>
        <w:tc>
          <w:tcPr>
            <w:tcW w:w="1290"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78,4 %</w:t>
            </w:r>
          </w:p>
        </w:tc>
      </w:tr>
      <w:tr w:rsidR="00A20CBF" w:rsidRPr="00A20CBF" w:rsidTr="00A20CBF">
        <w:trPr>
          <w:trHeight w:val="255"/>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rsidR="00A20CBF" w:rsidRPr="00A20CBF" w:rsidRDefault="00A20CBF" w:rsidP="00A20CBF">
            <w:pPr>
              <w:spacing w:after="0" w:line="240" w:lineRule="auto"/>
              <w:rPr>
                <w:rFonts w:ascii="Arial" w:eastAsia="Times New Roman" w:hAnsi="Arial" w:cs="Arial"/>
                <w:sz w:val="20"/>
                <w:szCs w:val="20"/>
                <w:lang w:eastAsia="sk-SK"/>
              </w:rPr>
            </w:pPr>
            <w:r w:rsidRPr="00A20CBF">
              <w:rPr>
                <w:rFonts w:ascii="Arial" w:eastAsia="Times New Roman" w:hAnsi="Arial" w:cs="Arial"/>
                <w:sz w:val="20"/>
                <w:szCs w:val="20"/>
                <w:lang w:eastAsia="sk-SK"/>
              </w:rPr>
              <w:t>z toho na prevádzku ústredí</w:t>
            </w:r>
          </w:p>
        </w:tc>
        <w:tc>
          <w:tcPr>
            <w:tcW w:w="1288"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22,0 %</w:t>
            </w:r>
          </w:p>
        </w:tc>
        <w:tc>
          <w:tcPr>
            <w:tcW w:w="1289"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21,3 %</w:t>
            </w:r>
          </w:p>
        </w:tc>
        <w:tc>
          <w:tcPr>
            <w:tcW w:w="1290"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20,2 %</w:t>
            </w:r>
          </w:p>
        </w:tc>
        <w:tc>
          <w:tcPr>
            <w:tcW w:w="1290"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19,8 %</w:t>
            </w:r>
          </w:p>
        </w:tc>
        <w:tc>
          <w:tcPr>
            <w:tcW w:w="1290" w:type="dxa"/>
            <w:tcBorders>
              <w:top w:val="nil"/>
              <w:left w:val="single" w:sz="4" w:space="0" w:color="auto"/>
              <w:bottom w:val="single" w:sz="4" w:space="0" w:color="auto"/>
              <w:right w:val="single" w:sz="4" w:space="0" w:color="auto"/>
            </w:tcBorders>
            <w:vAlign w:val="bottom"/>
          </w:tcPr>
          <w:p w:rsidR="00A20CBF" w:rsidRDefault="00A20CBF" w:rsidP="00A20CBF">
            <w:pPr>
              <w:jc w:val="right"/>
              <w:rPr>
                <w:rFonts w:ascii="Arial" w:hAnsi="Arial" w:cs="Arial"/>
                <w:sz w:val="20"/>
                <w:szCs w:val="20"/>
              </w:rPr>
            </w:pPr>
            <w:r>
              <w:rPr>
                <w:rFonts w:ascii="Arial" w:hAnsi="Arial" w:cs="Arial"/>
                <w:sz w:val="20"/>
                <w:szCs w:val="20"/>
              </w:rPr>
              <w:t>21,6 %</w:t>
            </w:r>
          </w:p>
        </w:tc>
      </w:tr>
    </w:tbl>
    <w:p w:rsidR="00A20CBF" w:rsidRPr="0073596B" w:rsidRDefault="00A20CBF" w:rsidP="002C3D10">
      <w:pPr>
        <w:rPr>
          <w:rFonts w:ascii="Times New Roman" w:hAnsi="Times New Roman"/>
          <w:sz w:val="24"/>
          <w:szCs w:val="24"/>
        </w:rPr>
      </w:pPr>
    </w:p>
    <w:p w:rsidR="009A755D" w:rsidRPr="0073596B" w:rsidRDefault="00E80F43" w:rsidP="002C3D10">
      <w:pPr>
        <w:spacing w:after="0"/>
        <w:ind w:left="1418" w:hanging="709"/>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oMath>
      <w:r w:rsidR="009A755D" w:rsidRPr="0073596B">
        <w:rPr>
          <w:rFonts w:ascii="Times New Roman" w:hAnsi="Times New Roman"/>
          <w:sz w:val="24"/>
          <w:szCs w:val="24"/>
        </w:rPr>
        <w:tab/>
      </w:r>
      <w:r w:rsidR="009E46B3" w:rsidRPr="0073596B">
        <w:rPr>
          <w:rFonts w:ascii="Times New Roman" w:hAnsi="Times New Roman"/>
          <w:sz w:val="24"/>
          <w:szCs w:val="24"/>
        </w:rPr>
        <w:t xml:space="preserve">celkový príspevok </w:t>
      </w:r>
      <w:r w:rsidR="009A755D" w:rsidRPr="0073596B">
        <w:rPr>
          <w:rFonts w:ascii="Times New Roman" w:hAnsi="Times New Roman"/>
          <w:sz w:val="24"/>
          <w:szCs w:val="24"/>
        </w:rPr>
        <w:t xml:space="preserve">štátu </w:t>
      </w:r>
      <w:r w:rsidR="002C3D10" w:rsidRPr="0073596B">
        <w:rPr>
          <w:rFonts w:ascii="Times New Roman" w:hAnsi="Times New Roman"/>
          <w:sz w:val="24"/>
          <w:szCs w:val="24"/>
        </w:rPr>
        <w:t>na príslušný rozpočtovaný kalendárny rok</w:t>
      </w:r>
      <w:r w:rsidR="009E46B3" w:rsidRPr="0073596B">
        <w:rPr>
          <w:rFonts w:ascii="Times New Roman" w:hAnsi="Times New Roman"/>
          <w:sz w:val="24"/>
          <w:szCs w:val="24"/>
        </w:rPr>
        <w:t xml:space="preserve"> t,</w:t>
      </w:r>
      <w:r w:rsidR="002C3D10" w:rsidRPr="0073596B">
        <w:rPr>
          <w:rFonts w:ascii="Times New Roman" w:hAnsi="Times New Roman"/>
          <w:sz w:val="24"/>
          <w:szCs w:val="24"/>
        </w:rPr>
        <w:t xml:space="preserve"> pre ktorý sa príspevok štátu ustanovuje,</w:t>
      </w:r>
      <w:r w:rsidR="009E46B3" w:rsidRPr="0073596B">
        <w:rPr>
          <w:rFonts w:ascii="Times New Roman" w:hAnsi="Times New Roman"/>
          <w:sz w:val="24"/>
          <w:szCs w:val="24"/>
        </w:rPr>
        <w:t xml:space="preserve"> </w:t>
      </w:r>
    </w:p>
    <w:p w:rsidR="002C3D10" w:rsidRPr="0073596B" w:rsidRDefault="002C3D10" w:rsidP="002C3D10">
      <w:pPr>
        <w:tabs>
          <w:tab w:val="left" w:pos="1418"/>
        </w:tabs>
        <w:spacing w:after="0"/>
        <w:ind w:left="1418" w:hanging="992"/>
        <w:jc w:val="both"/>
        <w:rPr>
          <w:rFonts w:ascii="Times New Roman" w:hAnsi="Times New Roman"/>
          <w:sz w:val="24"/>
          <w:szCs w:val="24"/>
        </w:rPr>
      </w:pPr>
      <w:r w:rsidRPr="0073596B">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t-1</m:t>
            </m:r>
          </m:sub>
        </m:sSub>
      </m:oMath>
      <w:r w:rsidR="009E46B3" w:rsidRPr="0073596B">
        <w:rPr>
          <w:rFonts w:ascii="Times New Roman" w:hAnsi="Times New Roman"/>
          <w:sz w:val="24"/>
          <w:szCs w:val="24"/>
        </w:rPr>
        <w:t xml:space="preserve"> </w:t>
      </w:r>
      <w:r w:rsidR="009A755D" w:rsidRPr="0073596B">
        <w:rPr>
          <w:rFonts w:ascii="Times New Roman" w:hAnsi="Times New Roman"/>
          <w:sz w:val="24"/>
          <w:szCs w:val="24"/>
        </w:rPr>
        <w:tab/>
      </w:r>
      <w:r w:rsidRPr="0073596B">
        <w:rPr>
          <w:rFonts w:ascii="Times New Roman" w:hAnsi="Times New Roman"/>
          <w:sz w:val="24"/>
          <w:szCs w:val="24"/>
        </w:rPr>
        <w:t>príspevok štátu na kalendárny rok predchádzajúci príslušnému rozpočtovanému kalendárnemu roku,</w:t>
      </w:r>
    </w:p>
    <w:p w:rsidR="009E46B3" w:rsidRPr="00FB6478" w:rsidRDefault="00E80F43" w:rsidP="00E92605">
      <w:pPr>
        <w:spacing w:after="0"/>
        <w:ind w:left="1418" w:hanging="709"/>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t</m:t>
            </m:r>
          </m:sub>
        </m:sSub>
      </m:oMath>
      <w:r w:rsidR="002C3D10" w:rsidRPr="0073596B">
        <w:rPr>
          <w:rFonts w:ascii="Times New Roman" w:hAnsi="Times New Roman"/>
          <w:sz w:val="24"/>
          <w:szCs w:val="24"/>
        </w:rPr>
        <w:tab/>
        <w:t xml:space="preserve">miera zvýšenia základnej stupnice platových taríf zamestnancov pri výkone práce vo verejnom záujme schválenej na kalendárny rok pre ktorý sa príspevok štátu ustanovuje, vyjadrená v percentách, </w:t>
      </w:r>
      <w:r w:rsidR="00FB6478" w:rsidRPr="00FB6478">
        <w:rPr>
          <w:rFonts w:ascii="Times New Roman" w:hAnsi="Times New Roman"/>
          <w:sz w:val="24"/>
          <w:szCs w:val="24"/>
        </w:rPr>
        <w:t>pričom do vzorca sa vkladá percento v tvare desatinného čísla zaokrúhleného na tri desatinné miesta (napr. 1 % = 0,010),</w:t>
      </w:r>
    </w:p>
    <w:p w:rsidR="00E92605" w:rsidRPr="00FB6478" w:rsidRDefault="00E80F43" w:rsidP="00E92605">
      <w:pPr>
        <w:spacing w:after="0"/>
        <w:ind w:left="1418" w:hanging="709"/>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oMath>
      <w:r w:rsidR="002C3D10" w:rsidRPr="0073596B">
        <w:rPr>
          <w:rFonts w:ascii="Times New Roman" w:hAnsi="Times New Roman"/>
          <w:sz w:val="24"/>
          <w:szCs w:val="24"/>
        </w:rPr>
        <w:tab/>
        <w:t xml:space="preserve">priemerná miera medziročného rastu inflácie v hospodárstve Slovenskej republiky vykázaná Štatistickým úradom Slovenskej republiky vyjadrená indexom CPI za kalendárny rok, ktorý dva roky predchádza príslušný rozpočtovaný kalendárny rok, pre ktorý sa príspevok štátu ustanovuje, vyjadrená v percentách, </w:t>
      </w:r>
      <w:r w:rsidR="00E92605" w:rsidRPr="00FB6478">
        <w:rPr>
          <w:rFonts w:ascii="Times New Roman" w:hAnsi="Times New Roman"/>
          <w:sz w:val="24"/>
          <w:szCs w:val="24"/>
        </w:rPr>
        <w:t>pričom do vzorca sa vkladá percento v tvare desatinného čísla zaokrúhleného na tri desatinné miesta (napr. 1 % = 0,010),</w:t>
      </w:r>
    </w:p>
    <w:p w:rsidR="00E92605" w:rsidRDefault="00E92605" w:rsidP="00E92605">
      <w:pPr>
        <w:tabs>
          <w:tab w:val="left" w:pos="0"/>
        </w:tabs>
        <w:spacing w:after="0"/>
        <w:ind w:left="1418" w:hanging="709"/>
        <w:jc w:val="both"/>
        <w:rPr>
          <w:rFonts w:ascii="Times New Roman" w:hAnsi="Times New Roman"/>
          <w:sz w:val="24"/>
          <w:szCs w:val="24"/>
        </w:rPr>
      </w:pPr>
    </w:p>
    <w:p w:rsidR="002C3D10" w:rsidRPr="0073596B" w:rsidRDefault="002C3D10" w:rsidP="00E92605">
      <w:pPr>
        <w:tabs>
          <w:tab w:val="left" w:pos="0"/>
        </w:tabs>
        <w:spacing w:after="0"/>
        <w:ind w:left="1418" w:hanging="709"/>
        <w:jc w:val="both"/>
        <w:rPr>
          <w:rFonts w:ascii="Times New Roman" w:hAnsi="Times New Roman"/>
          <w:sz w:val="24"/>
          <w:szCs w:val="24"/>
        </w:rPr>
      </w:pPr>
      <w:r w:rsidRPr="0073596B">
        <w:rPr>
          <w:rFonts w:ascii="Times New Roman" w:hAnsi="Times New Roman"/>
          <w:sz w:val="24"/>
          <w:szCs w:val="24"/>
        </w:rPr>
        <w:t xml:space="preserve">Ak vykázaná hodnota </w:t>
      </w:r>
      <m:oMath>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oMath>
      <w:r w:rsidRPr="0073596B">
        <w:rPr>
          <w:rFonts w:ascii="Times New Roman" w:hAnsi="Times New Roman"/>
          <w:sz w:val="24"/>
          <w:szCs w:val="24"/>
        </w:rPr>
        <w:t xml:space="preserve"> &lt; 0, dosadí sa do vzorca hodnota </w:t>
      </w:r>
      <m:oMath>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oMath>
      <w:r w:rsidRPr="0073596B">
        <w:rPr>
          <w:rFonts w:ascii="Times New Roman" w:hAnsi="Times New Roman"/>
          <w:sz w:val="24"/>
          <w:szCs w:val="24"/>
        </w:rPr>
        <w:t xml:space="preserve"> = 0</w:t>
      </w:r>
    </w:p>
    <w:p w:rsidR="002C3D10" w:rsidRPr="002C3D10" w:rsidRDefault="002C3D10" w:rsidP="00163B55">
      <w:pPr>
        <w:tabs>
          <w:tab w:val="left" w:pos="0"/>
        </w:tabs>
        <w:spacing w:after="0"/>
        <w:jc w:val="both"/>
        <w:rPr>
          <w:rFonts w:ascii="Times New Roman" w:eastAsia="Times New Roman" w:hAnsi="Times New Roman" w:cs="Times New Roman"/>
        </w:rPr>
      </w:pPr>
    </w:p>
    <w:p w:rsidR="00377C60" w:rsidRDefault="00E52B19" w:rsidP="00377C60">
      <w:pPr>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Výsledné </w:t>
      </w:r>
      <w:r w:rsidR="0026711D">
        <w:rPr>
          <w:rFonts w:ascii="Times New Roman" w:eastAsia="Times New Roman" w:hAnsi="Times New Roman" w:cs="Times New Roman"/>
          <w:sz w:val="24"/>
          <w:szCs w:val="24"/>
          <w:lang w:eastAsia="sk-SK"/>
        </w:rPr>
        <w:t xml:space="preserve">medziročné </w:t>
      </w:r>
      <w:r>
        <w:rPr>
          <w:rFonts w:ascii="Times New Roman" w:eastAsia="Times New Roman" w:hAnsi="Times New Roman" w:cs="Times New Roman"/>
          <w:sz w:val="24"/>
          <w:szCs w:val="24"/>
          <w:lang w:eastAsia="sk-SK"/>
        </w:rPr>
        <w:t>na</w:t>
      </w:r>
      <w:r w:rsidR="00185D49" w:rsidRPr="00185D49">
        <w:rPr>
          <w:rFonts w:ascii="Times New Roman" w:eastAsia="Times New Roman" w:hAnsi="Times New Roman" w:cs="Times New Roman"/>
          <w:sz w:val="24"/>
          <w:szCs w:val="24"/>
          <w:lang w:eastAsia="sk-SK"/>
        </w:rPr>
        <w:t xml:space="preserve">výšenie </w:t>
      </w:r>
      <w:r w:rsidR="003F1E05">
        <w:rPr>
          <w:rFonts w:ascii="Times New Roman" w:eastAsia="Times New Roman" w:hAnsi="Times New Roman" w:cs="Times New Roman"/>
          <w:sz w:val="24"/>
          <w:szCs w:val="24"/>
          <w:lang w:eastAsia="sk-SK"/>
        </w:rPr>
        <w:t>(</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t-1</m:t>
            </m:r>
          </m:sub>
        </m:sSub>
      </m:oMath>
      <w:r w:rsidR="003F1E05">
        <w:rPr>
          <w:rFonts w:ascii="Times New Roman" w:eastAsia="Times New Roman" w:hAnsi="Times New Roman" w:cs="Times New Roman"/>
        </w:rPr>
        <w:t xml:space="preserve">) </w:t>
      </w:r>
      <w:r w:rsidR="00185D49" w:rsidRPr="00185D49">
        <w:rPr>
          <w:rFonts w:ascii="Times New Roman" w:eastAsia="Times New Roman" w:hAnsi="Times New Roman" w:cs="Times New Roman"/>
          <w:sz w:val="24"/>
          <w:szCs w:val="24"/>
          <w:lang w:eastAsia="sk-SK"/>
        </w:rPr>
        <w:t xml:space="preserve">sa následne prerozdelí podľa relatívneho počtu veriacich </w:t>
      </w:r>
      <w:r w:rsidR="00022D69">
        <w:rPr>
          <w:rFonts w:ascii="Times New Roman" w:eastAsia="Times New Roman" w:hAnsi="Times New Roman" w:cs="Times New Roman"/>
          <w:sz w:val="24"/>
          <w:szCs w:val="24"/>
          <w:lang w:eastAsia="sk-SK"/>
        </w:rPr>
        <w:t xml:space="preserve">jednotlivých </w:t>
      </w:r>
      <w:r w:rsidR="00185D49" w:rsidRPr="00185D49">
        <w:rPr>
          <w:rFonts w:ascii="Times New Roman" w:eastAsia="Times New Roman" w:hAnsi="Times New Roman" w:cs="Times New Roman"/>
          <w:sz w:val="24"/>
          <w:szCs w:val="24"/>
          <w:lang w:eastAsia="sk-SK"/>
        </w:rPr>
        <w:t>cirkví, ktoré</w:t>
      </w:r>
      <w:r w:rsidR="0026711D">
        <w:rPr>
          <w:rFonts w:ascii="Times New Roman" w:eastAsia="Times New Roman" w:hAnsi="Times New Roman" w:cs="Times New Roman"/>
          <w:sz w:val="24"/>
          <w:szCs w:val="24"/>
          <w:lang w:eastAsia="sk-SK"/>
        </w:rPr>
        <w:t xml:space="preserve"> žiadajú o podporu. </w:t>
      </w:r>
      <w:r w:rsidR="00022D69">
        <w:rPr>
          <w:rFonts w:ascii="Times New Roman" w:eastAsia="Times New Roman" w:hAnsi="Times New Roman" w:cs="Times New Roman"/>
          <w:sz w:val="24"/>
          <w:szCs w:val="24"/>
          <w:lang w:eastAsia="sk-SK"/>
        </w:rPr>
        <w:t>Pri určovaní relatívneho počtu veriacich sme vychádzali z</w:t>
      </w:r>
      <w:r w:rsidR="00022D69" w:rsidRPr="00022D69">
        <w:rPr>
          <w:rFonts w:ascii="Times New Roman" w:eastAsia="Times New Roman" w:hAnsi="Times New Roman" w:cs="Times New Roman"/>
          <w:sz w:val="24"/>
          <w:szCs w:val="24"/>
          <w:lang w:eastAsia="sk-SK"/>
        </w:rPr>
        <w:t> dát Štatistického úradu - Sčítanie obyvateľov, domov a bytov</w:t>
      </w:r>
      <w:r w:rsidR="00163B55">
        <w:rPr>
          <w:rFonts w:ascii="Times New Roman" w:eastAsia="Times New Roman" w:hAnsi="Times New Roman" w:cs="Times New Roman"/>
          <w:sz w:val="24"/>
          <w:szCs w:val="24"/>
          <w:lang w:eastAsia="sk-SK"/>
        </w:rPr>
        <w:t xml:space="preserve"> z roku</w:t>
      </w:r>
      <w:r w:rsidR="00EA3CE7">
        <w:rPr>
          <w:rFonts w:ascii="Times New Roman" w:eastAsia="Times New Roman" w:hAnsi="Times New Roman" w:cs="Times New Roman"/>
          <w:sz w:val="24"/>
          <w:szCs w:val="24"/>
          <w:lang w:eastAsia="sk-SK"/>
        </w:rPr>
        <w:t xml:space="preserve"> </w:t>
      </w:r>
      <w:r w:rsidR="00022D69" w:rsidRPr="00022D69">
        <w:rPr>
          <w:rFonts w:ascii="Times New Roman" w:eastAsia="Times New Roman" w:hAnsi="Times New Roman" w:cs="Times New Roman"/>
          <w:sz w:val="24"/>
          <w:szCs w:val="24"/>
          <w:lang w:eastAsia="sk-SK"/>
        </w:rPr>
        <w:t>2011.</w:t>
      </w:r>
      <w:r w:rsidR="007C33C3">
        <w:rPr>
          <w:rFonts w:ascii="Times New Roman" w:eastAsia="Times New Roman" w:hAnsi="Times New Roman" w:cs="Times New Roman"/>
          <w:sz w:val="24"/>
          <w:szCs w:val="24"/>
          <w:lang w:eastAsia="sk-SK"/>
        </w:rPr>
        <w:t xml:space="preserve"> </w:t>
      </w:r>
      <w:r w:rsidR="00EA3CE7" w:rsidRPr="008343A1">
        <w:rPr>
          <w:rFonts w:ascii="Times New Roman" w:eastAsia="Times New Roman" w:hAnsi="Times New Roman" w:cs="Times New Roman"/>
          <w:sz w:val="24"/>
          <w:szCs w:val="24"/>
          <w:lang w:eastAsia="sk-SK"/>
        </w:rPr>
        <w:t>Koeficient navýšenia príspevku jednotlivých cirkví</w:t>
      </w:r>
      <w:r w:rsidR="00950724" w:rsidRPr="008343A1">
        <w:rPr>
          <w:rFonts w:ascii="Times New Roman" w:eastAsia="Times New Roman" w:hAnsi="Times New Roman" w:cs="Times New Roman"/>
          <w:sz w:val="24"/>
          <w:szCs w:val="24"/>
          <w:lang w:eastAsia="sk-SK"/>
        </w:rPr>
        <w:t xml:space="preserve"> sme</w:t>
      </w:r>
      <w:r w:rsidR="00EA3CE7" w:rsidRPr="008343A1">
        <w:rPr>
          <w:rFonts w:ascii="Times New Roman" w:eastAsia="Times New Roman" w:hAnsi="Times New Roman" w:cs="Times New Roman"/>
          <w:sz w:val="24"/>
          <w:szCs w:val="24"/>
          <w:lang w:eastAsia="sk-SK"/>
        </w:rPr>
        <w:t xml:space="preserve"> vypočíta</w:t>
      </w:r>
      <w:r w:rsidR="00950724" w:rsidRPr="008343A1">
        <w:rPr>
          <w:rFonts w:ascii="Times New Roman" w:eastAsia="Times New Roman" w:hAnsi="Times New Roman" w:cs="Times New Roman"/>
          <w:sz w:val="24"/>
          <w:szCs w:val="24"/>
          <w:lang w:eastAsia="sk-SK"/>
        </w:rPr>
        <w:t>li</w:t>
      </w:r>
      <w:r w:rsidR="00163B55">
        <w:rPr>
          <w:rFonts w:ascii="Times New Roman" w:eastAsia="Times New Roman" w:hAnsi="Times New Roman" w:cs="Times New Roman"/>
          <w:sz w:val="24"/>
          <w:szCs w:val="24"/>
          <w:lang w:eastAsia="sk-SK"/>
        </w:rPr>
        <w:t xml:space="preserve"> ako </w:t>
      </w:r>
      <w:r w:rsidR="00EA3CE7" w:rsidRPr="008343A1">
        <w:rPr>
          <w:rFonts w:ascii="Times New Roman" w:eastAsia="Times New Roman" w:hAnsi="Times New Roman" w:cs="Times New Roman"/>
          <w:sz w:val="24"/>
          <w:szCs w:val="24"/>
          <w:lang w:eastAsia="sk-SK"/>
        </w:rPr>
        <w:t>relatívn</w:t>
      </w:r>
      <w:r w:rsidR="00163B55">
        <w:rPr>
          <w:rFonts w:ascii="Times New Roman" w:eastAsia="Times New Roman" w:hAnsi="Times New Roman" w:cs="Times New Roman"/>
          <w:sz w:val="24"/>
          <w:szCs w:val="24"/>
          <w:lang w:eastAsia="sk-SK"/>
        </w:rPr>
        <w:t>y</w:t>
      </w:r>
      <w:r w:rsidR="00EA3CE7" w:rsidRPr="008343A1">
        <w:rPr>
          <w:rFonts w:ascii="Times New Roman" w:eastAsia="Times New Roman" w:hAnsi="Times New Roman" w:cs="Times New Roman"/>
          <w:sz w:val="24"/>
          <w:szCs w:val="24"/>
          <w:lang w:eastAsia="sk-SK"/>
        </w:rPr>
        <w:t xml:space="preserve"> poč</w:t>
      </w:r>
      <w:r w:rsidR="00163B55">
        <w:rPr>
          <w:rFonts w:ascii="Times New Roman" w:eastAsia="Times New Roman" w:hAnsi="Times New Roman" w:cs="Times New Roman"/>
          <w:sz w:val="24"/>
          <w:szCs w:val="24"/>
          <w:lang w:eastAsia="sk-SK"/>
        </w:rPr>
        <w:t>e</w:t>
      </w:r>
      <w:r w:rsidR="00EA3CE7" w:rsidRPr="008343A1">
        <w:rPr>
          <w:rFonts w:ascii="Times New Roman" w:eastAsia="Times New Roman" w:hAnsi="Times New Roman" w:cs="Times New Roman"/>
          <w:sz w:val="24"/>
          <w:szCs w:val="24"/>
          <w:lang w:eastAsia="sk-SK"/>
        </w:rPr>
        <w:t>t veriacich danej cirkvi k počtu všetkých veriacich</w:t>
      </w:r>
      <w:r w:rsidR="0073596B">
        <w:rPr>
          <w:rFonts w:ascii="Times New Roman" w:eastAsia="Times New Roman" w:hAnsi="Times New Roman" w:cs="Times New Roman"/>
          <w:sz w:val="24"/>
          <w:szCs w:val="24"/>
          <w:lang w:eastAsia="sk-SK"/>
        </w:rPr>
        <w:t xml:space="preserve"> podporovaných cirkví</w:t>
      </w:r>
      <w:r w:rsidR="00950724" w:rsidRPr="008343A1">
        <w:rPr>
          <w:rFonts w:ascii="Times New Roman" w:eastAsia="Times New Roman" w:hAnsi="Times New Roman" w:cs="Times New Roman"/>
          <w:sz w:val="24"/>
          <w:szCs w:val="24"/>
          <w:lang w:eastAsia="sk-SK"/>
        </w:rPr>
        <w:t>.</w:t>
      </w:r>
    </w:p>
    <w:p w:rsidR="00766003" w:rsidRPr="00377C60" w:rsidRDefault="00377C60" w:rsidP="00377C60">
      <w:pPr>
        <w:ind w:firstLine="708"/>
        <w:rPr>
          <w:rFonts w:ascii="Times New Roman" w:eastAsia="Times New Roman" w:hAnsi="Times New Roman" w:cs="Times New Roman"/>
          <w:sz w:val="24"/>
          <w:szCs w:val="24"/>
          <w:lang w:eastAsia="sk-SK"/>
        </w:rPr>
        <w:sectPr w:rsidR="00766003" w:rsidRPr="00377C60" w:rsidSect="00CA502A">
          <w:headerReference w:type="even"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pgNumType w:start="8"/>
          <w:cols w:space="708"/>
          <w:docGrid w:linePitch="360"/>
        </w:sectPr>
      </w:pPr>
      <w:r>
        <w:rPr>
          <w:rFonts w:ascii="Times New Roman" w:eastAsia="Times New Roman" w:hAnsi="Times New Roman" w:cs="Times New Roman"/>
          <w:sz w:val="24"/>
          <w:szCs w:val="24"/>
          <w:lang w:eastAsia="sk-SK"/>
        </w:rPr>
        <w:t>Pri</w:t>
      </w:r>
      <w:r w:rsidR="00CF6EDB">
        <w:rPr>
          <w:rFonts w:ascii="Times New Roman" w:eastAsia="Times New Roman" w:hAnsi="Times New Roman" w:cs="Times New Roman"/>
          <w:sz w:val="24"/>
          <w:szCs w:val="24"/>
          <w:lang w:eastAsia="sk-SK"/>
        </w:rPr>
        <w:t xml:space="preserve"> výpočte príspevku štátu na rok </w:t>
      </w:r>
      <w:r w:rsidR="0012464D">
        <w:rPr>
          <w:rFonts w:ascii="Times New Roman" w:eastAsia="Times New Roman" w:hAnsi="Times New Roman" w:cs="Times New Roman"/>
          <w:sz w:val="24"/>
          <w:szCs w:val="24"/>
          <w:lang w:eastAsia="sk-SK"/>
        </w:rPr>
        <w:t>sme počítali s hodnotami CPI z M</w:t>
      </w:r>
      <w:r w:rsidR="00CF6EDB">
        <w:rPr>
          <w:rFonts w:ascii="Times New Roman" w:eastAsia="Times New Roman" w:hAnsi="Times New Roman" w:cs="Times New Roman"/>
          <w:sz w:val="24"/>
          <w:szCs w:val="24"/>
          <w:lang w:eastAsia="sk-SK"/>
        </w:rPr>
        <w:t>akroekonomickej prognózy ekonomického vývoja SR zverejnenej 16. júna 2019, teda CPI = 2,5 % (rok</w:t>
      </w:r>
      <w:r w:rsidR="00446450">
        <w:rPr>
          <w:rFonts w:ascii="Times New Roman" w:eastAsia="Times New Roman" w:hAnsi="Times New Roman" w:cs="Times New Roman"/>
          <w:sz w:val="24"/>
          <w:szCs w:val="24"/>
          <w:lang w:eastAsia="sk-SK"/>
        </w:rPr>
        <w:t>y</w:t>
      </w:r>
      <w:r w:rsidR="00CF6EDB">
        <w:rPr>
          <w:rFonts w:ascii="Times New Roman" w:eastAsia="Times New Roman" w:hAnsi="Times New Roman" w:cs="Times New Roman"/>
          <w:sz w:val="24"/>
          <w:szCs w:val="24"/>
          <w:lang w:eastAsia="sk-SK"/>
        </w:rPr>
        <w:t xml:space="preserve"> </w:t>
      </w:r>
      <w:r w:rsidR="00446450">
        <w:rPr>
          <w:rFonts w:ascii="Times New Roman" w:eastAsia="Times New Roman" w:hAnsi="Times New Roman" w:cs="Times New Roman"/>
          <w:sz w:val="24"/>
          <w:szCs w:val="24"/>
          <w:lang w:eastAsia="sk-SK"/>
        </w:rPr>
        <w:t xml:space="preserve">2018 - </w:t>
      </w:r>
      <w:r w:rsidR="00CF6EDB">
        <w:rPr>
          <w:rFonts w:ascii="Times New Roman" w:eastAsia="Times New Roman" w:hAnsi="Times New Roman" w:cs="Times New Roman"/>
          <w:sz w:val="24"/>
          <w:szCs w:val="24"/>
          <w:lang w:eastAsia="sk-SK"/>
        </w:rPr>
        <w:t>2020</w:t>
      </w:r>
      <w:r>
        <w:rPr>
          <w:rFonts w:ascii="Times New Roman" w:eastAsia="Times New Roman" w:hAnsi="Times New Roman" w:cs="Times New Roman"/>
          <w:sz w:val="24"/>
          <w:szCs w:val="24"/>
          <w:lang w:eastAsia="sk-SK"/>
        </w:rPr>
        <w:t xml:space="preserve">), </w:t>
      </w:r>
      <w:r w:rsidR="00CF6EDB">
        <w:rPr>
          <w:rFonts w:ascii="Times New Roman" w:eastAsia="Times New Roman" w:hAnsi="Times New Roman" w:cs="Times New Roman"/>
          <w:sz w:val="24"/>
          <w:szCs w:val="24"/>
          <w:lang w:eastAsia="sk-SK"/>
        </w:rPr>
        <w:t>CPI = 2,4 % (rok 2021)</w:t>
      </w:r>
      <w:r>
        <w:rPr>
          <w:rFonts w:ascii="Times New Roman" w:eastAsia="Times New Roman" w:hAnsi="Times New Roman" w:cs="Times New Roman"/>
          <w:sz w:val="24"/>
          <w:szCs w:val="24"/>
          <w:lang w:eastAsia="sk-SK"/>
        </w:rPr>
        <w:t>.</w:t>
      </w:r>
      <w:r w:rsidR="00666AC3" w:rsidRPr="00987CD2">
        <w:rPr>
          <w:rFonts w:ascii="Times New Roman" w:eastAsia="Times New Roman" w:hAnsi="Times New Roman" w:cs="Times New Roman"/>
          <w:sz w:val="24"/>
          <w:szCs w:val="24"/>
          <w:lang w:eastAsia="sk-SK"/>
        </w:rPr>
        <w:t xml:space="preserve"> </w:t>
      </w:r>
      <w:r w:rsidR="00666AC3" w:rsidRPr="00666AC3">
        <w:rPr>
          <w:rFonts w:ascii="Times New Roman" w:eastAsia="Times New Roman" w:hAnsi="Times New Roman" w:cs="Times New Roman"/>
          <w:sz w:val="24"/>
          <w:szCs w:val="24"/>
          <w:lang w:eastAsia="sk-SK"/>
        </w:rPr>
        <w:t xml:space="preserve">Koeficient V (valorizácia platov) je </w:t>
      </w:r>
      <w:r w:rsidR="00987CD2">
        <w:rPr>
          <w:rFonts w:ascii="Times New Roman" w:eastAsia="Times New Roman" w:hAnsi="Times New Roman" w:cs="Times New Roman"/>
          <w:sz w:val="24"/>
          <w:szCs w:val="24"/>
          <w:lang w:eastAsia="sk-SK"/>
        </w:rPr>
        <w:t>v</w:t>
      </w:r>
      <w:r w:rsidR="00987CD2" w:rsidRPr="00987CD2">
        <w:rPr>
          <w:rFonts w:ascii="Times New Roman" w:eastAsia="Times New Roman" w:hAnsi="Times New Roman" w:cs="Times New Roman"/>
          <w:sz w:val="24"/>
          <w:szCs w:val="24"/>
          <w:lang w:eastAsia="sk-SK"/>
        </w:rPr>
        <w:t xml:space="preserve"> roku 2020 dohodnutý na úrovni 10 % (zdroj: Revízia výdavkov na zamestnanosť a mzdy vo verejnej správe, priebežná správa, MF SR 2018; Graf 31). </w:t>
      </w:r>
      <w:r w:rsidR="0012464D">
        <w:rPr>
          <w:rFonts w:ascii="Times New Roman" w:eastAsia="Times New Roman" w:hAnsi="Times New Roman" w:cs="Times New Roman"/>
          <w:sz w:val="24"/>
          <w:szCs w:val="24"/>
          <w:lang w:eastAsia="sk-SK"/>
        </w:rPr>
        <w:t xml:space="preserve"> </w:t>
      </w:r>
      <w:r w:rsidR="00987CD2">
        <w:rPr>
          <w:rFonts w:ascii="Times New Roman" w:eastAsia="Times New Roman" w:hAnsi="Times New Roman" w:cs="Times New Roman"/>
          <w:sz w:val="24"/>
          <w:szCs w:val="24"/>
          <w:lang w:eastAsia="sk-SK"/>
        </w:rPr>
        <w:t>N</w:t>
      </w:r>
      <w:r w:rsidR="0012464D">
        <w:rPr>
          <w:rFonts w:ascii="Times New Roman" w:eastAsia="Times New Roman" w:hAnsi="Times New Roman" w:cs="Times New Roman"/>
          <w:sz w:val="24"/>
          <w:szCs w:val="24"/>
          <w:lang w:eastAsia="sk-SK"/>
        </w:rPr>
        <w:t>a rok 2021</w:t>
      </w:r>
      <w:r w:rsidR="00987CD2">
        <w:rPr>
          <w:rFonts w:ascii="Times New Roman" w:eastAsia="Times New Roman" w:hAnsi="Times New Roman" w:cs="Times New Roman"/>
          <w:sz w:val="24"/>
          <w:szCs w:val="24"/>
          <w:lang w:eastAsia="sk-SK"/>
        </w:rPr>
        <w:t xml:space="preserve"> je rast miezd vo verejnom sektore podľa Makroekonomickej prognózy</w:t>
      </w:r>
      <w:r w:rsidR="0012464D">
        <w:rPr>
          <w:rFonts w:ascii="Times New Roman" w:eastAsia="Times New Roman" w:hAnsi="Times New Roman" w:cs="Times New Roman"/>
          <w:sz w:val="24"/>
          <w:szCs w:val="24"/>
          <w:lang w:eastAsia="sk-SK"/>
        </w:rPr>
        <w:t xml:space="preserve"> </w:t>
      </w:r>
      <w:r w:rsidR="00D9008B">
        <w:rPr>
          <w:rFonts w:ascii="Times New Roman" w:eastAsia="Times New Roman" w:hAnsi="Times New Roman" w:cs="Times New Roman"/>
          <w:sz w:val="24"/>
          <w:szCs w:val="24"/>
          <w:lang w:eastAsia="sk-SK"/>
        </w:rPr>
        <w:t xml:space="preserve">odhadnutý </w:t>
      </w:r>
      <w:r w:rsidR="0012464D">
        <w:rPr>
          <w:rFonts w:ascii="Times New Roman" w:eastAsia="Times New Roman" w:hAnsi="Times New Roman" w:cs="Times New Roman"/>
          <w:sz w:val="24"/>
          <w:szCs w:val="24"/>
          <w:lang w:eastAsia="sk-SK"/>
        </w:rPr>
        <w:t>vo výške 5,2 % a na rok 2022 vo výške 4,7 %</w:t>
      </w:r>
      <w:r w:rsidR="00666AC3" w:rsidRPr="00666AC3">
        <w:rPr>
          <w:rFonts w:ascii="Times New Roman" w:eastAsia="Times New Roman" w:hAnsi="Times New Roman" w:cs="Times New Roman"/>
          <w:sz w:val="24"/>
          <w:szCs w:val="24"/>
          <w:lang w:eastAsia="sk-SK"/>
        </w:rPr>
        <w:t>.</w:t>
      </w:r>
      <w:r w:rsidR="00673F10">
        <w:rPr>
          <w:rFonts w:ascii="Times New Roman" w:eastAsia="Times New Roman" w:hAnsi="Times New Roman" w:cs="Times New Roman"/>
          <w:sz w:val="24"/>
          <w:szCs w:val="24"/>
          <w:lang w:eastAsia="sk-SK"/>
        </w:rPr>
        <w:t xml:space="preserve"> Na rok 2023 nie je prognóza k dispozícii.</w:t>
      </w:r>
      <w:r w:rsidR="00987CD2">
        <w:rPr>
          <w:rFonts w:ascii="Times New Roman" w:eastAsia="Times New Roman" w:hAnsi="Times New Roman" w:cs="Times New Roman"/>
          <w:sz w:val="24"/>
          <w:szCs w:val="24"/>
          <w:lang w:eastAsia="sk-SK"/>
        </w:rPr>
        <w:t xml:space="preserve"> Valorizáciu sme preto odhadli ako priemer z prognóz na roky 2021 a 2022, teda po zaokrúhlení 5 %. Rok 2020 sme nevzali do úvahy vzhľadom na to, že navýšenie o 10 % dohodnuté na roky 2019 a 2020 je z dlhodobého hľadiska nadštandardné.</w:t>
      </w:r>
    </w:p>
    <w:p w:rsidR="007D5748" w:rsidRPr="00E72448" w:rsidRDefault="007D5748" w:rsidP="00E724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97ED8">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97ED8">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6C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6C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7D5748" w:rsidRPr="007D5748">
              <w:rPr>
                <w:rFonts w:ascii="Times New Roman" w:eastAsia="Times New Roman" w:hAnsi="Times New Roman" w:cs="Times New Roman"/>
                <w:b/>
                <w:bCs/>
                <w:sz w:val="24"/>
                <w:szCs w:val="24"/>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6C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7D5748" w:rsidRPr="007D5748">
              <w:rPr>
                <w:rFonts w:ascii="Times New Roman" w:eastAsia="Times New Roman" w:hAnsi="Times New Roman" w:cs="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6C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7D5748" w:rsidRPr="007D5748">
              <w:rPr>
                <w:rFonts w:ascii="Times New Roman" w:eastAsia="Times New Roman" w:hAnsi="Times New Roman" w:cs="Times New Roman"/>
                <w:b/>
                <w:bCs/>
                <w:sz w:val="24"/>
                <w:szCs w:val="24"/>
                <w:lang w:eastAsia="sk-SK"/>
              </w:rPr>
              <w:t>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97ED8">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97ED8">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97ED8">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97ED8">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97ED8">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E770E" w:rsidRPr="007D5748" w:rsidTr="00FB6478">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9E770E" w:rsidRPr="007D5748" w:rsidRDefault="009E770E" w:rsidP="0053132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51 697 671</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54 106 782</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56 411 731</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58 938 977</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9E770E" w:rsidRPr="007D5748" w:rsidRDefault="009E770E" w:rsidP="0053132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E72448" w:rsidRDefault="00E72448" w:rsidP="00E72448">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4</w:t>
      </w:r>
    </w:p>
    <w:tbl>
      <w:tblPr>
        <w:tblpPr w:leftFromText="141" w:rightFromText="141" w:vertAnchor="text" w:horzAnchor="page" w:tblpX="629" w:tblpY="2"/>
        <w:tblW w:w="14812" w:type="dxa"/>
        <w:tblCellMar>
          <w:left w:w="70" w:type="dxa"/>
          <w:right w:w="70" w:type="dxa"/>
        </w:tblCellMar>
        <w:tblLook w:val="0000" w:firstRow="0" w:lastRow="0" w:firstColumn="0" w:lastColumn="0" w:noHBand="0" w:noVBand="0"/>
      </w:tblPr>
      <w:tblGrid>
        <w:gridCol w:w="7070"/>
        <w:gridCol w:w="1540"/>
        <w:gridCol w:w="1540"/>
        <w:gridCol w:w="1540"/>
        <w:gridCol w:w="1540"/>
        <w:gridCol w:w="1582"/>
      </w:tblGrid>
      <w:tr w:rsidR="007D5748" w:rsidRPr="007D5748" w:rsidTr="00E7244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6C45" w:rsidRPr="007D5748" w:rsidTr="00E7244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6C45" w:rsidRPr="007D5748" w:rsidRDefault="007D6C45" w:rsidP="007D6C45">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6C45" w:rsidRPr="007D5748" w:rsidRDefault="007D6C45" w:rsidP="007D6C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6C45" w:rsidRPr="007D5748" w:rsidRDefault="007D6C45" w:rsidP="007D6C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Pr="007D5748">
              <w:rPr>
                <w:rFonts w:ascii="Times New Roman" w:eastAsia="Times New Roman" w:hAnsi="Times New Roman" w:cs="Times New Roman"/>
                <w:b/>
                <w:bCs/>
                <w:sz w:val="24"/>
                <w:szCs w:val="24"/>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7D6C45" w:rsidRPr="007D5748" w:rsidRDefault="007D6C45" w:rsidP="007D6C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Pr="007D5748">
              <w:rPr>
                <w:rFonts w:ascii="Times New Roman" w:eastAsia="Times New Roman" w:hAnsi="Times New Roman" w:cs="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7D6C45" w:rsidRPr="007D5748" w:rsidRDefault="007D6C45" w:rsidP="007D6C4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Pr="007D5748">
              <w:rPr>
                <w:rFonts w:ascii="Times New Roman" w:eastAsia="Times New Roman" w:hAnsi="Times New Roman" w:cs="Times New Roman"/>
                <w:b/>
                <w:bCs/>
                <w:sz w:val="24"/>
                <w:szCs w:val="24"/>
                <w:lang w:eastAsia="sk-SK"/>
              </w:rPr>
              <w:t>3</w:t>
            </w:r>
          </w:p>
        </w:tc>
        <w:tc>
          <w:tcPr>
            <w:tcW w:w="1582" w:type="dxa"/>
            <w:vMerge/>
            <w:tcBorders>
              <w:top w:val="single" w:sz="4" w:space="0" w:color="auto"/>
              <w:left w:val="single" w:sz="4" w:space="0" w:color="auto"/>
              <w:bottom w:val="single" w:sz="4" w:space="0" w:color="auto"/>
              <w:right w:val="single" w:sz="4" w:space="0" w:color="auto"/>
            </w:tcBorders>
            <w:vAlign w:val="center"/>
          </w:tcPr>
          <w:p w:rsidR="007D6C45" w:rsidRPr="007D5748" w:rsidRDefault="007D6C45" w:rsidP="007D6C45">
            <w:pPr>
              <w:spacing w:after="0" w:line="240" w:lineRule="auto"/>
              <w:rPr>
                <w:rFonts w:ascii="Times New Roman" w:eastAsia="Times New Roman" w:hAnsi="Times New Roman" w:cs="Times New Roman"/>
                <w:b/>
                <w:bCs/>
                <w:color w:val="FFFFFF"/>
                <w:sz w:val="24"/>
                <w:szCs w:val="24"/>
                <w:lang w:eastAsia="sk-SK"/>
              </w:rPr>
            </w:pPr>
          </w:p>
        </w:tc>
      </w:tr>
      <w:tr w:rsidR="009E770E" w:rsidRPr="007D5748" w:rsidTr="00FB6478">
        <w:trPr>
          <w:trHeight w:val="255"/>
        </w:trPr>
        <w:tc>
          <w:tcPr>
            <w:tcW w:w="7070" w:type="dxa"/>
            <w:tcBorders>
              <w:top w:val="nil"/>
              <w:left w:val="single" w:sz="4" w:space="0" w:color="auto"/>
              <w:bottom w:val="single" w:sz="4" w:space="0" w:color="auto"/>
              <w:right w:val="single" w:sz="4" w:space="0" w:color="auto"/>
            </w:tcBorders>
          </w:tcPr>
          <w:p w:rsidR="009E770E" w:rsidRPr="007D5748" w:rsidRDefault="009E770E"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bottom"/>
          </w:tcPr>
          <w:p w:rsidR="009E770E" w:rsidRDefault="009E770E">
            <w:pPr>
              <w:jc w:val="right"/>
              <w:rPr>
                <w:rFonts w:ascii="Calibri" w:hAnsi="Calibri"/>
                <w:b/>
                <w:bCs/>
                <w:color w:val="000000"/>
              </w:rPr>
            </w:pPr>
            <w:r>
              <w:rPr>
                <w:rFonts w:ascii="Calibri" w:hAnsi="Calibri"/>
                <w:b/>
                <w:bCs/>
                <w:color w:val="000000"/>
              </w:rPr>
              <w:t>51 697 671</w:t>
            </w:r>
          </w:p>
        </w:tc>
        <w:tc>
          <w:tcPr>
            <w:tcW w:w="1540" w:type="dxa"/>
            <w:tcBorders>
              <w:top w:val="nil"/>
              <w:left w:val="nil"/>
              <w:bottom w:val="single" w:sz="4" w:space="0" w:color="auto"/>
              <w:right w:val="single" w:sz="4" w:space="0" w:color="auto"/>
            </w:tcBorders>
            <w:vAlign w:val="bottom"/>
          </w:tcPr>
          <w:p w:rsidR="009E770E" w:rsidRDefault="009E770E">
            <w:pPr>
              <w:jc w:val="right"/>
              <w:rPr>
                <w:rFonts w:ascii="Calibri" w:hAnsi="Calibri"/>
                <w:b/>
                <w:bCs/>
                <w:color w:val="000000"/>
              </w:rPr>
            </w:pPr>
            <w:r>
              <w:rPr>
                <w:rFonts w:ascii="Calibri" w:hAnsi="Calibri"/>
                <w:b/>
                <w:bCs/>
                <w:color w:val="000000"/>
              </w:rPr>
              <w:t>54 106 782</w:t>
            </w:r>
          </w:p>
        </w:tc>
        <w:tc>
          <w:tcPr>
            <w:tcW w:w="1540" w:type="dxa"/>
            <w:tcBorders>
              <w:top w:val="nil"/>
              <w:left w:val="nil"/>
              <w:bottom w:val="single" w:sz="4" w:space="0" w:color="auto"/>
              <w:right w:val="single" w:sz="4" w:space="0" w:color="auto"/>
            </w:tcBorders>
            <w:vAlign w:val="bottom"/>
          </w:tcPr>
          <w:p w:rsidR="009E770E" w:rsidRDefault="009E770E">
            <w:pPr>
              <w:jc w:val="right"/>
              <w:rPr>
                <w:rFonts w:ascii="Calibri" w:hAnsi="Calibri"/>
                <w:b/>
                <w:bCs/>
                <w:color w:val="000000"/>
              </w:rPr>
            </w:pPr>
            <w:r>
              <w:rPr>
                <w:rFonts w:ascii="Calibri" w:hAnsi="Calibri"/>
                <w:b/>
                <w:bCs/>
                <w:color w:val="000000"/>
              </w:rPr>
              <w:t>56 411 731</w:t>
            </w:r>
          </w:p>
        </w:tc>
        <w:tc>
          <w:tcPr>
            <w:tcW w:w="1540" w:type="dxa"/>
            <w:tcBorders>
              <w:top w:val="nil"/>
              <w:left w:val="nil"/>
              <w:bottom w:val="single" w:sz="4" w:space="0" w:color="auto"/>
              <w:right w:val="single" w:sz="4" w:space="0" w:color="auto"/>
            </w:tcBorders>
            <w:vAlign w:val="bottom"/>
          </w:tcPr>
          <w:p w:rsidR="009E770E" w:rsidRDefault="009E770E">
            <w:pPr>
              <w:jc w:val="right"/>
              <w:rPr>
                <w:rFonts w:ascii="Calibri" w:hAnsi="Calibri"/>
                <w:b/>
                <w:bCs/>
                <w:color w:val="000000"/>
              </w:rPr>
            </w:pPr>
            <w:r>
              <w:rPr>
                <w:rFonts w:ascii="Calibri" w:hAnsi="Calibri"/>
                <w:b/>
                <w:bCs/>
                <w:color w:val="000000"/>
              </w:rPr>
              <w:t>58 938 977</w:t>
            </w:r>
          </w:p>
        </w:tc>
        <w:tc>
          <w:tcPr>
            <w:tcW w:w="1582" w:type="dxa"/>
            <w:tcBorders>
              <w:top w:val="nil"/>
              <w:left w:val="nil"/>
              <w:bottom w:val="single" w:sz="4" w:space="0" w:color="auto"/>
              <w:right w:val="single" w:sz="4" w:space="0" w:color="auto"/>
            </w:tcBorders>
            <w:noWrap/>
            <w:vAlign w:val="bottom"/>
          </w:tcPr>
          <w:p w:rsidR="009E770E" w:rsidRPr="007D5748" w:rsidRDefault="009E770E"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vAlign w:val="center"/>
          </w:tcPr>
          <w:p w:rsidR="00EA7AC8" w:rsidRPr="007D5748" w:rsidRDefault="00EA7AC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b/>
                <w:bCs/>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EA7AC8" w:rsidRPr="007D5748" w:rsidRDefault="00EA7AC8" w:rsidP="007D5748">
            <w:pPr>
              <w:spacing w:after="0" w:line="240" w:lineRule="auto"/>
              <w:jc w:val="center"/>
              <w:rPr>
                <w:rFonts w:ascii="Times New Roman" w:eastAsia="Times New Roman" w:hAnsi="Times New Roman" w:cs="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7AC8" w:rsidRPr="007D5748" w:rsidTr="00E72448">
        <w:trPr>
          <w:trHeight w:val="255"/>
        </w:trPr>
        <w:tc>
          <w:tcPr>
            <w:tcW w:w="7070" w:type="dxa"/>
            <w:tcBorders>
              <w:top w:val="nil"/>
              <w:left w:val="single" w:sz="4" w:space="0" w:color="auto"/>
              <w:bottom w:val="single" w:sz="4" w:space="0" w:color="auto"/>
              <w:right w:val="single" w:sz="4" w:space="0" w:color="auto"/>
            </w:tcBorders>
          </w:tcPr>
          <w:p w:rsidR="00EA7AC8" w:rsidRPr="007D5748" w:rsidRDefault="00EA7AC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A7AC8" w:rsidRPr="007D5748" w:rsidRDefault="00EA7AC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EA7AC8" w:rsidRPr="007D5748" w:rsidRDefault="00EA7AC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EA7AC8" w:rsidRPr="007D5748" w:rsidRDefault="00EA7AC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EA7AC8" w:rsidRPr="007D5748" w:rsidRDefault="00EA7AC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82" w:type="dxa"/>
            <w:tcBorders>
              <w:top w:val="nil"/>
              <w:left w:val="nil"/>
              <w:bottom w:val="single" w:sz="4" w:space="0" w:color="auto"/>
              <w:right w:val="single" w:sz="4" w:space="0" w:color="auto"/>
            </w:tcBorders>
            <w:noWrap/>
            <w:vAlign w:val="bottom"/>
          </w:tcPr>
          <w:p w:rsidR="00EA7AC8" w:rsidRPr="007D5748" w:rsidRDefault="00EA7AC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E770E" w:rsidRPr="007D5748" w:rsidTr="00FB647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770E" w:rsidRPr="007D5748" w:rsidRDefault="009E770E"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51 697 671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54 106 782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56 411 731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9E770E" w:rsidRDefault="009E770E">
            <w:pPr>
              <w:jc w:val="right"/>
              <w:rPr>
                <w:rFonts w:ascii="Calibri" w:hAnsi="Calibri"/>
                <w:b/>
                <w:bCs/>
                <w:color w:val="000000"/>
              </w:rPr>
            </w:pPr>
            <w:r>
              <w:rPr>
                <w:rFonts w:ascii="Calibri" w:hAnsi="Calibri"/>
                <w:b/>
                <w:bCs/>
                <w:color w:val="000000"/>
              </w:rPr>
              <w:t>58 938 977</w:t>
            </w:r>
          </w:p>
        </w:tc>
        <w:tc>
          <w:tcPr>
            <w:tcW w:w="158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E770E" w:rsidRPr="007D5748" w:rsidRDefault="009E770E"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lastRenderedPageBreak/>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E72448" w:rsidRDefault="00E72448" w:rsidP="00E72448">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5</w:t>
      </w:r>
    </w:p>
    <w:tbl>
      <w:tblPr>
        <w:tblW w:w="14888" w:type="dxa"/>
        <w:tblInd w:w="-784" w:type="dxa"/>
        <w:tblCellMar>
          <w:left w:w="70" w:type="dxa"/>
          <w:right w:w="70" w:type="dxa"/>
        </w:tblCellMar>
        <w:tblLook w:val="0000" w:firstRow="0" w:lastRow="0" w:firstColumn="0" w:lastColumn="0" w:noHBand="0" w:noVBand="0"/>
      </w:tblPr>
      <w:tblGrid>
        <w:gridCol w:w="6133"/>
        <w:gridCol w:w="1681"/>
        <w:gridCol w:w="1770"/>
        <w:gridCol w:w="2392"/>
        <w:gridCol w:w="1705"/>
        <w:gridCol w:w="1207"/>
      </w:tblGrid>
      <w:tr w:rsidR="007D5748" w:rsidRPr="007D5748" w:rsidTr="00E7244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7244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07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074"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448">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074"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E72448" w:rsidRDefault="00E72448" w:rsidP="00E72448">
      <w:pPr>
        <w:spacing w:after="0" w:line="240" w:lineRule="auto"/>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Poznámky:</w:t>
      </w:r>
    </w:p>
    <w:p w:rsidR="00CB3623" w:rsidRDefault="00E72448" w:rsidP="00E72448">
      <w:pPr>
        <w:spacing w:after="0" w:line="240" w:lineRule="auto"/>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72448" w:rsidRDefault="00E72448" w:rsidP="00E724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p w:rsidR="00E72448" w:rsidRDefault="00E72448" w:rsidP="00E724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p w:rsidR="00797ED8" w:rsidRDefault="00797ED8" w:rsidP="00E72448">
      <w:pPr>
        <w:spacing w:after="0" w:line="240" w:lineRule="auto"/>
        <w:rPr>
          <w:rFonts w:ascii="Times New Roman" w:eastAsia="Times New Roman" w:hAnsi="Times New Roman" w:cs="Times New Roman"/>
          <w:sz w:val="24"/>
          <w:szCs w:val="24"/>
          <w:lang w:eastAsia="sk-SK"/>
        </w:rPr>
      </w:pPr>
    </w:p>
    <w:p w:rsidR="00766003" w:rsidRDefault="00766003">
      <w:pPr>
        <w:rPr>
          <w:rFonts w:ascii="Times New Roman" w:eastAsia="Times New Roman" w:hAnsi="Times New Roman" w:cs="Times New Roman"/>
          <w:sz w:val="24"/>
          <w:szCs w:val="24"/>
          <w:lang w:eastAsia="sk-SK"/>
        </w:rPr>
      </w:pPr>
    </w:p>
    <w:p w:rsidR="00766003" w:rsidRDefault="00766003">
      <w:pPr>
        <w:rPr>
          <w:rFonts w:ascii="Times New Roman" w:eastAsia="Times New Roman" w:hAnsi="Times New Roman" w:cs="Times New Roman"/>
          <w:sz w:val="24"/>
          <w:szCs w:val="24"/>
          <w:lang w:eastAsia="sk-SK"/>
        </w:rPr>
      </w:pPr>
    </w:p>
    <w:p w:rsidR="00766003" w:rsidRDefault="00766003">
      <w:pPr>
        <w:rPr>
          <w:rFonts w:ascii="Times New Roman" w:eastAsia="Times New Roman" w:hAnsi="Times New Roman" w:cs="Times New Roman"/>
          <w:sz w:val="24"/>
          <w:szCs w:val="24"/>
          <w:lang w:eastAsia="sk-SK"/>
        </w:rPr>
      </w:pPr>
    </w:p>
    <w:p w:rsidR="00766003" w:rsidRDefault="00766003">
      <w:pPr>
        <w:rPr>
          <w:rFonts w:ascii="Times New Roman" w:eastAsia="Times New Roman" w:hAnsi="Times New Roman" w:cs="Times New Roman"/>
          <w:sz w:val="24"/>
          <w:szCs w:val="24"/>
          <w:lang w:eastAsia="sk-SK"/>
        </w:rPr>
      </w:pPr>
    </w:p>
    <w:p w:rsidR="00797ED8" w:rsidRDefault="00797ED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766003" w:rsidRPr="00797ED8" w:rsidRDefault="00766003" w:rsidP="00766003">
      <w:pPr>
        <w:spacing w:after="0" w:line="240" w:lineRule="auto"/>
      </w:pPr>
      <w:r>
        <w:rPr>
          <w:u w:val="single"/>
        </w:rPr>
        <w:lastRenderedPageBreak/>
        <w:t>Príloha 1</w:t>
      </w:r>
      <w:r>
        <w:t>: Očakávaný rozpočet príspevku na cirkvi a jeho rozdelenie medzi jednotlivé cirkvi a náboženské spoločnosti</w:t>
      </w:r>
    </w:p>
    <w:p w:rsidR="00766003" w:rsidRDefault="00766003" w:rsidP="00766003">
      <w:pPr>
        <w:spacing w:after="0" w:line="240" w:lineRule="auto"/>
      </w:pPr>
    </w:p>
    <w:tbl>
      <w:tblPr>
        <w:tblW w:w="0" w:type="auto"/>
        <w:tblInd w:w="60" w:type="dxa"/>
        <w:tblCellMar>
          <w:left w:w="70" w:type="dxa"/>
          <w:right w:w="70" w:type="dxa"/>
        </w:tblCellMar>
        <w:tblLook w:val="04A0" w:firstRow="1" w:lastRow="0" w:firstColumn="1" w:lastColumn="0" w:noHBand="0" w:noVBand="1"/>
      </w:tblPr>
      <w:tblGrid>
        <w:gridCol w:w="6164"/>
        <w:gridCol w:w="1293"/>
        <w:gridCol w:w="1293"/>
        <w:gridCol w:w="1293"/>
        <w:gridCol w:w="1293"/>
      </w:tblGrid>
      <w:tr w:rsidR="00A96BA9" w:rsidRPr="007C33C3" w:rsidTr="00506C2C">
        <w:trPr>
          <w:trHeight w:val="31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6BA9" w:rsidRPr="007C33C3" w:rsidRDefault="00A96BA9" w:rsidP="00506C2C">
            <w:pPr>
              <w:spacing w:after="0" w:line="240" w:lineRule="auto"/>
              <w:rPr>
                <w:rFonts w:ascii="Calibri" w:eastAsia="Times New Roman" w:hAnsi="Calibri" w:cs="Times New Roman"/>
                <w:b/>
                <w:bCs/>
                <w:color w:val="000000"/>
                <w:lang w:eastAsia="sk-SK"/>
              </w:rPr>
            </w:pPr>
            <w:r w:rsidRPr="007C33C3">
              <w:rPr>
                <w:rFonts w:ascii="Calibri" w:eastAsia="Times New Roman" w:hAnsi="Calibri" w:cs="Times New Roman"/>
                <w:b/>
                <w:bCs/>
                <w:color w:val="000000"/>
                <w:lang w:eastAsia="sk-SK"/>
              </w:rPr>
              <w:t>Cirkev</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96BA9" w:rsidRPr="00870C66" w:rsidRDefault="00A96BA9" w:rsidP="00506C2C">
            <w:pPr>
              <w:spacing w:after="0" w:line="240" w:lineRule="auto"/>
              <w:jc w:val="right"/>
              <w:rPr>
                <w:rFonts w:ascii="Calibri" w:eastAsia="Times New Roman" w:hAnsi="Calibri" w:cs="Times New Roman"/>
                <w:b/>
                <w:color w:val="000000"/>
                <w:lang w:eastAsia="sk-SK"/>
              </w:rPr>
            </w:pPr>
            <w:r w:rsidRPr="00870C66">
              <w:rPr>
                <w:rFonts w:ascii="Calibri" w:eastAsia="Times New Roman" w:hAnsi="Calibri" w:cs="Times New Roman"/>
                <w:b/>
                <w:color w:val="000000"/>
                <w:lang w:eastAsia="sk-SK"/>
              </w:rPr>
              <w:t>2020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96BA9" w:rsidRPr="00870C66" w:rsidRDefault="00A96BA9" w:rsidP="00506C2C">
            <w:pPr>
              <w:spacing w:after="0" w:line="240" w:lineRule="auto"/>
              <w:jc w:val="right"/>
              <w:rPr>
                <w:rFonts w:ascii="Calibri" w:eastAsia="Times New Roman" w:hAnsi="Calibri" w:cs="Times New Roman"/>
                <w:b/>
                <w:color w:val="000000"/>
                <w:lang w:eastAsia="sk-SK"/>
              </w:rPr>
            </w:pPr>
            <w:r w:rsidRPr="00870C66">
              <w:rPr>
                <w:rFonts w:ascii="Calibri" w:eastAsia="Times New Roman" w:hAnsi="Calibri" w:cs="Times New Roman"/>
                <w:b/>
                <w:color w:val="000000"/>
                <w:lang w:eastAsia="sk-SK"/>
              </w:rPr>
              <w:t>2021</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A96BA9" w:rsidRPr="00870C66" w:rsidRDefault="00A96BA9" w:rsidP="00506C2C">
            <w:pPr>
              <w:spacing w:after="0" w:line="240" w:lineRule="auto"/>
              <w:jc w:val="right"/>
              <w:rPr>
                <w:rFonts w:ascii="Calibri" w:eastAsia="Times New Roman" w:hAnsi="Calibri" w:cs="Times New Roman"/>
                <w:b/>
                <w:color w:val="000000"/>
                <w:lang w:eastAsia="sk-SK"/>
              </w:rPr>
            </w:pPr>
            <w:r w:rsidRPr="00870C66">
              <w:rPr>
                <w:rFonts w:ascii="Calibri" w:eastAsia="Times New Roman" w:hAnsi="Calibri" w:cs="Times New Roman"/>
                <w:b/>
                <w:color w:val="000000"/>
                <w:lang w:eastAsia="sk-SK"/>
              </w:rPr>
              <w:t>2022</w:t>
            </w:r>
          </w:p>
        </w:tc>
        <w:tc>
          <w:tcPr>
            <w:tcW w:w="0" w:type="auto"/>
            <w:tcBorders>
              <w:top w:val="single" w:sz="8" w:space="0" w:color="auto"/>
              <w:left w:val="nil"/>
              <w:bottom w:val="single" w:sz="4" w:space="0" w:color="auto"/>
              <w:right w:val="single" w:sz="8" w:space="0" w:color="auto"/>
            </w:tcBorders>
            <w:vAlign w:val="bottom"/>
          </w:tcPr>
          <w:p w:rsidR="00A96BA9" w:rsidRPr="00870C66" w:rsidRDefault="00A96BA9" w:rsidP="00506C2C">
            <w:pPr>
              <w:spacing w:after="0" w:line="240" w:lineRule="auto"/>
              <w:jc w:val="right"/>
              <w:rPr>
                <w:rFonts w:ascii="Calibri" w:eastAsia="Times New Roman" w:hAnsi="Calibri" w:cs="Times New Roman"/>
                <w:b/>
                <w:color w:val="000000"/>
                <w:lang w:eastAsia="sk-SK"/>
              </w:rPr>
            </w:pPr>
            <w:r w:rsidRPr="00870C66">
              <w:rPr>
                <w:rFonts w:ascii="Calibri" w:eastAsia="Times New Roman" w:hAnsi="Calibri" w:cs="Times New Roman"/>
                <w:b/>
                <w:color w:val="000000"/>
                <w:lang w:eastAsia="sk-SK"/>
              </w:rPr>
              <w:t>2023</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Rímskokatolícka cirkev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34 538 721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36 529 864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38 434 915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40 523 696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Evanjelická cirkev augsburského vyznania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5 174 749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5 362 872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5 542 861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5 740 208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Gréckokatolícka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5 106 921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5 229 979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5 347 716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5 476 809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Reformovaná kresťanská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2 752 563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2 811 333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2 867 562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2 929 213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Pravoslávna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2 078 849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2 108 076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2 136 039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2 166 699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Náboženská spoločnosť Jehovovi svedkovia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Evanjelická cirkev metodistická, Slovenská oblasť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340 248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346 392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352 270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358 715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Kresťanské zbory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Apoštolská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499 121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502 590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505 908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509 547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Bratská jednota baptistov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366 822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368 896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370 880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373 055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Cirkev bratská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401 850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403 870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405 803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407 922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Cirkev adventistov siedmeho dňa, Slovenské združenie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43 441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45 175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46 834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48 653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Ústredný zväz židovských náboženských obcí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139 891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141 080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142 218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143 465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Cirkev československá husitská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117 166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118 226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119 240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120 352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Starokatolícka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128 780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129 784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130 744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131 796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Bahájske spoločenstvo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r>
      <w:tr w:rsidR="00D9008B" w:rsidRPr="007C33C3" w:rsidTr="00506C2C">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Cirkev Ježiša Krista Svätých neskorších dní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0 </w:t>
            </w:r>
          </w:p>
        </w:tc>
      </w:tr>
      <w:tr w:rsidR="00D9008B" w:rsidRPr="007C33C3" w:rsidTr="00506C2C">
        <w:trPr>
          <w:trHeight w:val="317"/>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color w:val="000000"/>
                <w:lang w:eastAsia="sk-SK"/>
              </w:rPr>
            </w:pPr>
            <w:r w:rsidRPr="007C33C3">
              <w:rPr>
                <w:rFonts w:ascii="Calibri" w:eastAsia="Times New Roman" w:hAnsi="Calibri" w:cs="Times New Roman"/>
                <w:color w:val="000000"/>
                <w:lang w:eastAsia="sk-SK"/>
              </w:rPr>
              <w:t xml:space="preserve">Novoapoštolská cirkev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color w:val="000000"/>
              </w:rPr>
            </w:pPr>
            <w:r>
              <w:rPr>
                <w:rFonts w:ascii="Calibri" w:hAnsi="Calibri"/>
                <w:color w:val="000000"/>
              </w:rPr>
              <w:t xml:space="preserve">8 548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8 647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color w:val="000000"/>
              </w:rPr>
            </w:pPr>
            <w:r>
              <w:rPr>
                <w:rFonts w:ascii="Calibri" w:hAnsi="Calibri"/>
                <w:color w:val="000000"/>
              </w:rPr>
              <w:t xml:space="preserve">8 741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color w:val="000000"/>
              </w:rPr>
            </w:pPr>
            <w:r>
              <w:rPr>
                <w:rFonts w:ascii="Calibri" w:hAnsi="Calibri"/>
                <w:color w:val="000000"/>
              </w:rPr>
              <w:t xml:space="preserve">8 845 </w:t>
            </w:r>
          </w:p>
        </w:tc>
      </w:tr>
      <w:tr w:rsidR="00D9008B" w:rsidRPr="007C33C3" w:rsidTr="00506C2C">
        <w:trPr>
          <w:trHeight w:val="317"/>
        </w:trPr>
        <w:tc>
          <w:tcPr>
            <w:tcW w:w="0" w:type="auto"/>
            <w:tcBorders>
              <w:top w:val="nil"/>
              <w:left w:val="single" w:sz="8" w:space="0" w:color="auto"/>
              <w:bottom w:val="single" w:sz="4" w:space="0" w:color="auto"/>
              <w:right w:val="nil"/>
            </w:tcBorders>
            <w:shd w:val="clear" w:color="auto" w:fill="auto"/>
            <w:noWrap/>
            <w:vAlign w:val="bottom"/>
            <w:hideMark/>
          </w:tcPr>
          <w:p w:rsidR="00D9008B" w:rsidRPr="007C33C3" w:rsidRDefault="00D9008B" w:rsidP="00506C2C">
            <w:pPr>
              <w:spacing w:after="0" w:line="240" w:lineRule="auto"/>
              <w:rPr>
                <w:rFonts w:ascii="Calibri" w:eastAsia="Times New Roman" w:hAnsi="Calibri" w:cs="Times New Roman"/>
                <w:b/>
                <w:bCs/>
                <w:color w:val="000000"/>
                <w:lang w:eastAsia="sk-SK"/>
              </w:rPr>
            </w:pPr>
            <w:r w:rsidRPr="007C33C3">
              <w:rPr>
                <w:rFonts w:ascii="Calibri" w:eastAsia="Times New Roman" w:hAnsi="Calibri" w:cs="Times New Roman"/>
                <w:b/>
                <w:bCs/>
                <w:color w:val="000000"/>
                <w:lang w:eastAsia="sk-SK"/>
              </w:rPr>
              <w:t>Spolu podpora cirkví</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008B" w:rsidRDefault="00D9008B" w:rsidP="00506C2C">
            <w:pPr>
              <w:spacing w:after="0"/>
              <w:jc w:val="right"/>
              <w:rPr>
                <w:rFonts w:ascii="Calibri" w:hAnsi="Calibri"/>
                <w:b/>
                <w:bCs/>
                <w:color w:val="000000"/>
              </w:rPr>
            </w:pPr>
            <w:r>
              <w:rPr>
                <w:rFonts w:ascii="Calibri" w:hAnsi="Calibri"/>
                <w:b/>
                <w:bCs/>
                <w:color w:val="000000"/>
              </w:rPr>
              <w:t>51 697 671 €</w:t>
            </w:r>
          </w:p>
        </w:tc>
        <w:tc>
          <w:tcPr>
            <w:tcW w:w="0" w:type="auto"/>
            <w:tcBorders>
              <w:top w:val="nil"/>
              <w:left w:val="nil"/>
              <w:bottom w:val="single" w:sz="4" w:space="0" w:color="auto"/>
              <w:right w:val="single" w:sz="4" w:space="0" w:color="auto"/>
            </w:tcBorders>
            <w:shd w:val="clear" w:color="auto" w:fill="auto"/>
            <w:noWrap/>
            <w:vAlign w:val="bottom"/>
          </w:tcPr>
          <w:p w:rsidR="00D9008B" w:rsidRDefault="00D9008B" w:rsidP="00506C2C">
            <w:pPr>
              <w:spacing w:after="0"/>
              <w:jc w:val="right"/>
              <w:rPr>
                <w:rFonts w:ascii="Calibri" w:hAnsi="Calibri"/>
                <w:b/>
                <w:bCs/>
                <w:color w:val="000000"/>
              </w:rPr>
            </w:pPr>
            <w:r>
              <w:rPr>
                <w:rFonts w:ascii="Calibri" w:hAnsi="Calibri"/>
                <w:b/>
                <w:bCs/>
                <w:color w:val="000000"/>
              </w:rPr>
              <w:t>54 106 782 €</w:t>
            </w:r>
          </w:p>
        </w:tc>
        <w:tc>
          <w:tcPr>
            <w:tcW w:w="0" w:type="auto"/>
            <w:tcBorders>
              <w:top w:val="nil"/>
              <w:left w:val="nil"/>
              <w:bottom w:val="single" w:sz="4" w:space="0" w:color="auto"/>
              <w:right w:val="single" w:sz="8" w:space="0" w:color="auto"/>
            </w:tcBorders>
            <w:shd w:val="clear" w:color="auto" w:fill="auto"/>
            <w:noWrap/>
            <w:vAlign w:val="bottom"/>
          </w:tcPr>
          <w:p w:rsidR="00D9008B" w:rsidRDefault="00D9008B" w:rsidP="00506C2C">
            <w:pPr>
              <w:spacing w:after="0"/>
              <w:jc w:val="right"/>
              <w:rPr>
                <w:rFonts w:ascii="Calibri" w:hAnsi="Calibri"/>
                <w:b/>
                <w:bCs/>
                <w:color w:val="000000"/>
              </w:rPr>
            </w:pPr>
            <w:r>
              <w:rPr>
                <w:rFonts w:ascii="Calibri" w:hAnsi="Calibri"/>
                <w:b/>
                <w:bCs/>
                <w:color w:val="000000"/>
              </w:rPr>
              <w:t>56 411 731 €</w:t>
            </w:r>
          </w:p>
        </w:tc>
        <w:tc>
          <w:tcPr>
            <w:tcW w:w="0" w:type="auto"/>
            <w:tcBorders>
              <w:top w:val="nil"/>
              <w:left w:val="nil"/>
              <w:bottom w:val="single" w:sz="4" w:space="0" w:color="auto"/>
              <w:right w:val="single" w:sz="8" w:space="0" w:color="auto"/>
            </w:tcBorders>
            <w:vAlign w:val="bottom"/>
          </w:tcPr>
          <w:p w:rsidR="00D9008B" w:rsidRDefault="00D9008B" w:rsidP="00506C2C">
            <w:pPr>
              <w:spacing w:after="0"/>
              <w:jc w:val="right"/>
              <w:rPr>
                <w:rFonts w:ascii="Calibri" w:hAnsi="Calibri"/>
                <w:b/>
                <w:bCs/>
                <w:color w:val="000000"/>
              </w:rPr>
            </w:pPr>
            <w:r>
              <w:rPr>
                <w:rFonts w:ascii="Calibri" w:hAnsi="Calibri"/>
                <w:b/>
                <w:bCs/>
                <w:color w:val="000000"/>
              </w:rPr>
              <w:t>58 938 977 €</w:t>
            </w:r>
          </w:p>
        </w:tc>
      </w:tr>
    </w:tbl>
    <w:p w:rsidR="00766003" w:rsidRDefault="00766003" w:rsidP="00766003">
      <w:pPr>
        <w:spacing w:after="0" w:line="240" w:lineRule="auto"/>
      </w:pPr>
    </w:p>
    <w:p w:rsidR="00EA3CE7" w:rsidRDefault="00EA3CE7" w:rsidP="00E72448">
      <w:pPr>
        <w:spacing w:after="0" w:line="240" w:lineRule="auto"/>
        <w:rPr>
          <w:u w:val="single"/>
        </w:rPr>
      </w:pPr>
    </w:p>
    <w:sectPr w:rsidR="00EA3CE7" w:rsidSect="00E72448">
      <w:type w:val="continuous"/>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43" w:rsidRDefault="00E80F43">
      <w:pPr>
        <w:spacing w:after="0" w:line="240" w:lineRule="auto"/>
      </w:pPr>
      <w:r>
        <w:separator/>
      </w:r>
    </w:p>
  </w:endnote>
  <w:endnote w:type="continuationSeparator" w:id="0">
    <w:p w:rsidR="00E80F43" w:rsidRDefault="00E8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A0" w:rsidRDefault="00E035A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035A0" w:rsidRDefault="00E035A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A0" w:rsidRPr="00CA502A" w:rsidRDefault="00E035A0" w:rsidP="00E72448">
    <w:pPr>
      <w:pStyle w:val="Pta"/>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A0" w:rsidRDefault="00E035A0">
    <w:pPr>
      <w:pStyle w:val="Pta"/>
      <w:jc w:val="right"/>
    </w:pPr>
    <w:r>
      <w:fldChar w:fldCharType="begin"/>
    </w:r>
    <w:r>
      <w:instrText>PAGE   \* MERGEFORMAT</w:instrText>
    </w:r>
    <w:r>
      <w:fldChar w:fldCharType="separate"/>
    </w:r>
    <w:r>
      <w:rPr>
        <w:noProof/>
      </w:rPr>
      <w:t>0</w:t>
    </w:r>
    <w:r>
      <w:fldChar w:fldCharType="end"/>
    </w:r>
  </w:p>
  <w:p w:rsidR="00E035A0" w:rsidRDefault="00E035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43" w:rsidRDefault="00E80F43">
      <w:pPr>
        <w:spacing w:after="0" w:line="240" w:lineRule="auto"/>
      </w:pPr>
      <w:r>
        <w:separator/>
      </w:r>
    </w:p>
  </w:footnote>
  <w:footnote w:type="continuationSeparator" w:id="0">
    <w:p w:rsidR="00E80F43" w:rsidRDefault="00E80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A0" w:rsidRDefault="00E035A0" w:rsidP="00797ED8">
    <w:pPr>
      <w:pStyle w:val="Hlavika"/>
      <w:jc w:val="right"/>
      <w:rPr>
        <w:sz w:val="24"/>
        <w:szCs w:val="24"/>
      </w:rPr>
    </w:pPr>
    <w:r>
      <w:rPr>
        <w:sz w:val="24"/>
        <w:szCs w:val="24"/>
      </w:rPr>
      <w:t>Príloha č. 2</w:t>
    </w:r>
  </w:p>
  <w:p w:rsidR="00E035A0" w:rsidRPr="00EB59C8" w:rsidRDefault="00E035A0" w:rsidP="00797ED8">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A0" w:rsidRPr="000A15AE" w:rsidRDefault="00E035A0" w:rsidP="00797ED8">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26"/>
    <w:rsid w:val="00022D69"/>
    <w:rsid w:val="00035EB6"/>
    <w:rsid w:val="00053C63"/>
    <w:rsid w:val="00056B79"/>
    <w:rsid w:val="00057135"/>
    <w:rsid w:val="000842BC"/>
    <w:rsid w:val="000924F2"/>
    <w:rsid w:val="001127A8"/>
    <w:rsid w:val="0012464D"/>
    <w:rsid w:val="00146A26"/>
    <w:rsid w:val="00163B55"/>
    <w:rsid w:val="00170D2B"/>
    <w:rsid w:val="00185D49"/>
    <w:rsid w:val="001B5339"/>
    <w:rsid w:val="001F289C"/>
    <w:rsid w:val="00200898"/>
    <w:rsid w:val="00212894"/>
    <w:rsid w:val="00213A29"/>
    <w:rsid w:val="0023640E"/>
    <w:rsid w:val="0026711D"/>
    <w:rsid w:val="00280472"/>
    <w:rsid w:val="002C3D10"/>
    <w:rsid w:val="0031449F"/>
    <w:rsid w:val="00317B90"/>
    <w:rsid w:val="00377C60"/>
    <w:rsid w:val="003D4F57"/>
    <w:rsid w:val="003E623B"/>
    <w:rsid w:val="003F1E05"/>
    <w:rsid w:val="00414C81"/>
    <w:rsid w:val="00426018"/>
    <w:rsid w:val="00446450"/>
    <w:rsid w:val="00487203"/>
    <w:rsid w:val="00495BB8"/>
    <w:rsid w:val="004A2712"/>
    <w:rsid w:val="005005EC"/>
    <w:rsid w:val="00506C2C"/>
    <w:rsid w:val="00531326"/>
    <w:rsid w:val="005A2AA9"/>
    <w:rsid w:val="00610E92"/>
    <w:rsid w:val="00645C07"/>
    <w:rsid w:val="00664FDB"/>
    <w:rsid w:val="00666AC3"/>
    <w:rsid w:val="00673F10"/>
    <w:rsid w:val="006D6BCE"/>
    <w:rsid w:val="00704708"/>
    <w:rsid w:val="00715F4B"/>
    <w:rsid w:val="007246BD"/>
    <w:rsid w:val="0073596B"/>
    <w:rsid w:val="00766003"/>
    <w:rsid w:val="00797ED8"/>
    <w:rsid w:val="007C33C3"/>
    <w:rsid w:val="007D5748"/>
    <w:rsid w:val="007D6C45"/>
    <w:rsid w:val="00825696"/>
    <w:rsid w:val="008343A1"/>
    <w:rsid w:val="00870C66"/>
    <w:rsid w:val="008C7EF3"/>
    <w:rsid w:val="008D339D"/>
    <w:rsid w:val="008E2736"/>
    <w:rsid w:val="00905456"/>
    <w:rsid w:val="00950724"/>
    <w:rsid w:val="009706B7"/>
    <w:rsid w:val="00987CD2"/>
    <w:rsid w:val="009A755D"/>
    <w:rsid w:val="009E46B3"/>
    <w:rsid w:val="009E770E"/>
    <w:rsid w:val="00A20CBF"/>
    <w:rsid w:val="00A45298"/>
    <w:rsid w:val="00A92F8E"/>
    <w:rsid w:val="00A96BA9"/>
    <w:rsid w:val="00AA4D39"/>
    <w:rsid w:val="00AF44A3"/>
    <w:rsid w:val="00B5535C"/>
    <w:rsid w:val="00B80CDE"/>
    <w:rsid w:val="00BC747C"/>
    <w:rsid w:val="00BD1C67"/>
    <w:rsid w:val="00BD7D75"/>
    <w:rsid w:val="00C15212"/>
    <w:rsid w:val="00C30C64"/>
    <w:rsid w:val="00C51FD4"/>
    <w:rsid w:val="00CA502A"/>
    <w:rsid w:val="00CA58EB"/>
    <w:rsid w:val="00CB3623"/>
    <w:rsid w:val="00CE299A"/>
    <w:rsid w:val="00CF6EDB"/>
    <w:rsid w:val="00D16855"/>
    <w:rsid w:val="00D76B98"/>
    <w:rsid w:val="00D9008B"/>
    <w:rsid w:val="00DB5DFE"/>
    <w:rsid w:val="00DE5BF1"/>
    <w:rsid w:val="00E035A0"/>
    <w:rsid w:val="00E03B31"/>
    <w:rsid w:val="00E07CE9"/>
    <w:rsid w:val="00E52B19"/>
    <w:rsid w:val="00E72448"/>
    <w:rsid w:val="00E7576D"/>
    <w:rsid w:val="00E80F43"/>
    <w:rsid w:val="00E92605"/>
    <w:rsid w:val="00E963A3"/>
    <w:rsid w:val="00EA1E90"/>
    <w:rsid w:val="00EA3CE7"/>
    <w:rsid w:val="00EA7AC8"/>
    <w:rsid w:val="00F03703"/>
    <w:rsid w:val="00F40136"/>
    <w:rsid w:val="00FB64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423">
      <w:bodyDiv w:val="1"/>
      <w:marLeft w:val="0"/>
      <w:marRight w:val="0"/>
      <w:marTop w:val="0"/>
      <w:marBottom w:val="0"/>
      <w:divBdr>
        <w:top w:val="none" w:sz="0" w:space="0" w:color="auto"/>
        <w:left w:val="none" w:sz="0" w:space="0" w:color="auto"/>
        <w:bottom w:val="none" w:sz="0" w:space="0" w:color="auto"/>
        <w:right w:val="none" w:sz="0" w:space="0" w:color="auto"/>
      </w:divBdr>
    </w:div>
    <w:div w:id="163866711">
      <w:bodyDiv w:val="1"/>
      <w:marLeft w:val="0"/>
      <w:marRight w:val="0"/>
      <w:marTop w:val="0"/>
      <w:marBottom w:val="0"/>
      <w:divBdr>
        <w:top w:val="none" w:sz="0" w:space="0" w:color="auto"/>
        <w:left w:val="none" w:sz="0" w:space="0" w:color="auto"/>
        <w:bottom w:val="none" w:sz="0" w:space="0" w:color="auto"/>
        <w:right w:val="none" w:sz="0" w:space="0" w:color="auto"/>
      </w:divBdr>
    </w:div>
    <w:div w:id="1254434918">
      <w:bodyDiv w:val="1"/>
      <w:marLeft w:val="0"/>
      <w:marRight w:val="0"/>
      <w:marTop w:val="0"/>
      <w:marBottom w:val="0"/>
      <w:divBdr>
        <w:top w:val="none" w:sz="0" w:space="0" w:color="auto"/>
        <w:left w:val="none" w:sz="0" w:space="0" w:color="auto"/>
        <w:bottom w:val="none" w:sz="0" w:space="0" w:color="auto"/>
        <w:right w:val="none" w:sz="0" w:space="0" w:color="auto"/>
      </w:divBdr>
    </w:div>
    <w:div w:id="1330139636">
      <w:bodyDiv w:val="1"/>
      <w:marLeft w:val="0"/>
      <w:marRight w:val="0"/>
      <w:marTop w:val="0"/>
      <w:marBottom w:val="0"/>
      <w:divBdr>
        <w:top w:val="none" w:sz="0" w:space="0" w:color="auto"/>
        <w:left w:val="none" w:sz="0" w:space="0" w:color="auto"/>
        <w:bottom w:val="none" w:sz="0" w:space="0" w:color="auto"/>
        <w:right w:val="none" w:sz="0" w:space="0" w:color="auto"/>
      </w:divBdr>
    </w:div>
    <w:div w:id="1372224918">
      <w:bodyDiv w:val="1"/>
      <w:marLeft w:val="0"/>
      <w:marRight w:val="0"/>
      <w:marTop w:val="0"/>
      <w:marBottom w:val="0"/>
      <w:divBdr>
        <w:top w:val="none" w:sz="0" w:space="0" w:color="auto"/>
        <w:left w:val="none" w:sz="0" w:space="0" w:color="auto"/>
        <w:bottom w:val="none" w:sz="0" w:space="0" w:color="auto"/>
        <w:right w:val="none" w:sz="0" w:space="0" w:color="auto"/>
      </w:divBdr>
    </w:div>
    <w:div w:id="16979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Analýza-vplyvov-na-rozpočet-verejnej-správy"/>
    <f:field ref="objsubject" par="" edit="true" text=""/>
    <f:field ref="objcreatedby" par="" text="Fscclone"/>
    <f:field ref="objcreatedat" par="" text="24.6.2017 1:02:59"/>
    <f:field ref="objchangedby" par="" text="Fscclone"/>
    <f:field ref="objmodifiedat" par="" text="24.6.2017 1:03: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Illáš Martin</dc:creator>
  <cp:lastModifiedBy>Porubčin Karol</cp:lastModifiedBy>
  <cp:revision>2</cp:revision>
  <cp:lastPrinted>2019-08-06T09:34:00Z</cp:lastPrinted>
  <dcterms:created xsi:type="dcterms:W3CDTF">2019-08-06T09:35:00Z</dcterms:created>
  <dcterms:modified xsi:type="dcterms:W3CDTF">2019-08-06T09:35:00Z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&lt;/strong&gt;&lt;/p&gt;&lt;table align="left" border="0" cellpadding="0" cellspacing="0" style="width:100.0%;" width="100%"&gt;	&lt;tbody&gt;		&lt;tr&gt;			&lt;td colspan="5" style="width:100.0%;heig</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Nehnuteľnosti_x000d_
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140/2014 Z. z. o nadobúdaní vlastníctva poľnohospodárskeho pozemku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 1 na mesiac október Plánu legislatívnych úlohy vlády Slovenskej republiky</vt:lpwstr>
  </property>
  <property fmtid="{D5CDD505-2E9C-101B-9397-08002B2CF9AE}" pid="23" name="FSC#SKEDITIONSLOVLEX@103.510:plnynazovpredpis">
    <vt:lpwstr> Zákon, ktorým sa mení a dopĺňa zákon č. 140/2014 Z. z. o nadobúdaní vlastníctva poľnohospodárskeho pozemku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124/2017-100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LP/2017/429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63 až 66 Zmluvy o fungovaní Európskej únie</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	rozsudok Súdneho dvora vo spojených veciach C - 258/93 a C - 416/93 v trestnom konaní proti Aldo Bordessa, Vicente Marí Mellado a Concepción Barbero Maestr,  [1995], -	rozsudok Súdneho dvora vo veci C - 35/98, Staatssecretaris van Financiën proti B.G.M.</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bezpredmetné </vt:lpwstr>
  </property>
  <property fmtid="{D5CDD505-2E9C-101B-9397-08002B2CF9AE}" pid="54" name="FSC#SKEDITIONSLOVLEX@103.510:AttrStrListDocPropInfoZaciatokKonania">
    <vt:lpwstr>V danej oblasti bolo začaté konanie proti Slovenskej republike o porušení Zmluvy o založení Európskych spoločenstiev podľa čl. 258 Zmluvy o fungovaní Európskej únie v platnom znení. </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Finančné prostriedky budú zabezpečené v rámci schválených výdavkov kapitoly MPRV SR zo zdroja 111, programu 090 0401 bez zvýšených požiadaviek na prostriedky štátneho rozpočtu.Návrh bol predmetom konzultácií podľa bodu 5.8. JMPVV. Návrh bol prerokovaný v </vt:lpwstr>
  </property>
  <property fmtid="{D5CDD505-2E9C-101B-9397-08002B2CF9AE}" pid="66" name="FSC#SKEDITIONSLOVLEX@103.510:AttrStrListDocPropAltRiesenia">
    <vt:lpwstr>nie</vt:lpwstr>
  </property>
  <property fmtid="{D5CDD505-2E9C-101B-9397-08002B2CF9AE}" pid="67" name="FSC#SKEDITIONSLOVLEX@103.510:AttrStrListDocPropStanoviskoGest">
    <vt:lpwstr>I. Úvod: Ministerstvo pôdohospodárstva a rozvoja vidieka Slovenskej republiky dňa 18. júla 2016 predložilo Stálej pracovnej komisií na posudzovanie vybraných vplyvov (ďalej len „Komisia“) na predbežné pripomienkové konanie materiál: „Zákon, ktorým sa mení</vt:lpwstr>
  </property>
  <property fmtid="{D5CDD505-2E9C-101B-9397-08002B2CF9AE}" pid="68" name="FSC#SKEDITIONSLOVLEX@103.510:AttrStrListDocPropTextKomunike">
    <vt:lpwstr>Vláda Slovenskej republiky na svojom rokovaní dňa ....................... prerokovala a schválila návrh zákona, ktorým sa mení a dopĺňa zákon č. 140/2014 Z. z. o nadobúdaní vlastníctva poľnohospodárskeho pozemku a o zmene a doplnení niektorých zákonov v z</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návrh zákona, ktorým sa mení a&amp;nbsp;dopĺňa zákon č. 140/2014 Z. z. o nadobúdaní vlastníctva poľnohospodárskeho pozemku a o zmene a doplnení niektorých zákonov v znení n</vt:lpwstr>
  </property>
  <property fmtid="{D5CDD505-2E9C-101B-9397-08002B2CF9AE}" pid="150" name="FSC#SKEDITIONSLOVLEX@103.510:vytvorenedna">
    <vt:lpwstr>24. 6. 2017</vt:lpwstr>
  </property>
  <property fmtid="{D5CDD505-2E9C-101B-9397-08002B2CF9AE}" pid="151" name="FSC#COOSYSTEM@1.1:Container">
    <vt:lpwstr>COO.2145.1000.3.2036803</vt:lpwstr>
  </property>
  <property fmtid="{D5CDD505-2E9C-101B-9397-08002B2CF9AE}" pid="152" name="FSC#FSCFOLIO@1.1001:docpropproject">
    <vt:lpwstr/>
  </property>
</Properties>
</file>