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Pr="008C76D5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8C76D5">
        <w:rPr>
          <w:b/>
          <w:bCs/>
          <w:sz w:val="22"/>
          <w:szCs w:val="22"/>
        </w:rPr>
        <w:t>D</w:t>
      </w:r>
      <w:r w:rsidR="00C579E9" w:rsidRPr="008C76D5">
        <w:rPr>
          <w:b/>
          <w:bCs/>
          <w:sz w:val="22"/>
          <w:szCs w:val="22"/>
        </w:rPr>
        <w:t xml:space="preserve">oložka </w:t>
      </w:r>
      <w:r w:rsidRPr="008C76D5">
        <w:rPr>
          <w:b/>
          <w:bCs/>
          <w:sz w:val="22"/>
          <w:szCs w:val="22"/>
        </w:rPr>
        <w:t>vybraných vplyvov</w:t>
      </w:r>
    </w:p>
    <w:p w:rsidR="00D4221E" w:rsidRPr="008C76D5" w:rsidRDefault="00D4221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D4221E" w:rsidRPr="008C76D5">
        <w:trPr>
          <w:divId w:val="74707600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4221E" w:rsidRPr="008C76D5" w:rsidRDefault="00D4221E">
            <w:pPr>
              <w:rPr>
                <w:b/>
                <w:bCs/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D4221E" w:rsidRPr="008C76D5">
        <w:trPr>
          <w:divId w:val="74707600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4221E" w:rsidRPr="008C76D5" w:rsidRDefault="00D4221E">
            <w:pPr>
              <w:rPr>
                <w:b/>
                <w:bCs/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D4221E" w:rsidRPr="008C76D5" w:rsidTr="00641E0B">
        <w:trPr>
          <w:divId w:val="747076003"/>
          <w:trHeight w:val="70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6BB5" w:rsidRPr="008C76D5" w:rsidRDefault="008F780E" w:rsidP="008C76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Návrh zákona, </w:t>
            </w:r>
            <w:r w:rsidR="00012392" w:rsidRPr="00012392">
              <w:rPr>
                <w:sz w:val="22"/>
                <w:szCs w:val="22"/>
              </w:rPr>
              <w:t xml:space="preserve">ktorým sa mení a dopĺňa zákon č. 183/2011 Z. z. o uznávaní a výkone rozhodnutí o peňažnej sankcii v Európskej únii a o zmene a doplnení niektorých zákonov </w:t>
            </w:r>
            <w:r w:rsidR="00E11BBF" w:rsidRPr="00E11BBF">
              <w:rPr>
                <w:sz w:val="22"/>
                <w:szCs w:val="22"/>
              </w:rPr>
              <w:t>v znení zákona č. 91/2016 Z. z.</w:t>
            </w:r>
            <w:r w:rsidR="00E11BBF">
              <w:rPr>
                <w:sz w:val="22"/>
                <w:szCs w:val="22"/>
              </w:rPr>
              <w:t xml:space="preserve"> </w:t>
            </w:r>
            <w:r w:rsidR="00012392" w:rsidRPr="00012392">
              <w:rPr>
                <w:sz w:val="22"/>
                <w:szCs w:val="22"/>
              </w:rPr>
              <w:t>a ktorým sa menia a dopĺňajú niektoré zákony</w:t>
            </w:r>
          </w:p>
          <w:p w:rsidR="004C6BB5" w:rsidRPr="008C76D5" w:rsidRDefault="004C6BB5">
            <w:pPr>
              <w:rPr>
                <w:sz w:val="22"/>
                <w:szCs w:val="22"/>
              </w:rPr>
            </w:pPr>
          </w:p>
        </w:tc>
      </w:tr>
      <w:tr w:rsidR="00D4221E" w:rsidRPr="008C76D5">
        <w:trPr>
          <w:divId w:val="74707600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4221E" w:rsidRPr="008C76D5" w:rsidRDefault="001A115F">
            <w:pPr>
              <w:rPr>
                <w:b/>
                <w:bCs/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</w:t>
            </w:r>
            <w:r w:rsidR="00D4221E" w:rsidRPr="008C76D5">
              <w:rPr>
                <w:b/>
                <w:bCs/>
                <w:sz w:val="22"/>
                <w:szCs w:val="22"/>
              </w:rPr>
              <w:t>Predkladateľ (a spolupredkladateľ)</w:t>
            </w:r>
          </w:p>
        </w:tc>
      </w:tr>
      <w:tr w:rsidR="00D4221E" w:rsidRPr="008C76D5">
        <w:trPr>
          <w:divId w:val="74707600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21E" w:rsidRPr="008C76D5" w:rsidRDefault="00D4221E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Ministerstvo spravodlivosti Slovenskej republiky</w:t>
            </w:r>
          </w:p>
        </w:tc>
      </w:tr>
      <w:tr w:rsidR="00D4221E" w:rsidRPr="008C76D5">
        <w:trPr>
          <w:divId w:val="74707600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4221E" w:rsidRPr="008C76D5" w:rsidRDefault="001A115F" w:rsidP="001A115F">
            <w:pPr>
              <w:rPr>
                <w:b/>
                <w:bCs/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 xml:space="preserve"> </w:t>
            </w:r>
            <w:r w:rsidR="00D4221E" w:rsidRPr="008C76D5">
              <w:rPr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 </w:t>
            </w:r>
            <w:r w:rsidRPr="008C76D5">
              <w:rPr>
                <w:sz w:val="22"/>
                <w:szCs w:val="22"/>
              </w:rPr>
              <w:t>  Materiál nelegislatívnej povahy</w:t>
            </w:r>
          </w:p>
        </w:tc>
      </w:tr>
      <w:tr w:rsidR="00D4221E" w:rsidRPr="008C76D5">
        <w:trPr>
          <w:divId w:val="74707600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 </w:t>
            </w:r>
            <w:r w:rsidR="008C76D5" w:rsidRPr="008C76D5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8C76D5">
              <w:rPr>
                <w:sz w:val="22"/>
                <w:szCs w:val="22"/>
              </w:rPr>
              <w:t xml:space="preserve">  Materiál legislatívnej povahy </w:t>
            </w:r>
          </w:p>
        </w:tc>
      </w:tr>
      <w:tr w:rsidR="00D4221E" w:rsidRPr="008C76D5">
        <w:trPr>
          <w:divId w:val="74707600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 </w:t>
            </w:r>
            <w:r w:rsidR="004F129B" w:rsidRPr="008C76D5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8C76D5">
              <w:rPr>
                <w:sz w:val="22"/>
                <w:szCs w:val="22"/>
              </w:rPr>
              <w:t xml:space="preserve"> Transpozícia práva EÚ </w:t>
            </w:r>
          </w:p>
        </w:tc>
      </w:tr>
      <w:tr w:rsidR="00D4221E" w:rsidRPr="008C76D5">
        <w:trPr>
          <w:divId w:val="74707600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21E" w:rsidRPr="008C76D5" w:rsidRDefault="00D4221E">
            <w:pPr>
              <w:rPr>
                <w:sz w:val="22"/>
                <w:szCs w:val="22"/>
              </w:rPr>
            </w:pPr>
          </w:p>
        </w:tc>
      </w:tr>
      <w:tr w:rsidR="00D4221E" w:rsidRPr="008C76D5">
        <w:trPr>
          <w:divId w:val="74707600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4221E" w:rsidRPr="008C76D5" w:rsidRDefault="00D4221E">
            <w:pPr>
              <w:rPr>
                <w:b/>
                <w:bCs/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6E6B" w:rsidRPr="008C76D5" w:rsidRDefault="00036E6B" w:rsidP="00036E6B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Začiatok:</w:t>
            </w:r>
            <w:r w:rsidR="00057FD1">
              <w:rPr>
                <w:sz w:val="22"/>
                <w:szCs w:val="22"/>
              </w:rPr>
              <w:t xml:space="preserve"> - </w:t>
            </w:r>
          </w:p>
          <w:p w:rsidR="00D4221E" w:rsidRPr="008C76D5" w:rsidRDefault="00036E6B" w:rsidP="00036E6B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Ukončenie:</w:t>
            </w:r>
            <w:r w:rsidR="00057FD1">
              <w:rPr>
                <w:sz w:val="22"/>
                <w:szCs w:val="22"/>
              </w:rPr>
              <w:t xml:space="preserve"> - </w:t>
            </w:r>
          </w:p>
        </w:tc>
      </w:tr>
      <w:tr w:rsidR="00D4221E" w:rsidRPr="008C76D5">
        <w:trPr>
          <w:divId w:val="74707600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4221E" w:rsidRPr="008C76D5" w:rsidRDefault="00D4221E">
            <w:pPr>
              <w:rPr>
                <w:b/>
                <w:bCs/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21E" w:rsidRPr="008C76D5" w:rsidRDefault="008C76D5" w:rsidP="000123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12392">
              <w:rPr>
                <w:sz w:val="22"/>
                <w:szCs w:val="22"/>
              </w:rPr>
              <w:t>jún</w:t>
            </w:r>
            <w:r w:rsidR="008F78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</w:t>
            </w:r>
          </w:p>
        </w:tc>
      </w:tr>
      <w:tr w:rsidR="00D4221E" w:rsidRPr="008C76D5">
        <w:trPr>
          <w:divId w:val="74707600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4221E" w:rsidRPr="008C76D5" w:rsidRDefault="00D4221E">
            <w:pPr>
              <w:rPr>
                <w:b/>
                <w:bCs/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 Predpokladaný termín predloženia na Rokovanie vlády</w:t>
            </w:r>
            <w:r w:rsidRPr="008C76D5">
              <w:rPr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21E" w:rsidRPr="008C76D5" w:rsidRDefault="008F7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jún 2019</w:t>
            </w:r>
          </w:p>
        </w:tc>
      </w:tr>
    </w:tbl>
    <w:p w:rsidR="00325440" w:rsidRPr="008C76D5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D4221E" w:rsidRPr="008C76D5" w:rsidRDefault="00D4221E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4221E" w:rsidRPr="008C76D5">
        <w:trPr>
          <w:divId w:val="7302315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4221E" w:rsidRPr="008C76D5" w:rsidRDefault="00D4221E">
            <w:pPr>
              <w:rPr>
                <w:b/>
                <w:bCs/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D4221E" w:rsidRPr="008C76D5">
        <w:trPr>
          <w:divId w:val="73023151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21E" w:rsidRPr="00F82A29" w:rsidRDefault="00012392" w:rsidP="00615D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012392">
              <w:rPr>
                <w:sz w:val="22"/>
                <w:szCs w:val="22"/>
              </w:rPr>
              <w:t>sobitn</w:t>
            </w:r>
            <w:r>
              <w:rPr>
                <w:sz w:val="22"/>
                <w:szCs w:val="22"/>
              </w:rPr>
              <w:t>é</w:t>
            </w:r>
            <w:r w:rsidRPr="00012392">
              <w:rPr>
                <w:sz w:val="22"/>
                <w:szCs w:val="22"/>
              </w:rPr>
              <w:t xml:space="preserve"> právn</w:t>
            </w:r>
            <w:r>
              <w:rPr>
                <w:sz w:val="22"/>
                <w:szCs w:val="22"/>
              </w:rPr>
              <w:t>e</w:t>
            </w:r>
            <w:r w:rsidRPr="00012392">
              <w:rPr>
                <w:sz w:val="22"/>
                <w:szCs w:val="22"/>
              </w:rPr>
              <w:t xml:space="preserve"> predpis</w:t>
            </w:r>
            <w:r>
              <w:rPr>
                <w:sz w:val="22"/>
                <w:szCs w:val="22"/>
              </w:rPr>
              <w:t>y</w:t>
            </w:r>
            <w:r w:rsidRPr="00012392">
              <w:rPr>
                <w:sz w:val="22"/>
                <w:szCs w:val="22"/>
              </w:rPr>
              <w:t xml:space="preserve"> v oblasti justičnej spolupráce v trestných veciach na úrovni  Európskej únie (ďalej len ,,EÚ</w:t>
            </w:r>
            <w:r>
              <w:rPr>
                <w:sz w:val="22"/>
                <w:szCs w:val="22"/>
              </w:rPr>
              <w:t>“</w:t>
            </w:r>
            <w:r w:rsidRPr="00012392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nereflektujú skutočnosť, že pojem ,,obvyklý pobyt“ je </w:t>
            </w:r>
            <w:r w:rsidRPr="00012392">
              <w:rPr>
                <w:sz w:val="22"/>
                <w:szCs w:val="22"/>
              </w:rPr>
              <w:t>autonómnym pojmom práva EÚ</w:t>
            </w:r>
            <w:r>
              <w:rPr>
                <w:sz w:val="22"/>
                <w:szCs w:val="22"/>
              </w:rPr>
              <w:t>, čo vytvára</w:t>
            </w:r>
            <w:r w:rsidRPr="00012392">
              <w:rPr>
                <w:sz w:val="22"/>
                <w:szCs w:val="22"/>
              </w:rPr>
              <w:t xml:space="preserve"> prekážku pre </w:t>
            </w:r>
            <w:r>
              <w:rPr>
                <w:sz w:val="22"/>
                <w:szCs w:val="22"/>
              </w:rPr>
              <w:t xml:space="preserve">jeho </w:t>
            </w:r>
            <w:r w:rsidRPr="00012392">
              <w:rPr>
                <w:sz w:val="22"/>
                <w:szCs w:val="22"/>
              </w:rPr>
              <w:t>podrobnejšiu úpravu vo vnútroštátnom práve</w:t>
            </w:r>
            <w:r>
              <w:rPr>
                <w:sz w:val="22"/>
                <w:szCs w:val="22"/>
              </w:rPr>
              <w:t>, tak ako je tomu v súčasnosti</w:t>
            </w:r>
            <w:r w:rsidRPr="0001239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</w:t>
            </w:r>
            <w:r w:rsidRPr="00012392">
              <w:rPr>
                <w:sz w:val="22"/>
                <w:szCs w:val="22"/>
              </w:rPr>
              <w:t xml:space="preserve">rístup ku konceptu obvyklého pobytu </w:t>
            </w:r>
            <w:r>
              <w:rPr>
                <w:sz w:val="22"/>
                <w:szCs w:val="22"/>
              </w:rPr>
              <w:t xml:space="preserve">v súčasnosti </w:t>
            </w:r>
            <w:r w:rsidRPr="00012392">
              <w:rPr>
                <w:sz w:val="22"/>
                <w:szCs w:val="22"/>
              </w:rPr>
              <w:t>nie je jednotný, čo vyplýva najmä zo skutočnosti, že v niektorých právnych predpisoch je priamo zavedená definícia tohto pojmu a v niektorých právnych predpisoch je tento pojem len používaný bez toho, aby ho príslušný právny predpis definoval.  V nadväznosti na judikatúru Súdneho dvora EÚ je zrejmé, že súčasný, i keď slovenskému  právnemu poriadku bližší koncept trvalého bydliska, nepredstavuje vhodný spôsob transpozície právnych aktov Európskej únie vo vzťahu k   určeniu miestnej príslušnosti, ak  je Slovenská republika štátom výkonu žiadostí o vykonanie rozhodnutí.</w:t>
            </w:r>
          </w:p>
        </w:tc>
      </w:tr>
      <w:tr w:rsidR="00D4221E" w:rsidRPr="008C76D5">
        <w:trPr>
          <w:divId w:val="7302315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4221E" w:rsidRPr="00F82A29" w:rsidRDefault="00D4221E">
            <w:pPr>
              <w:rPr>
                <w:b/>
                <w:bCs/>
                <w:sz w:val="22"/>
                <w:szCs w:val="22"/>
              </w:rPr>
            </w:pPr>
            <w:r w:rsidRPr="00F82A29">
              <w:rPr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D4221E" w:rsidRPr="008C76D5">
        <w:trPr>
          <w:divId w:val="73023151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A29" w:rsidRPr="00F82A29" w:rsidRDefault="00821C10" w:rsidP="00012392">
            <w:pPr>
              <w:jc w:val="both"/>
              <w:rPr>
                <w:sz w:val="22"/>
                <w:szCs w:val="22"/>
              </w:rPr>
            </w:pPr>
            <w:r w:rsidRPr="00012392">
              <w:rPr>
                <w:sz w:val="22"/>
                <w:szCs w:val="22"/>
              </w:rPr>
              <w:t>Cieľom n</w:t>
            </w:r>
            <w:r w:rsidR="00F945D5" w:rsidRPr="00012392">
              <w:rPr>
                <w:sz w:val="22"/>
                <w:szCs w:val="22"/>
              </w:rPr>
              <w:t>avrhovan</w:t>
            </w:r>
            <w:r w:rsidRPr="00012392">
              <w:rPr>
                <w:sz w:val="22"/>
                <w:szCs w:val="22"/>
              </w:rPr>
              <w:t>ej</w:t>
            </w:r>
            <w:r w:rsidR="00F945D5" w:rsidRPr="00012392">
              <w:rPr>
                <w:sz w:val="22"/>
                <w:szCs w:val="22"/>
              </w:rPr>
              <w:t xml:space="preserve"> právn</w:t>
            </w:r>
            <w:r w:rsidRPr="00012392">
              <w:rPr>
                <w:sz w:val="22"/>
                <w:szCs w:val="22"/>
              </w:rPr>
              <w:t>ej</w:t>
            </w:r>
            <w:r w:rsidR="00F945D5" w:rsidRPr="00012392">
              <w:rPr>
                <w:sz w:val="22"/>
                <w:szCs w:val="22"/>
              </w:rPr>
              <w:t xml:space="preserve"> úprav</w:t>
            </w:r>
            <w:r w:rsidRPr="00012392">
              <w:rPr>
                <w:sz w:val="22"/>
                <w:szCs w:val="22"/>
              </w:rPr>
              <w:t>y je</w:t>
            </w:r>
            <w:r w:rsidR="00036E6B" w:rsidRPr="00012392">
              <w:rPr>
                <w:sz w:val="22"/>
                <w:szCs w:val="22"/>
              </w:rPr>
              <w:t xml:space="preserve"> </w:t>
            </w:r>
            <w:r w:rsidR="00012392" w:rsidRPr="00012392">
              <w:rPr>
                <w:sz w:val="22"/>
                <w:szCs w:val="22"/>
              </w:rPr>
              <w:t>najmä vypustenie definície pojmu „obvyklý pobyt“ z príslušných právnych predpisov v oblasti justičnej spolupráce v trestných veciach na úrovni Európskej únie za účelom dosiahnutia súladu vnútroštátnej právnej úpravy s judikatúrou Súdneho dvora EÚ s ohľadom na skutočnosť, že v prípade pojmu ,,obvyklý pobyt“ ide o autonómny pojem práva EÚ a teda nie je žiaduce aby bol zadefinovaný prostredníctvom vnútroštátnych predpisov.</w:t>
            </w:r>
          </w:p>
        </w:tc>
      </w:tr>
      <w:tr w:rsidR="00D4221E" w:rsidRPr="008C76D5">
        <w:trPr>
          <w:divId w:val="7302315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4221E" w:rsidRPr="00F82A29" w:rsidRDefault="00D4221E">
            <w:pPr>
              <w:rPr>
                <w:b/>
                <w:bCs/>
                <w:sz w:val="22"/>
                <w:szCs w:val="22"/>
              </w:rPr>
            </w:pPr>
            <w:r w:rsidRPr="00F82A29">
              <w:rPr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D4221E" w:rsidRPr="008C76D5">
        <w:trPr>
          <w:divId w:val="73023151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1E0B" w:rsidRPr="00F82A29" w:rsidRDefault="004F1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</w:t>
            </w:r>
            <w:r w:rsidR="00012392">
              <w:rPr>
                <w:sz w:val="22"/>
                <w:szCs w:val="22"/>
              </w:rPr>
              <w:t>tát</w:t>
            </w:r>
            <w:r>
              <w:rPr>
                <w:sz w:val="22"/>
                <w:szCs w:val="22"/>
              </w:rPr>
              <w:t>ne orgány</w:t>
            </w:r>
            <w:r w:rsidR="00012392">
              <w:rPr>
                <w:sz w:val="22"/>
                <w:szCs w:val="22"/>
              </w:rPr>
              <w:t>, súdy, fyzické osoby</w:t>
            </w:r>
            <w:r>
              <w:rPr>
                <w:sz w:val="22"/>
                <w:szCs w:val="22"/>
              </w:rPr>
              <w:t xml:space="preserve"> - odsúdení</w:t>
            </w:r>
          </w:p>
        </w:tc>
      </w:tr>
      <w:tr w:rsidR="00D4221E" w:rsidRPr="008C76D5">
        <w:trPr>
          <w:divId w:val="7302315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4221E" w:rsidRPr="00F82A29" w:rsidRDefault="00D4221E">
            <w:pPr>
              <w:rPr>
                <w:b/>
                <w:bCs/>
                <w:sz w:val="22"/>
                <w:szCs w:val="22"/>
              </w:rPr>
            </w:pPr>
            <w:r w:rsidRPr="00F82A29">
              <w:rPr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D4221E" w:rsidRPr="008C76D5">
        <w:trPr>
          <w:divId w:val="73023151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0FFD" w:rsidRPr="00F82A29" w:rsidRDefault="008F780E" w:rsidP="002024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Alternatívne riešenia neboli posudzované.</w:t>
            </w:r>
          </w:p>
        </w:tc>
      </w:tr>
      <w:tr w:rsidR="00D4221E" w:rsidRPr="008C76D5">
        <w:trPr>
          <w:divId w:val="7302315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4221E" w:rsidRPr="008C76D5" w:rsidRDefault="00D4221E">
            <w:pPr>
              <w:rPr>
                <w:b/>
                <w:bCs/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D4221E" w:rsidRPr="008C76D5">
        <w:trPr>
          <w:divId w:val="73023151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21E" w:rsidRDefault="00D4221E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Predpokladá sa prijatie/zmena vykonávacích predpisov?                          </w:t>
            </w:r>
            <w:r w:rsidRPr="008C76D5">
              <w:rPr>
                <w:sz w:val="22"/>
                <w:szCs w:val="22"/>
              </w:rPr>
              <w:t>   Áno            </w:t>
            </w:r>
            <w:r w:rsidR="008F780E" w:rsidRPr="008C76D5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8C76D5">
              <w:rPr>
                <w:sz w:val="22"/>
                <w:szCs w:val="22"/>
              </w:rPr>
              <w:t>  Ni</w:t>
            </w:r>
            <w:r w:rsidR="00317C72" w:rsidRPr="008C76D5">
              <w:rPr>
                <w:sz w:val="22"/>
                <w:szCs w:val="22"/>
              </w:rPr>
              <w:t>e</w:t>
            </w:r>
          </w:p>
          <w:p w:rsidR="00947532" w:rsidRPr="008C76D5" w:rsidRDefault="00947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bezpredmetné</w:t>
            </w:r>
          </w:p>
        </w:tc>
      </w:tr>
      <w:tr w:rsidR="00D4221E" w:rsidRPr="008C76D5">
        <w:trPr>
          <w:divId w:val="7302315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4221E" w:rsidRPr="008C76D5" w:rsidRDefault="00D4221E">
            <w:pPr>
              <w:rPr>
                <w:b/>
                <w:bCs/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lastRenderedPageBreak/>
              <w:t xml:space="preserve">  7.  Transpozícia práva EÚ </w:t>
            </w:r>
          </w:p>
        </w:tc>
      </w:tr>
      <w:tr w:rsidR="00D4221E" w:rsidRPr="008C76D5">
        <w:trPr>
          <w:divId w:val="73023151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21E" w:rsidRPr="008C76D5" w:rsidRDefault="004F129B">
            <w:pPr>
              <w:rPr>
                <w:sz w:val="22"/>
                <w:szCs w:val="22"/>
              </w:rPr>
            </w:pPr>
            <w:r>
              <w:rPr>
                <w:rFonts w:ascii="Times" w:hAnsi="Times" w:cs="Times"/>
              </w:rPr>
              <w:t>Národná právna úprava nejde nad rámec minimálnych požiadaviek EÚ.</w:t>
            </w:r>
          </w:p>
        </w:tc>
      </w:tr>
      <w:tr w:rsidR="00D4221E" w:rsidRPr="008C76D5">
        <w:trPr>
          <w:divId w:val="73023151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4221E" w:rsidRPr="008C76D5" w:rsidRDefault="00D4221E">
            <w:pPr>
              <w:rPr>
                <w:b/>
                <w:bCs/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D4221E" w:rsidRPr="008C76D5">
        <w:trPr>
          <w:divId w:val="73023151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21E" w:rsidRPr="008C76D5" w:rsidRDefault="00947532">
            <w:pPr>
              <w:rPr>
                <w:b/>
                <w:bCs/>
                <w:sz w:val="22"/>
                <w:szCs w:val="22"/>
              </w:rPr>
            </w:pPr>
            <w:r w:rsidRPr="00947532">
              <w:t>Preskúmanie účelnosti navrhovaného predpisu bude vykonávané priebežne po nadobudnutí účinnosti.</w:t>
            </w:r>
          </w:p>
        </w:tc>
      </w:tr>
    </w:tbl>
    <w:p w:rsidR="00325440" w:rsidRPr="008C76D5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8C76D5" w:rsidRDefault="00543B8E" w:rsidP="00543B8E">
      <w:pPr>
        <w:ind w:left="142" w:hanging="142"/>
        <w:rPr>
          <w:sz w:val="22"/>
          <w:szCs w:val="22"/>
        </w:rPr>
      </w:pPr>
      <w:r w:rsidRPr="008C76D5">
        <w:rPr>
          <w:sz w:val="22"/>
          <w:szCs w:val="22"/>
        </w:rPr>
        <w:t>* vyplniť iba v prípade, ak materiál nie je zahrnutý do Plánu práce vlády Slovensk</w:t>
      </w:r>
      <w:r w:rsidR="00B00AD2">
        <w:rPr>
          <w:sz w:val="22"/>
          <w:szCs w:val="22"/>
        </w:rPr>
        <w:t xml:space="preserve">ej republiky alebo Plánu </w:t>
      </w:r>
      <w:r w:rsidRPr="008C76D5">
        <w:rPr>
          <w:sz w:val="22"/>
          <w:szCs w:val="22"/>
        </w:rPr>
        <w:t xml:space="preserve">legislatívnych úloh vlády Slovenskej republiky. </w:t>
      </w:r>
    </w:p>
    <w:p w:rsidR="00543B8E" w:rsidRPr="008C76D5" w:rsidRDefault="00543B8E" w:rsidP="00543B8E">
      <w:pPr>
        <w:pStyle w:val="Normlnywebov"/>
        <w:spacing w:before="0" w:beforeAutospacing="0" w:after="0" w:afterAutospacing="0"/>
        <w:rPr>
          <w:sz w:val="22"/>
          <w:szCs w:val="22"/>
        </w:rPr>
      </w:pPr>
      <w:r w:rsidRPr="008C76D5">
        <w:rPr>
          <w:sz w:val="22"/>
          <w:szCs w:val="22"/>
        </w:rPr>
        <w:t>** nepovinné</w:t>
      </w:r>
    </w:p>
    <w:p w:rsidR="006931EC" w:rsidRPr="008C76D5" w:rsidRDefault="006931EC" w:rsidP="00543B8E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641E0B" w:rsidRPr="008C76D5" w:rsidRDefault="00641E0B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D4221E" w:rsidRPr="008C76D5" w:rsidTr="00C75511">
        <w:trPr>
          <w:divId w:val="753235413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4221E" w:rsidRPr="008C76D5" w:rsidRDefault="00D4221E">
            <w:pPr>
              <w:rPr>
                <w:b/>
                <w:bCs/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 9.   Vplyvy navrhovaného materiálu</w:t>
            </w:r>
          </w:p>
        </w:tc>
      </w:tr>
      <w:tr w:rsidR="00D4221E" w:rsidRPr="008C76D5">
        <w:trPr>
          <w:divId w:val="75323541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4221E" w:rsidRPr="008C76D5" w:rsidRDefault="00D4221E">
            <w:pPr>
              <w:rPr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 Vplyvy na rozpočet verejnej správy</w:t>
            </w:r>
            <w:r w:rsidRPr="008C76D5">
              <w:rPr>
                <w:sz w:val="22"/>
                <w:szCs w:val="22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8F780E" w:rsidP="008C76D5">
            <w:pPr>
              <w:rPr>
                <w:sz w:val="22"/>
                <w:szCs w:val="22"/>
              </w:rPr>
            </w:pPr>
            <w:r w:rsidRPr="008C76D5">
              <w:rPr>
                <w:rFonts w:ascii="Wingdings 2" w:hAnsi="Wingdings 2" w:cs="Times"/>
                <w:sz w:val="22"/>
                <w:szCs w:val="22"/>
              </w:rPr>
              <w:t></w:t>
            </w:r>
            <w:r w:rsidRPr="008C76D5">
              <w:rPr>
                <w:sz w:val="22"/>
                <w:szCs w:val="22"/>
              </w:rPr>
              <w:t xml:space="preserve">  </w:t>
            </w:r>
            <w:r w:rsidR="00D4221E" w:rsidRPr="008C76D5">
              <w:rPr>
                <w:sz w:val="22"/>
                <w:szCs w:val="22"/>
              </w:rPr>
              <w:t xml:space="preserve">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8F780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</w:t>
            </w:r>
            <w:r w:rsidR="00D4221E" w:rsidRPr="008C76D5">
              <w:rPr>
                <w:sz w:val="22"/>
                <w:szCs w:val="22"/>
              </w:rPr>
              <w:t xml:space="preserve">   Negatívne</w:t>
            </w:r>
          </w:p>
        </w:tc>
      </w:tr>
      <w:tr w:rsidR="00D4221E" w:rsidRPr="008C76D5">
        <w:trPr>
          <w:divId w:val="75323541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8F780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</w:t>
            </w:r>
            <w:r w:rsidR="00D4221E" w:rsidRPr="008C76D5">
              <w:rPr>
                <w:sz w:val="22"/>
                <w:szCs w:val="22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   Čiastočne</w:t>
            </w:r>
          </w:p>
        </w:tc>
      </w:tr>
      <w:tr w:rsidR="00D4221E" w:rsidRPr="008C76D5">
        <w:trPr>
          <w:divId w:val="75323541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4221E" w:rsidRPr="008C76D5" w:rsidRDefault="00D4221E">
            <w:pPr>
              <w:rPr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 Vplyvy na podnikateľské prostredie</w:t>
            </w:r>
            <w:r w:rsidRPr="008C76D5">
              <w:rPr>
                <w:sz w:val="22"/>
                <w:szCs w:val="22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8C76D5" w:rsidP="008C76D5">
            <w:pPr>
              <w:rPr>
                <w:sz w:val="22"/>
                <w:szCs w:val="22"/>
              </w:rPr>
            </w:pPr>
            <w:r w:rsidRPr="00036E6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D4221E" w:rsidRPr="008C76D5">
              <w:rPr>
                <w:sz w:val="22"/>
                <w:szCs w:val="22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   Negatívne</w:t>
            </w:r>
          </w:p>
        </w:tc>
      </w:tr>
      <w:tr w:rsidR="00D4221E" w:rsidRPr="008C76D5">
        <w:trPr>
          <w:divId w:val="75323541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   Negatívne</w:t>
            </w:r>
          </w:p>
        </w:tc>
      </w:tr>
      <w:tr w:rsidR="00D4221E" w:rsidRPr="008C76D5">
        <w:trPr>
          <w:divId w:val="75323541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4221E" w:rsidRPr="008C76D5" w:rsidRDefault="00D4221E">
            <w:pPr>
              <w:rPr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8C76D5" w:rsidP="008C76D5">
            <w:pPr>
              <w:rPr>
                <w:sz w:val="22"/>
                <w:szCs w:val="22"/>
              </w:rPr>
            </w:pPr>
            <w:r w:rsidRPr="00036E6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D4221E" w:rsidRPr="008C76D5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   Negatívne</w:t>
            </w:r>
          </w:p>
        </w:tc>
      </w:tr>
      <w:tr w:rsidR="00D4221E" w:rsidRPr="008C76D5">
        <w:trPr>
          <w:divId w:val="75323541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4221E" w:rsidRPr="008C76D5" w:rsidRDefault="00D4221E">
            <w:pPr>
              <w:rPr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8C76D5" w:rsidP="008C76D5">
            <w:pPr>
              <w:rPr>
                <w:sz w:val="22"/>
                <w:szCs w:val="22"/>
              </w:rPr>
            </w:pPr>
            <w:r w:rsidRPr="00036E6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D4221E" w:rsidRPr="008C76D5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   Negatívne</w:t>
            </w:r>
          </w:p>
        </w:tc>
      </w:tr>
      <w:tr w:rsidR="00D4221E" w:rsidRPr="008C76D5">
        <w:trPr>
          <w:divId w:val="75323541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4221E" w:rsidRPr="008C76D5" w:rsidRDefault="00D4221E">
            <w:pPr>
              <w:rPr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8C76D5" w:rsidP="008C76D5">
            <w:pPr>
              <w:rPr>
                <w:sz w:val="22"/>
                <w:szCs w:val="22"/>
              </w:rPr>
            </w:pPr>
            <w:r w:rsidRPr="00036E6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D4221E" w:rsidRPr="008C76D5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   Negatívne</w:t>
            </w:r>
          </w:p>
        </w:tc>
      </w:tr>
      <w:tr w:rsidR="00D4221E" w:rsidRPr="008C76D5">
        <w:trPr>
          <w:divId w:val="753235413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4221E" w:rsidRPr="008C76D5" w:rsidRDefault="00D4221E">
            <w:pPr>
              <w:rPr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 Vplyvy na služby pre občana z toho</w:t>
            </w:r>
            <w:r w:rsidRPr="008C76D5">
              <w:rPr>
                <w:sz w:val="22"/>
                <w:szCs w:val="22"/>
              </w:rPr>
              <w:br/>
              <w:t>    vplyvy služieb verejnej správy na občana</w:t>
            </w:r>
            <w:r w:rsidRPr="008C76D5">
              <w:rPr>
                <w:sz w:val="22"/>
                <w:szCs w:val="22"/>
              </w:rPr>
              <w:br/>
              <w:t>    vplyvy na procesy služieb vo verejnej</w:t>
            </w:r>
            <w:r w:rsidRPr="008C76D5">
              <w:rPr>
                <w:sz w:val="22"/>
                <w:szCs w:val="22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br/>
            </w:r>
            <w:r w:rsidRPr="008C76D5">
              <w:rPr>
                <w:sz w:val="22"/>
                <w:szCs w:val="22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br/>
            </w:r>
            <w:r w:rsidR="008C76D5" w:rsidRPr="00036E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8C76D5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br/>
            </w:r>
            <w:r w:rsidRPr="008C76D5">
              <w:rPr>
                <w:sz w:val="22"/>
                <w:szCs w:val="22"/>
              </w:rPr>
              <w:t>   Negatívne</w:t>
            </w:r>
          </w:p>
        </w:tc>
      </w:tr>
      <w:tr w:rsidR="00D4221E" w:rsidRPr="008C76D5">
        <w:trPr>
          <w:divId w:val="75323541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>
            <w:pPr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8C76D5" w:rsidP="008C76D5">
            <w:pPr>
              <w:rPr>
                <w:sz w:val="22"/>
                <w:szCs w:val="22"/>
              </w:rPr>
            </w:pPr>
            <w:r w:rsidRPr="00036E6B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D4221E" w:rsidRPr="008C76D5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4221E" w:rsidRPr="008C76D5" w:rsidRDefault="00D4221E" w:rsidP="008C76D5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   Negatívne</w:t>
            </w:r>
          </w:p>
        </w:tc>
      </w:tr>
      <w:tr w:rsidR="00C75511" w:rsidRPr="008C76D5" w:rsidTr="00C75511">
        <w:trPr>
          <w:divId w:val="753235413"/>
          <w:trHeight w:val="1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C75511" w:rsidRPr="008C76D5" w:rsidRDefault="00C75511" w:rsidP="00C75511">
            <w:pPr>
              <w:rPr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 xml:space="preserve">  Vplyvy na </w:t>
            </w:r>
            <w:r>
              <w:rPr>
                <w:b/>
                <w:bCs/>
                <w:sz w:val="22"/>
                <w:szCs w:val="22"/>
              </w:rPr>
              <w:t>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5511" w:rsidRPr="008C76D5" w:rsidRDefault="00C75511" w:rsidP="00C75511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5511" w:rsidRPr="00036E6B" w:rsidRDefault="00C75511" w:rsidP="00C75511">
            <w:pPr>
              <w:rPr>
                <w:rFonts w:ascii="Wingdings 2" w:hAnsi="Wingdings 2" w:cs="Times"/>
                <w:sz w:val="20"/>
                <w:szCs w:val="20"/>
              </w:rPr>
            </w:pPr>
            <w:r w:rsidRPr="00036E6B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8C76D5">
              <w:rPr>
                <w:sz w:val="22"/>
                <w:szCs w:val="22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75511" w:rsidRPr="008C76D5" w:rsidRDefault="00C75511" w:rsidP="00C75511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>   Negatívne</w:t>
            </w:r>
          </w:p>
        </w:tc>
      </w:tr>
    </w:tbl>
    <w:p w:rsidR="006931EC" w:rsidRPr="008C76D5" w:rsidRDefault="006931EC" w:rsidP="00543B8E">
      <w:pPr>
        <w:pStyle w:val="Normlnywebov"/>
        <w:spacing w:before="0" w:beforeAutospacing="0" w:after="0" w:afterAutospacing="0"/>
        <w:rPr>
          <w:sz w:val="22"/>
          <w:szCs w:val="22"/>
        </w:rPr>
      </w:pPr>
    </w:p>
    <w:p w:rsidR="00D4221E" w:rsidRPr="008C76D5" w:rsidRDefault="00D4221E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4221E" w:rsidRPr="008C76D5">
        <w:trPr>
          <w:divId w:val="17183097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4221E" w:rsidRPr="008C76D5" w:rsidRDefault="00D4221E">
            <w:pPr>
              <w:rPr>
                <w:b/>
                <w:bCs/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 10.  Poznámky</w:t>
            </w:r>
          </w:p>
        </w:tc>
      </w:tr>
      <w:tr w:rsidR="00D4221E" w:rsidRPr="008C76D5">
        <w:trPr>
          <w:divId w:val="17183097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21E" w:rsidRPr="008C76D5" w:rsidRDefault="00D4221E" w:rsidP="00933AF5">
            <w:pPr>
              <w:jc w:val="both"/>
              <w:rPr>
                <w:sz w:val="22"/>
                <w:szCs w:val="22"/>
              </w:rPr>
            </w:pPr>
          </w:p>
        </w:tc>
      </w:tr>
      <w:tr w:rsidR="00D4221E" w:rsidRPr="008C76D5">
        <w:trPr>
          <w:divId w:val="17183097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4221E" w:rsidRPr="008C76D5" w:rsidRDefault="00D4221E">
            <w:pPr>
              <w:rPr>
                <w:b/>
                <w:bCs/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D4221E" w:rsidRPr="008C76D5">
        <w:trPr>
          <w:divId w:val="17183097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21E" w:rsidRPr="008C76D5" w:rsidRDefault="008C76D5" w:rsidP="00641E0B">
            <w:pPr>
              <w:rPr>
                <w:sz w:val="22"/>
                <w:szCs w:val="22"/>
              </w:rPr>
            </w:pPr>
            <w:r w:rsidRPr="008C76D5">
              <w:rPr>
                <w:sz w:val="22"/>
                <w:szCs w:val="22"/>
              </w:rPr>
              <w:t xml:space="preserve">Mgr. Simona Kočišová (tel. č. 02/888 91 299, </w:t>
            </w:r>
            <w:hyperlink r:id="rId7" w:history="1">
              <w:r w:rsidRPr="0005379B">
                <w:rPr>
                  <w:rStyle w:val="Hypertextovprepojenie"/>
                  <w:sz w:val="22"/>
                  <w:szCs w:val="22"/>
                </w:rPr>
                <w:t>simona.kocisova@justice.sk</w:t>
              </w:r>
            </w:hyperlink>
            <w:r>
              <w:rPr>
                <w:sz w:val="22"/>
                <w:szCs w:val="22"/>
              </w:rPr>
              <w:t>)</w:t>
            </w:r>
          </w:p>
        </w:tc>
      </w:tr>
      <w:tr w:rsidR="00D4221E" w:rsidRPr="008C76D5">
        <w:trPr>
          <w:divId w:val="17183097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4221E" w:rsidRPr="008C76D5" w:rsidRDefault="00D4221E">
            <w:pPr>
              <w:rPr>
                <w:b/>
                <w:bCs/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 12.  Zdroje</w:t>
            </w:r>
          </w:p>
        </w:tc>
      </w:tr>
      <w:tr w:rsidR="00D4221E" w:rsidRPr="008C76D5">
        <w:trPr>
          <w:divId w:val="171830973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21E" w:rsidRPr="008C76D5" w:rsidRDefault="004F1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Interná pracovná skupina zriadená v rámci rezortu</w:t>
            </w:r>
            <w:r w:rsidR="004A7F16">
              <w:rPr>
                <w:sz w:val="22"/>
                <w:szCs w:val="22"/>
              </w:rPr>
              <w:t xml:space="preserve"> spravodlivosti</w:t>
            </w:r>
            <w:r>
              <w:rPr>
                <w:sz w:val="22"/>
                <w:szCs w:val="22"/>
              </w:rPr>
              <w:t>.</w:t>
            </w:r>
          </w:p>
        </w:tc>
      </w:tr>
      <w:tr w:rsidR="00D4221E" w:rsidRPr="008C76D5">
        <w:trPr>
          <w:divId w:val="171830973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4221E" w:rsidRPr="008C76D5" w:rsidRDefault="00D4221E">
            <w:pPr>
              <w:rPr>
                <w:b/>
                <w:bCs/>
                <w:sz w:val="22"/>
                <w:szCs w:val="22"/>
              </w:rPr>
            </w:pPr>
            <w:r w:rsidRPr="008C76D5">
              <w:rPr>
                <w:b/>
                <w:bCs/>
                <w:sz w:val="22"/>
                <w:szCs w:val="22"/>
              </w:rPr>
              <w:t>  13.  Stanovisko Komisie pre posudzovanie vybraných vplyvov z</w:t>
            </w:r>
            <w:r w:rsidR="00317C72" w:rsidRPr="008C76D5">
              <w:rPr>
                <w:b/>
                <w:bCs/>
                <w:sz w:val="22"/>
                <w:szCs w:val="22"/>
              </w:rPr>
              <w:t> </w:t>
            </w:r>
            <w:r w:rsidRPr="008C76D5">
              <w:rPr>
                <w:b/>
                <w:bCs/>
                <w:sz w:val="22"/>
                <w:szCs w:val="22"/>
              </w:rPr>
              <w:t>PPK</w:t>
            </w:r>
          </w:p>
        </w:tc>
      </w:tr>
      <w:tr w:rsidR="00D4221E" w:rsidRPr="008C76D5" w:rsidTr="005E1603">
        <w:trPr>
          <w:divId w:val="1718309735"/>
          <w:trHeight w:val="97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221E" w:rsidRPr="008C76D5" w:rsidRDefault="00D4221E">
            <w:pPr>
              <w:rPr>
                <w:sz w:val="22"/>
                <w:szCs w:val="22"/>
              </w:rPr>
            </w:pPr>
          </w:p>
        </w:tc>
      </w:tr>
    </w:tbl>
    <w:p w:rsidR="005E1603" w:rsidRPr="008C76D5" w:rsidRDefault="005E1603" w:rsidP="005E1603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sectPr w:rsidR="005E1603" w:rsidRPr="008C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4B" w:rsidRDefault="003E0A4B">
      <w:r>
        <w:separator/>
      </w:r>
    </w:p>
  </w:endnote>
  <w:endnote w:type="continuationSeparator" w:id="0">
    <w:p w:rsidR="003E0A4B" w:rsidRDefault="003E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4B" w:rsidRDefault="003E0A4B">
      <w:r>
        <w:separator/>
      </w:r>
    </w:p>
  </w:footnote>
  <w:footnote w:type="continuationSeparator" w:id="0">
    <w:p w:rsidR="003E0A4B" w:rsidRDefault="003E0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12392"/>
    <w:rsid w:val="00021860"/>
    <w:rsid w:val="00031343"/>
    <w:rsid w:val="00032327"/>
    <w:rsid w:val="00036B8A"/>
    <w:rsid w:val="00036E6B"/>
    <w:rsid w:val="00037C3F"/>
    <w:rsid w:val="00041DE9"/>
    <w:rsid w:val="00042608"/>
    <w:rsid w:val="000457DA"/>
    <w:rsid w:val="00052109"/>
    <w:rsid w:val="0005425E"/>
    <w:rsid w:val="00057FD1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1FC2"/>
    <w:rsid w:val="0017502B"/>
    <w:rsid w:val="00175442"/>
    <w:rsid w:val="001773C6"/>
    <w:rsid w:val="0018252F"/>
    <w:rsid w:val="00186DEA"/>
    <w:rsid w:val="001A115F"/>
    <w:rsid w:val="001A1180"/>
    <w:rsid w:val="001A1BBF"/>
    <w:rsid w:val="001A284A"/>
    <w:rsid w:val="001A2E20"/>
    <w:rsid w:val="001A5B6D"/>
    <w:rsid w:val="001B09C4"/>
    <w:rsid w:val="001B0F66"/>
    <w:rsid w:val="001B1812"/>
    <w:rsid w:val="001B57EC"/>
    <w:rsid w:val="001B7C00"/>
    <w:rsid w:val="001C2890"/>
    <w:rsid w:val="001C4CD7"/>
    <w:rsid w:val="001C561A"/>
    <w:rsid w:val="001D0486"/>
    <w:rsid w:val="001D16F9"/>
    <w:rsid w:val="001D1DD8"/>
    <w:rsid w:val="001D2927"/>
    <w:rsid w:val="001D376D"/>
    <w:rsid w:val="001D3E6C"/>
    <w:rsid w:val="001D4C67"/>
    <w:rsid w:val="001D6BD1"/>
    <w:rsid w:val="001E1E7F"/>
    <w:rsid w:val="001E2B22"/>
    <w:rsid w:val="001E4F40"/>
    <w:rsid w:val="001E4FA1"/>
    <w:rsid w:val="001E5D46"/>
    <w:rsid w:val="001E5FB3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245B"/>
    <w:rsid w:val="00203DD9"/>
    <w:rsid w:val="0020462E"/>
    <w:rsid w:val="00211B26"/>
    <w:rsid w:val="0021684F"/>
    <w:rsid w:val="00217E9E"/>
    <w:rsid w:val="0022225F"/>
    <w:rsid w:val="00222D3B"/>
    <w:rsid w:val="00223E65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452D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31CA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2F7D8E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17C72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4857"/>
    <w:rsid w:val="003562FC"/>
    <w:rsid w:val="00357F38"/>
    <w:rsid w:val="003606E9"/>
    <w:rsid w:val="00362A9B"/>
    <w:rsid w:val="003636C0"/>
    <w:rsid w:val="0036409B"/>
    <w:rsid w:val="00366FF3"/>
    <w:rsid w:val="00373B98"/>
    <w:rsid w:val="00376C16"/>
    <w:rsid w:val="003847BD"/>
    <w:rsid w:val="0038500A"/>
    <w:rsid w:val="00385E91"/>
    <w:rsid w:val="003910C9"/>
    <w:rsid w:val="003915C2"/>
    <w:rsid w:val="00392C94"/>
    <w:rsid w:val="00393BCF"/>
    <w:rsid w:val="00393C0A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3B08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203C"/>
    <w:rsid w:val="003D4CB7"/>
    <w:rsid w:val="003D4FA2"/>
    <w:rsid w:val="003D605F"/>
    <w:rsid w:val="003D70CA"/>
    <w:rsid w:val="003E0A4B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13F3"/>
    <w:rsid w:val="0041147F"/>
    <w:rsid w:val="00412989"/>
    <w:rsid w:val="00412C4F"/>
    <w:rsid w:val="00413805"/>
    <w:rsid w:val="00414253"/>
    <w:rsid w:val="00420D4B"/>
    <w:rsid w:val="00422ED4"/>
    <w:rsid w:val="004251F4"/>
    <w:rsid w:val="00430749"/>
    <w:rsid w:val="00432A7E"/>
    <w:rsid w:val="0043509F"/>
    <w:rsid w:val="00436035"/>
    <w:rsid w:val="00437EE9"/>
    <w:rsid w:val="004444B0"/>
    <w:rsid w:val="00444FBF"/>
    <w:rsid w:val="0044514D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4773"/>
    <w:rsid w:val="004A6A2B"/>
    <w:rsid w:val="004A6DD3"/>
    <w:rsid w:val="004A74DB"/>
    <w:rsid w:val="004A7F16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6BB5"/>
    <w:rsid w:val="004C789B"/>
    <w:rsid w:val="004D177B"/>
    <w:rsid w:val="004D1916"/>
    <w:rsid w:val="004D5A7E"/>
    <w:rsid w:val="004E05FA"/>
    <w:rsid w:val="004F129B"/>
    <w:rsid w:val="004F7808"/>
    <w:rsid w:val="005000B4"/>
    <w:rsid w:val="00500C00"/>
    <w:rsid w:val="00500FFD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18D8"/>
    <w:rsid w:val="00572E47"/>
    <w:rsid w:val="005738CA"/>
    <w:rsid w:val="00574338"/>
    <w:rsid w:val="00575A83"/>
    <w:rsid w:val="005761F8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1603"/>
    <w:rsid w:val="005E20EA"/>
    <w:rsid w:val="005E3070"/>
    <w:rsid w:val="005E4596"/>
    <w:rsid w:val="005E5741"/>
    <w:rsid w:val="005E6925"/>
    <w:rsid w:val="005E7189"/>
    <w:rsid w:val="005F1A92"/>
    <w:rsid w:val="005F3DF8"/>
    <w:rsid w:val="005F664A"/>
    <w:rsid w:val="006031C2"/>
    <w:rsid w:val="00605151"/>
    <w:rsid w:val="00605A19"/>
    <w:rsid w:val="00605BA4"/>
    <w:rsid w:val="00605C59"/>
    <w:rsid w:val="00615DEB"/>
    <w:rsid w:val="006220BB"/>
    <w:rsid w:val="006228E8"/>
    <w:rsid w:val="006230CF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1E0B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96"/>
    <w:rsid w:val="00675DAD"/>
    <w:rsid w:val="00677E00"/>
    <w:rsid w:val="00680B4D"/>
    <w:rsid w:val="00685A07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451E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882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DBA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510B"/>
    <w:rsid w:val="007276A8"/>
    <w:rsid w:val="00730143"/>
    <w:rsid w:val="00732026"/>
    <w:rsid w:val="007471F8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43D9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1688D"/>
    <w:rsid w:val="00821659"/>
    <w:rsid w:val="00821C10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589B"/>
    <w:rsid w:val="008A6049"/>
    <w:rsid w:val="008A604E"/>
    <w:rsid w:val="008B1C37"/>
    <w:rsid w:val="008B20A1"/>
    <w:rsid w:val="008B4638"/>
    <w:rsid w:val="008C0D63"/>
    <w:rsid w:val="008C211C"/>
    <w:rsid w:val="008C3671"/>
    <w:rsid w:val="008C56B5"/>
    <w:rsid w:val="008C671F"/>
    <w:rsid w:val="008C76D5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8F780E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33E4"/>
    <w:rsid w:val="00933AF5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47532"/>
    <w:rsid w:val="00951630"/>
    <w:rsid w:val="00952ACD"/>
    <w:rsid w:val="00957C93"/>
    <w:rsid w:val="00961731"/>
    <w:rsid w:val="0096184D"/>
    <w:rsid w:val="009654C6"/>
    <w:rsid w:val="00965970"/>
    <w:rsid w:val="0096653D"/>
    <w:rsid w:val="009668BE"/>
    <w:rsid w:val="00970054"/>
    <w:rsid w:val="00973374"/>
    <w:rsid w:val="009825F2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0D4C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4A66"/>
    <w:rsid w:val="00A650CA"/>
    <w:rsid w:val="00A6621B"/>
    <w:rsid w:val="00A70D06"/>
    <w:rsid w:val="00A71048"/>
    <w:rsid w:val="00A71AD6"/>
    <w:rsid w:val="00A71FE6"/>
    <w:rsid w:val="00A72A8B"/>
    <w:rsid w:val="00A76DEF"/>
    <w:rsid w:val="00A775FC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334"/>
    <w:rsid w:val="00AF7427"/>
    <w:rsid w:val="00AF7728"/>
    <w:rsid w:val="00B00AD2"/>
    <w:rsid w:val="00B02383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B3919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4235"/>
    <w:rsid w:val="00C05EE0"/>
    <w:rsid w:val="00C071D0"/>
    <w:rsid w:val="00C07663"/>
    <w:rsid w:val="00C1046D"/>
    <w:rsid w:val="00C10487"/>
    <w:rsid w:val="00C10718"/>
    <w:rsid w:val="00C113C0"/>
    <w:rsid w:val="00C1560B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415C"/>
    <w:rsid w:val="00C45ED6"/>
    <w:rsid w:val="00C4662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511"/>
    <w:rsid w:val="00C75C67"/>
    <w:rsid w:val="00C75DD0"/>
    <w:rsid w:val="00C83584"/>
    <w:rsid w:val="00C86FFC"/>
    <w:rsid w:val="00C916B4"/>
    <w:rsid w:val="00C97286"/>
    <w:rsid w:val="00C974D3"/>
    <w:rsid w:val="00C97AF8"/>
    <w:rsid w:val="00CA2786"/>
    <w:rsid w:val="00CA3632"/>
    <w:rsid w:val="00CA3DC2"/>
    <w:rsid w:val="00CA5630"/>
    <w:rsid w:val="00CA6722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06E"/>
    <w:rsid w:val="00D0094D"/>
    <w:rsid w:val="00D0245F"/>
    <w:rsid w:val="00D03F32"/>
    <w:rsid w:val="00D04A1B"/>
    <w:rsid w:val="00D04DAD"/>
    <w:rsid w:val="00D05495"/>
    <w:rsid w:val="00D0560A"/>
    <w:rsid w:val="00D11E95"/>
    <w:rsid w:val="00D14F2A"/>
    <w:rsid w:val="00D15DDD"/>
    <w:rsid w:val="00D207E9"/>
    <w:rsid w:val="00D27C91"/>
    <w:rsid w:val="00D27F78"/>
    <w:rsid w:val="00D30292"/>
    <w:rsid w:val="00D37209"/>
    <w:rsid w:val="00D40AE4"/>
    <w:rsid w:val="00D4221E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B74A1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298B"/>
    <w:rsid w:val="00E04068"/>
    <w:rsid w:val="00E0622F"/>
    <w:rsid w:val="00E11BB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0DDD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788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5804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D6D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460E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41C3"/>
    <w:rsid w:val="00F46C4E"/>
    <w:rsid w:val="00F507D7"/>
    <w:rsid w:val="00F5213E"/>
    <w:rsid w:val="00F530E4"/>
    <w:rsid w:val="00F57467"/>
    <w:rsid w:val="00F60ACD"/>
    <w:rsid w:val="00F61282"/>
    <w:rsid w:val="00F66819"/>
    <w:rsid w:val="00F704C6"/>
    <w:rsid w:val="00F75FF1"/>
    <w:rsid w:val="00F76A45"/>
    <w:rsid w:val="00F80786"/>
    <w:rsid w:val="00F81974"/>
    <w:rsid w:val="00F82A29"/>
    <w:rsid w:val="00F83322"/>
    <w:rsid w:val="00F8478F"/>
    <w:rsid w:val="00F86430"/>
    <w:rsid w:val="00F86AF9"/>
    <w:rsid w:val="00F94280"/>
    <w:rsid w:val="00F945D5"/>
    <w:rsid w:val="00F94B75"/>
    <w:rsid w:val="00F95AEC"/>
    <w:rsid w:val="00F9755D"/>
    <w:rsid w:val="00FA0463"/>
    <w:rsid w:val="00FA1DD2"/>
    <w:rsid w:val="00FA43E4"/>
    <w:rsid w:val="00FA786E"/>
    <w:rsid w:val="00FB1660"/>
    <w:rsid w:val="00FB56F8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4941BAB6-642C-4277-928C-373CECC7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41E0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1C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0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10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0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6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44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83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9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581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6365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981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90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48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717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3974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395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841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81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24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5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16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a.kocisova@justice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7.12.2017 15:07:56"/>
    <f:field ref="objchangedby" par="" text="Administrator, System"/>
    <f:field ref="objmodifiedat" par="" text="27.12.2017 15:08:00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simona.kocisova@justice.sk</dc:creator>
  <cp:lastModifiedBy>KOČIŠOVÁ Simona</cp:lastModifiedBy>
  <cp:revision>5</cp:revision>
  <cp:lastPrinted>2019-05-28T11:30:00Z</cp:lastPrinted>
  <dcterms:created xsi:type="dcterms:W3CDTF">2019-05-30T08:42:00Z</dcterms:created>
  <dcterms:modified xsi:type="dcterms:W3CDTF">2019-07-16T15:15:00Z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Rokovanie poradných orgánov vlády SR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Rozpočtové právo_x000d_
Ľudské práva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Jana Urbanová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, ktorou sa mení a dopĺňa vyhláška Ministerstva spravodlivosti Slovenskej republiky č. 322/2016 Z. z. o zložení, rozhodovaní, organizácii práce a postupe komisie pri vyhodnocovaní žiadostí o poskytnutie dotácie a o kritériách pre vyhodnocovanie žiadostí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§ 31 zákona č. 274/2017 Z. z.  o obetiach trestných činov a o zmene a doplnení niektorých zákonov_x000d_
_x000d_
§ 6 ods. 5 zákona č. 302/2016 Z. z. o poskytovaní dotácií v pôsobnosti Ministerstva spravodlivosti Slovenskej republiky a o zmene a doplnení zákona č. 545</vt:lpwstr>
  </property>
  <property fmtid="{D5CDD505-2E9C-101B-9397-08002B2CF9AE}" pid="16" name="FSC#SKEDITIONSLOVLEX@103.510:plnynazovpredpis">
    <vt:lpwstr> Vyhláška Ministerstva spravodlivosti Slovenskej republiky, ktorou sa mení a dopĺňa vyhláška Ministerstva spravodlivosti Slovenskej republiky č. 322/2016 Z. z. o zložení, rozhodovaní, organizácii práce a postupe komisie pri vyhodnocovaní žiadostí o poskyt</vt:lpwstr>
  </property>
  <property fmtid="{D5CDD505-2E9C-101B-9397-08002B2CF9AE}" pid="17" name="FSC#SKEDITIONSLOVLEX@103.510:rezortcislopredpis">
    <vt:lpwstr>53279/2017/13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LP/2017/973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-</vt:lpwstr>
  </property>
  <property fmtid="{D5CDD505-2E9C-101B-9397-08002B2CF9AE}" pid="56" name="FSC#SKEDITIONSLOVLEX@103.510:AttrStrListDocPropAltRiesenia">
    <vt:lpwstr>Podrobnosti o zložení a fungovaní komisie, ako aj o kritériách, na základe ktorých komisia posudzuje predložené žiadosti o poskytnutie dotácie upravuje vykonávací predpis, ktorý vydáva ministerstvo spravodlivosti (viď § 6 ods. 5 zákona č. 302/2016 Z. z.).</vt:lpwstr>
  </property>
  <property fmtid="{D5CDD505-2E9C-101B-9397-08002B2CF9AE}" pid="57" name="FSC#SKEDITIONSLOVLEX@103.510:AttrStrListDocPropStanoviskoGest">
    <vt:lpwstr>-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/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(ďalej len „ministerstvo spravodlivosti“) predkladá do pripomienkového konania návrh vyhlášky Ministerstva spravodlivosti Slovenskej republiky, ktorou sa mení a dopĺňa vyhláš</vt:lpwstr>
  </property>
  <property fmtid="{D5CDD505-2E9C-101B-9397-08002B2CF9AE}" pid="130" name="FSC#COOSYSTEM@1.1:Container">
    <vt:lpwstr>COO.2145.1000.3.2343197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border="1" cellpadding="0" cellspacing="0" width="99%"&gt;	&lt;tbody&gt;		&lt;tr&gt;			&lt;td colspan="5" style="width:100.0%;height:37px;"&gt;			&lt;h2 align="center"&gt;Správa o účasti verejnosti na tvorbe právneho predpisu&lt;/h2&gt;			&lt;h2&gt;Scenár 1: Ve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o poskytnutie dotácie v znení vyhlášky č. 271/2017 Z. z. 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nutie dotácie a o kritériách pre vyhodnocovanie žiadostí o poskytnutie dotácie v znení vyhlášky č. 271/2017 Z. z. 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podpredsedníčke vlády a ministerke spravodlivosti Slovenskej republiky</vt:lpwstr>
  </property>
  <property fmtid="{D5CDD505-2E9C-101B-9397-08002B2CF9AE}" pid="146" name="FSC#SKEDITIONSLOVLEX@103.510:funkciaZodpPredDativ">
    <vt:lpwstr>podpredsedníčku vlády a ministerku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
podpredsedníčka vlády a ministerka spravodlivosti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27. 12. 2017</vt:lpwstr>
  </property>
</Properties>
</file>