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77FB" w:rsidRDefault="005977FB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5977FB">
        <w:rPr>
          <w:rFonts w:ascii="Times New Roman" w:hAnsi="Times New Roman"/>
          <w:b/>
          <w:sz w:val="24"/>
          <w:szCs w:val="24"/>
        </w:rPr>
        <w:t>bez rozporov</w:t>
      </w:r>
      <w:r w:rsidR="005977FB">
        <w:rPr>
          <w:rFonts w:ascii="Times New Roman" w:hAnsi="Times New Roman"/>
          <w:sz w:val="24"/>
          <w:szCs w:val="24"/>
        </w:rPr>
        <w:t xml:space="preserve"> s povinne pripomienkujúcimi subjektmi. </w:t>
      </w:r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977FB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D1D87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F8EE-7E4C-4332-B2F4-62EC169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Kasenčák René</cp:lastModifiedBy>
  <cp:revision>36</cp:revision>
  <cp:lastPrinted>2018-09-11T14:37:00Z</cp:lastPrinted>
  <dcterms:created xsi:type="dcterms:W3CDTF">2018-09-05T09:00:00Z</dcterms:created>
  <dcterms:modified xsi:type="dcterms:W3CDTF">2019-08-06T12:30:00Z</dcterms:modified>
</cp:coreProperties>
</file>