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46AE2" w:rsidRDefault="00746AE2">
      <w:pPr>
        <w:pStyle w:val="Normlnywebov"/>
        <w:jc w:val="both"/>
        <w:divId w:val="994725709"/>
      </w:pPr>
      <w:r>
        <w:t>Novela zákona č. 343/2015 Z. z. o verejnom obstarávaní a o zmene a doplnení niektorých zákonov v znení neskorších predpisov (ďalej len „zákon o verejnom obstarávaní“) je pripravovaná na základe plánu legislatívnych úloh vlády SR na rok 2019. Vecne je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  aj judikatúra Súdneho dvora EÚ z roku 2018 vo veci  Ecoservice projektai, C-531/16, z ktorej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w:t>
      </w:r>
    </w:p>
    <w:p w:rsidR="00746AE2" w:rsidRDefault="00746AE2">
      <w:pPr>
        <w:pStyle w:val="Normlnywebov"/>
        <w:jc w:val="both"/>
        <w:divId w:val="994725709"/>
      </w:pPr>
      <w:r>
        <w:t>Pripravovaná novelizácia taktiež za účelom „spopularizovania“ zeleného verejného obstarávania vymedzí definíciu  enviromentálneho aspektu vo verejnom obstarávaní. 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  Za účelom účinnejšej kontroly elektronických nástrojov používaných na elektronickú komunikáciu návrh upravuje zoznam elektronických prostriedkov.  </w:t>
      </w:r>
    </w:p>
    <w:p w:rsidR="00746AE2" w:rsidRDefault="00746AE2">
      <w:pPr>
        <w:pStyle w:val="Normlnywebov"/>
        <w:jc w:val="both"/>
        <w:divId w:val="994725709"/>
      </w:pPr>
      <w:r>
        <w:t>Okrem uvedenej problematiky je novelizácia zameraná na postihovanie špekulatívnych foriem konania hospodárskych subjektov pri využívaní revíznych nástrojov.</w:t>
      </w:r>
    </w:p>
    <w:p w:rsidR="00746AE2" w:rsidRDefault="00746AE2">
      <w:pPr>
        <w:pStyle w:val="Normlnywebov"/>
        <w:jc w:val="both"/>
        <w:divId w:val="994725709"/>
      </w:pPr>
      <w:r>
        <w:t>Návrh taktiež reflektuje korekciu niektorých legislatívno-technických nedostatkov, ako napríklad nesprávne vnútorné odkazy.</w:t>
      </w:r>
    </w:p>
    <w:p w:rsidR="00746AE2" w:rsidRDefault="00746AE2">
      <w:pPr>
        <w:pStyle w:val="Normlnywebov"/>
        <w:jc w:val="both"/>
        <w:divId w:val="994725709"/>
      </w:pPr>
      <w:r>
        <w: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w:t>
      </w:r>
    </w:p>
    <w:p w:rsidR="00746AE2" w:rsidRDefault="00746AE2">
      <w:pPr>
        <w:pStyle w:val="Normlnywebov"/>
        <w:jc w:val="both"/>
        <w:divId w:val="994725709"/>
      </w:pPr>
      <w:r>
        <w:t>Predložený návrh zákona nebude mať dopad na životné prostredie, informatizáciu spoločnosti, sociálne vplyvy, služby verejnej správy pre občana a taktiež nebude mať dopad verejné financie. Predložený návrh zákona predpokladá kombináciu pozitívneho aj negatívneho vplyvu na podnikateľské prostredie.</w:t>
      </w:r>
    </w:p>
    <w:p w:rsidR="00746AE2" w:rsidRDefault="00746AE2">
      <w:pPr>
        <w:pStyle w:val="Normlnywebov"/>
        <w:jc w:val="both"/>
        <w:divId w:val="994725709"/>
      </w:pPr>
      <w:r>
        <w:t>Návrh zákona nie je predmetom vnútrokomunitárneho pripomienkového konania.</w:t>
      </w:r>
    </w:p>
    <w:p w:rsidR="00AB691C" w:rsidRDefault="00AB691C">
      <w:pPr>
        <w:pStyle w:val="Normlnywebov"/>
        <w:jc w:val="both"/>
        <w:divId w:val="994725709"/>
      </w:pPr>
      <w:r w:rsidRPr="00AB691C">
        <w:t>Návrh zákona bol predložený do medzirezortného pripomienkového konania, v r</w:t>
      </w:r>
      <w:r>
        <w:t>ámci ktorého bolo vznesených 486</w:t>
      </w:r>
      <w:r w:rsidRPr="00AB691C">
        <w:t xml:space="preserve"> pripomienok, z toho </w:t>
      </w:r>
      <w:r>
        <w:t>251</w:t>
      </w:r>
      <w:r w:rsidRPr="00AB691C">
        <w:t xml:space="preserve"> zásadných.</w:t>
      </w:r>
      <w:r>
        <w:t xml:space="preserve"> </w:t>
      </w:r>
      <w:bookmarkStart w:id="0" w:name="_GoBack"/>
      <w:bookmarkEnd w:id="0"/>
    </w:p>
    <w:p w:rsidR="00E14E7F" w:rsidRDefault="00746AE2" w:rsidP="00B75BB0">
      <w:r>
        <w:lastRenderedPageBreak/>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4F" w:rsidRDefault="00EC524F" w:rsidP="000A67D5">
      <w:pPr>
        <w:spacing w:after="0" w:line="240" w:lineRule="auto"/>
      </w:pPr>
      <w:r>
        <w:separator/>
      </w:r>
    </w:p>
  </w:endnote>
  <w:endnote w:type="continuationSeparator" w:id="0">
    <w:p w:rsidR="00EC524F" w:rsidRDefault="00EC524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4F" w:rsidRDefault="00EC524F" w:rsidP="000A67D5">
      <w:pPr>
        <w:spacing w:after="0" w:line="240" w:lineRule="auto"/>
      </w:pPr>
      <w:r>
        <w:separator/>
      </w:r>
    </w:p>
  </w:footnote>
  <w:footnote w:type="continuationSeparator" w:id="0">
    <w:p w:rsidR="00EC524F" w:rsidRDefault="00EC524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46AE2"/>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B691C"/>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C524F"/>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9947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7.2019 15:25:09"/>
    <f:field ref="objchangedby" par="" text="Administrator, System"/>
    <f:field ref="objmodifiedat" par="" text="1.7.2019 15:25:1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ACDCAB-F1A0-47C0-91B6-4DA32AA4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2019-07-01T13:25:00Z</dcterms:created>
  <dcterms:modified xsi:type="dcterms:W3CDTF">2019-08-14T13:25:00Z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Ivan Holič</vt:lpwstr>
  </property>
  <property fmtid="{D5CDD505-2E9C-101B-9397-08002B2CF9AE}" pid="9" name="FSC#SKEDITIONSLOVLEX@103.510:zodppredkladatel">
    <vt:lpwstr>JUDr. Miroslav Hlivák</vt:lpwstr>
  </property>
  <property fmtid="{D5CDD505-2E9C-101B-9397-08002B2CF9AE}" pid="10"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Úrad pre verejné obstarávanie</vt:lpwstr>
  </property>
  <property fmtid="{D5CDD505-2E9C-101B-9397-08002B2CF9AE}" pid="13"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4" name="FSC#SKEDITIONSLOVLEX@103.510:autorpredpis">
    <vt:lpwstr/>
  </property>
  <property fmtid="{D5CDD505-2E9C-101B-9397-08002B2CF9AE}" pid="15" name="FSC#SKEDITIONSLOVLEX@103.510:podnetpredpis">
    <vt:lpwstr>plán legislatívnych úloh vlády na rok 2019</vt:lpwstr>
  </property>
  <property fmtid="{D5CDD505-2E9C-101B-9397-08002B2CF9AE}" pid="16"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7" name="FSC#SKEDITIONSLOVLEX@103.510:rezortcislopredpis">
    <vt:lpwstr>10276-P/2019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LP/2019/520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26 a 114 Zmluvy o fungovaní Európskej únie</vt:lpwstr>
  </property>
  <property fmtid="{D5CDD505-2E9C-101B-9397-08002B2CF9AE}" pid="3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C-538/07_x000d_
C-531/16_x000d_
C 124/17</vt:lpwstr>
  </property>
  <property fmtid="{D5CDD505-2E9C-101B-9397-08002B2CF9AE}" pid="42" name="FSC#SKEDITIONSLOVLEX@103.510:AttrStrListDocPropLehotaPrebratieSmernice">
    <vt:lpwstr>nie je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 </vt:lpwstr>
  </property>
  <property fmtid="{D5CDD505-2E9C-101B-9397-08002B2CF9AE}" pid="45" name="FSC#SKEDITIONSLOVLEX@103.510:AttrStrListDocPropInfoUzPreberanePP">
    <vt:lpwstr>Zákon č. 343/2015 Z. z. o verejnom obstarávaní a o zmene a doplnení niektorých zákonov v znení neskorších predpisov - úplný</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25. 6. 2019</vt:lpwstr>
  </property>
  <property fmtid="{D5CDD505-2E9C-101B-9397-08002B2CF9AE}" pid="49" name="FSC#SKEDITIONSLOVLEX@103.510:AttrDateDocPropUkonceniePKK">
    <vt:lpwstr>1. 7. 2019</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5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5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predseda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30" name="FSC#COOSYSTEM@1.1:Container">
    <vt:lpwstr>COO.2145.1000.3.3474194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refrentovi</vt:lpwstr>
  </property>
  <property fmtid="{D5CDD505-2E9C-101B-9397-08002B2CF9AE}" pid="143" name="FSC#SKEDITIONSLOVLEX@103.510:funkciaPredDativ">
    <vt:lpwstr>referenta</vt:lpwstr>
  </property>
  <property fmtid="{D5CDD505-2E9C-101B-9397-08002B2CF9AE}" pid="144" name="FSC#SKEDITIONSLOVLEX@103.510:funkciaZodpPred">
    <vt:lpwstr>predseda</vt:lpwstr>
  </property>
  <property fmtid="{D5CDD505-2E9C-101B-9397-08002B2CF9AE}" pid="145" name="FSC#SKEDITIONSLOVLEX@103.510:funkciaZodpPredAkuzativ">
    <vt:lpwstr>predsedu</vt:lpwstr>
  </property>
  <property fmtid="{D5CDD505-2E9C-101B-9397-08002B2CF9AE}" pid="146" name="FSC#SKEDITIONSLOVLEX@103.510:funkciaZodpPredDativ">
    <vt:lpwstr>predsedovi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JUDr. Miroslav Hlivák_x000d_
predseda</vt:lpwstr>
  </property>
  <property fmtid="{D5CDD505-2E9C-101B-9397-08002B2CF9AE}" pid="151" name="FSC#SKEDITIONSLOVLEX@103.510:aktualnyrok">
    <vt:lpwstr>2019</vt:lpwstr>
  </property>
  <property fmtid="{D5CDD505-2E9C-101B-9397-08002B2CF9AE}" pid="152" name="FSC#SKEDITIONSLOVLEX@103.510:vytvorenedna">
    <vt:lpwstr>1. 7. 2019</vt:lpwstr>
  </property>
</Properties>
</file>