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81B05" w14:textId="77777777" w:rsidR="007D5748" w:rsidRPr="00020C88" w:rsidRDefault="007D5748" w:rsidP="00CB750F">
      <w:pPr>
        <w:spacing w:after="0" w:line="240" w:lineRule="auto"/>
        <w:jc w:val="center"/>
        <w:rPr>
          <w:rFonts w:ascii="Times New Roman" w:hAnsi="Times New Roman"/>
          <w:b/>
          <w:bCs/>
          <w:sz w:val="20"/>
          <w:szCs w:val="20"/>
          <w:lang w:eastAsia="sk-SK"/>
        </w:rPr>
      </w:pPr>
      <w:r w:rsidRPr="00020C88">
        <w:rPr>
          <w:rFonts w:ascii="Times New Roman" w:hAnsi="Times New Roman"/>
          <w:b/>
          <w:bCs/>
          <w:sz w:val="20"/>
          <w:szCs w:val="20"/>
          <w:lang w:eastAsia="sk-SK"/>
        </w:rPr>
        <w:t>Analýza vplyvov na rozpočet verejnej správy,</w:t>
      </w:r>
    </w:p>
    <w:p w14:paraId="077167C3" w14:textId="77777777" w:rsidR="007D5748" w:rsidRPr="00020C88" w:rsidRDefault="007D5748" w:rsidP="00CB750F">
      <w:pPr>
        <w:spacing w:after="0" w:line="240" w:lineRule="auto"/>
        <w:jc w:val="center"/>
        <w:rPr>
          <w:rFonts w:ascii="Times New Roman" w:hAnsi="Times New Roman"/>
          <w:b/>
          <w:bCs/>
          <w:sz w:val="20"/>
          <w:szCs w:val="20"/>
          <w:lang w:eastAsia="sk-SK"/>
        </w:rPr>
      </w:pPr>
      <w:r w:rsidRPr="00020C88">
        <w:rPr>
          <w:rFonts w:ascii="Times New Roman" w:hAnsi="Times New Roman"/>
          <w:b/>
          <w:bCs/>
          <w:sz w:val="20"/>
          <w:szCs w:val="20"/>
          <w:lang w:eastAsia="sk-SK"/>
        </w:rPr>
        <w:t>na zamestnanosť vo verejnej správe a financovanie návrhu</w:t>
      </w:r>
    </w:p>
    <w:p w14:paraId="24A64842" w14:textId="77777777" w:rsidR="00E963A3" w:rsidRPr="00020C88" w:rsidRDefault="00E963A3" w:rsidP="00CB750F">
      <w:pPr>
        <w:spacing w:after="0" w:line="240" w:lineRule="auto"/>
        <w:jc w:val="both"/>
        <w:rPr>
          <w:rFonts w:ascii="Times New Roman" w:hAnsi="Times New Roman"/>
          <w:b/>
          <w:bCs/>
          <w:sz w:val="20"/>
          <w:szCs w:val="20"/>
          <w:lang w:eastAsia="sk-SK"/>
        </w:rPr>
      </w:pPr>
    </w:p>
    <w:p w14:paraId="1A2ECA18" w14:textId="77777777" w:rsidR="0051724E" w:rsidRPr="00020C88" w:rsidRDefault="00E963A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2.1 Zhrnutie vplyvov na rozpočet verejnej správy v</w:t>
      </w:r>
      <w:r w:rsidR="0051724E" w:rsidRPr="00020C88">
        <w:rPr>
          <w:rFonts w:ascii="Times New Roman" w:hAnsi="Times New Roman"/>
          <w:b/>
          <w:bCs/>
          <w:sz w:val="20"/>
          <w:szCs w:val="20"/>
          <w:lang w:eastAsia="sk-SK"/>
        </w:rPr>
        <w:t> </w:t>
      </w:r>
      <w:r w:rsidRPr="00020C88">
        <w:rPr>
          <w:rFonts w:ascii="Times New Roman" w:hAnsi="Times New Roman"/>
          <w:b/>
          <w:bCs/>
          <w:sz w:val="20"/>
          <w:szCs w:val="20"/>
          <w:lang w:eastAsia="sk-SK"/>
        </w:rPr>
        <w:t>návrhu</w:t>
      </w:r>
    </w:p>
    <w:p w14:paraId="100BC474" w14:textId="77777777" w:rsidR="003E196D" w:rsidRPr="00020C88" w:rsidRDefault="003E196D" w:rsidP="00CB750F">
      <w:pPr>
        <w:spacing w:after="0" w:line="240" w:lineRule="auto"/>
        <w:jc w:val="both"/>
        <w:rPr>
          <w:rFonts w:ascii="Times New Roman" w:hAnsi="Times New Roman"/>
          <w:b/>
          <w:bCs/>
          <w:sz w:val="20"/>
          <w:szCs w:val="20"/>
          <w:lang w:eastAsia="sk-SK"/>
        </w:rPr>
      </w:pPr>
    </w:p>
    <w:p w14:paraId="2E7C3F6D" w14:textId="6A887248" w:rsidR="00C14DCC" w:rsidRPr="00020C88" w:rsidRDefault="003E196D"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Tabuľka č. 1</w:t>
      </w:r>
    </w:p>
    <w:p w14:paraId="0F951724" w14:textId="2690F252" w:rsidR="00103E05" w:rsidRPr="00020C88" w:rsidRDefault="00103E05" w:rsidP="00CB750F">
      <w:pPr>
        <w:spacing w:after="0" w:line="240" w:lineRule="auto"/>
        <w:jc w:val="both"/>
        <w:rPr>
          <w:rFonts w:ascii="Times New Roman" w:hAnsi="Times New Roman"/>
          <w:sz w:val="20"/>
          <w:szCs w:val="20"/>
          <w:lang w:eastAsia="sk-SK"/>
        </w:rPr>
      </w:pPr>
    </w:p>
    <w:tbl>
      <w:tblPr>
        <w:tblW w:w="10349" w:type="dxa"/>
        <w:tblInd w:w="-289" w:type="dxa"/>
        <w:tblCellMar>
          <w:left w:w="70" w:type="dxa"/>
          <w:right w:w="70" w:type="dxa"/>
        </w:tblCellMar>
        <w:tblLook w:val="04A0" w:firstRow="1" w:lastRow="0" w:firstColumn="1" w:lastColumn="0" w:noHBand="0" w:noVBand="1"/>
      </w:tblPr>
      <w:tblGrid>
        <w:gridCol w:w="4130"/>
        <w:gridCol w:w="1683"/>
        <w:gridCol w:w="1417"/>
        <w:gridCol w:w="1418"/>
        <w:gridCol w:w="1701"/>
      </w:tblGrid>
      <w:tr w:rsidR="00103E05" w:rsidRPr="00020C88" w14:paraId="0566146E" w14:textId="77777777" w:rsidTr="00043791">
        <w:trPr>
          <w:trHeight w:val="225"/>
        </w:trPr>
        <w:tc>
          <w:tcPr>
            <w:tcW w:w="413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A65BA2E" w14:textId="77777777" w:rsidR="00103E05" w:rsidRPr="00020C88" w:rsidRDefault="00103E05" w:rsidP="00103E05">
            <w:pPr>
              <w:spacing w:after="0" w:line="240" w:lineRule="auto"/>
              <w:jc w:val="center"/>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Vplyvy na rozpočet verejnej správy</w:t>
            </w:r>
          </w:p>
        </w:tc>
        <w:tc>
          <w:tcPr>
            <w:tcW w:w="6219" w:type="dxa"/>
            <w:gridSpan w:val="4"/>
            <w:tcBorders>
              <w:top w:val="single" w:sz="4" w:space="0" w:color="auto"/>
              <w:left w:val="nil"/>
              <w:bottom w:val="single" w:sz="4" w:space="0" w:color="auto"/>
              <w:right w:val="single" w:sz="4" w:space="0" w:color="auto"/>
            </w:tcBorders>
            <w:shd w:val="clear" w:color="000000" w:fill="BFBFBF"/>
            <w:vAlign w:val="center"/>
            <w:hideMark/>
          </w:tcPr>
          <w:p w14:paraId="1BA433DB" w14:textId="77777777" w:rsidR="00103E05" w:rsidRPr="00020C88" w:rsidRDefault="00103E05" w:rsidP="00103E05">
            <w:pPr>
              <w:spacing w:after="0" w:line="240" w:lineRule="auto"/>
              <w:jc w:val="center"/>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xml:space="preserve">Vplyv na rozpočet verejnej správy v eurách </w:t>
            </w:r>
          </w:p>
        </w:tc>
      </w:tr>
      <w:tr w:rsidR="00103E05" w:rsidRPr="00020C88" w14:paraId="7360967C" w14:textId="77777777" w:rsidTr="00043791">
        <w:trPr>
          <w:trHeight w:val="293"/>
        </w:trPr>
        <w:tc>
          <w:tcPr>
            <w:tcW w:w="4130" w:type="dxa"/>
            <w:vMerge/>
            <w:tcBorders>
              <w:top w:val="single" w:sz="4" w:space="0" w:color="auto"/>
              <w:left w:val="single" w:sz="4" w:space="0" w:color="auto"/>
              <w:bottom w:val="single" w:sz="4" w:space="0" w:color="auto"/>
              <w:right w:val="single" w:sz="4" w:space="0" w:color="auto"/>
            </w:tcBorders>
            <w:vAlign w:val="center"/>
            <w:hideMark/>
          </w:tcPr>
          <w:p w14:paraId="382A7875" w14:textId="77777777" w:rsidR="00103E05" w:rsidRPr="00020C88" w:rsidRDefault="00103E05" w:rsidP="00103E05">
            <w:pPr>
              <w:spacing w:after="0" w:line="240" w:lineRule="auto"/>
              <w:rPr>
                <w:rFonts w:ascii="Times New Roman" w:hAnsi="Times New Roman"/>
                <w:b/>
                <w:bCs/>
                <w:color w:val="000000"/>
                <w:sz w:val="20"/>
                <w:szCs w:val="20"/>
                <w:lang w:eastAsia="sk-SK"/>
              </w:rPr>
            </w:pPr>
          </w:p>
        </w:tc>
        <w:tc>
          <w:tcPr>
            <w:tcW w:w="6219" w:type="dxa"/>
            <w:gridSpan w:val="4"/>
            <w:tcBorders>
              <w:top w:val="single" w:sz="4" w:space="0" w:color="auto"/>
              <w:left w:val="nil"/>
              <w:bottom w:val="single" w:sz="4" w:space="0" w:color="auto"/>
              <w:right w:val="single" w:sz="4" w:space="0" w:color="auto"/>
            </w:tcBorders>
            <w:shd w:val="clear" w:color="000000" w:fill="BFBFBF"/>
            <w:vAlign w:val="center"/>
            <w:hideMark/>
          </w:tcPr>
          <w:p w14:paraId="505BF8B2" w14:textId="77777777" w:rsidR="00103E05" w:rsidRPr="00020C88" w:rsidRDefault="00103E05" w:rsidP="00103E05">
            <w:pPr>
              <w:spacing w:after="0" w:line="240" w:lineRule="auto"/>
              <w:jc w:val="center"/>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w:t>
            </w:r>
          </w:p>
        </w:tc>
      </w:tr>
      <w:tr w:rsidR="00103E05" w:rsidRPr="00020C88" w14:paraId="0791AD78" w14:textId="77777777" w:rsidTr="00043791">
        <w:trPr>
          <w:trHeight w:val="293"/>
        </w:trPr>
        <w:tc>
          <w:tcPr>
            <w:tcW w:w="4130" w:type="dxa"/>
            <w:vMerge/>
            <w:tcBorders>
              <w:top w:val="single" w:sz="4" w:space="0" w:color="auto"/>
              <w:left w:val="single" w:sz="4" w:space="0" w:color="auto"/>
              <w:bottom w:val="single" w:sz="4" w:space="0" w:color="auto"/>
              <w:right w:val="single" w:sz="4" w:space="0" w:color="auto"/>
            </w:tcBorders>
            <w:vAlign w:val="center"/>
            <w:hideMark/>
          </w:tcPr>
          <w:p w14:paraId="5B79FA5F" w14:textId="77777777" w:rsidR="00103E05" w:rsidRPr="00020C88" w:rsidRDefault="00103E05" w:rsidP="00103E05">
            <w:pPr>
              <w:spacing w:after="0" w:line="240" w:lineRule="auto"/>
              <w:rPr>
                <w:rFonts w:ascii="Times New Roman" w:hAnsi="Times New Roman"/>
                <w:b/>
                <w:bCs/>
                <w:color w:val="000000"/>
                <w:sz w:val="20"/>
                <w:szCs w:val="20"/>
                <w:lang w:eastAsia="sk-SK"/>
              </w:rPr>
            </w:pPr>
          </w:p>
        </w:tc>
        <w:tc>
          <w:tcPr>
            <w:tcW w:w="1683" w:type="dxa"/>
            <w:tcBorders>
              <w:top w:val="nil"/>
              <w:left w:val="nil"/>
              <w:bottom w:val="single" w:sz="4" w:space="0" w:color="auto"/>
              <w:right w:val="single" w:sz="4" w:space="0" w:color="auto"/>
            </w:tcBorders>
            <w:shd w:val="clear" w:color="000000" w:fill="BFBFBF"/>
            <w:vAlign w:val="center"/>
            <w:hideMark/>
          </w:tcPr>
          <w:p w14:paraId="7186FAEE" w14:textId="77777777" w:rsidR="00103E05" w:rsidRPr="00020C88" w:rsidRDefault="00103E05" w:rsidP="00103E05">
            <w:pPr>
              <w:spacing w:after="0" w:line="240" w:lineRule="auto"/>
              <w:jc w:val="center"/>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2019</w:t>
            </w:r>
          </w:p>
        </w:tc>
        <w:tc>
          <w:tcPr>
            <w:tcW w:w="1417" w:type="dxa"/>
            <w:tcBorders>
              <w:top w:val="nil"/>
              <w:left w:val="nil"/>
              <w:bottom w:val="single" w:sz="4" w:space="0" w:color="auto"/>
              <w:right w:val="single" w:sz="4" w:space="0" w:color="auto"/>
            </w:tcBorders>
            <w:shd w:val="clear" w:color="000000" w:fill="BFBFBF"/>
            <w:vAlign w:val="center"/>
            <w:hideMark/>
          </w:tcPr>
          <w:p w14:paraId="6255764B" w14:textId="77777777" w:rsidR="00103E05" w:rsidRPr="00020C88" w:rsidRDefault="00103E05" w:rsidP="00103E05">
            <w:pPr>
              <w:spacing w:after="0" w:line="240" w:lineRule="auto"/>
              <w:jc w:val="center"/>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2020</w:t>
            </w:r>
          </w:p>
        </w:tc>
        <w:tc>
          <w:tcPr>
            <w:tcW w:w="1418" w:type="dxa"/>
            <w:tcBorders>
              <w:top w:val="nil"/>
              <w:left w:val="nil"/>
              <w:bottom w:val="single" w:sz="4" w:space="0" w:color="auto"/>
              <w:right w:val="single" w:sz="4" w:space="0" w:color="auto"/>
            </w:tcBorders>
            <w:shd w:val="clear" w:color="000000" w:fill="BFBFBF"/>
            <w:vAlign w:val="center"/>
            <w:hideMark/>
          </w:tcPr>
          <w:p w14:paraId="03A80294" w14:textId="77777777" w:rsidR="00103E05" w:rsidRPr="00020C88" w:rsidRDefault="00103E05" w:rsidP="00103E05">
            <w:pPr>
              <w:spacing w:after="0" w:line="240" w:lineRule="auto"/>
              <w:jc w:val="center"/>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2021</w:t>
            </w:r>
          </w:p>
        </w:tc>
        <w:tc>
          <w:tcPr>
            <w:tcW w:w="1701" w:type="dxa"/>
            <w:tcBorders>
              <w:top w:val="nil"/>
              <w:left w:val="nil"/>
              <w:bottom w:val="single" w:sz="4" w:space="0" w:color="auto"/>
              <w:right w:val="single" w:sz="4" w:space="0" w:color="auto"/>
            </w:tcBorders>
            <w:shd w:val="clear" w:color="000000" w:fill="BFBFBF"/>
            <w:vAlign w:val="center"/>
            <w:hideMark/>
          </w:tcPr>
          <w:p w14:paraId="5F778762" w14:textId="77777777" w:rsidR="00103E05" w:rsidRPr="00020C88" w:rsidRDefault="00103E05" w:rsidP="00103E05">
            <w:pPr>
              <w:spacing w:after="0" w:line="240" w:lineRule="auto"/>
              <w:jc w:val="center"/>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2022</w:t>
            </w:r>
          </w:p>
        </w:tc>
      </w:tr>
      <w:tr w:rsidR="00103E05" w:rsidRPr="00020C88" w14:paraId="74BA5B12" w14:textId="77777777" w:rsidTr="00043791">
        <w:trPr>
          <w:trHeight w:val="293"/>
        </w:trPr>
        <w:tc>
          <w:tcPr>
            <w:tcW w:w="4130" w:type="dxa"/>
            <w:tcBorders>
              <w:top w:val="nil"/>
              <w:left w:val="single" w:sz="4" w:space="0" w:color="auto"/>
              <w:bottom w:val="single" w:sz="4" w:space="0" w:color="auto"/>
              <w:right w:val="single" w:sz="4" w:space="0" w:color="auto"/>
            </w:tcBorders>
            <w:shd w:val="clear" w:color="000000" w:fill="C0C0C0"/>
            <w:noWrap/>
            <w:vAlign w:val="center"/>
            <w:hideMark/>
          </w:tcPr>
          <w:p w14:paraId="7AB89986" w14:textId="77777777" w:rsidR="00103E05" w:rsidRPr="00020C88" w:rsidRDefault="00103E05" w:rsidP="00103E05">
            <w:pPr>
              <w:spacing w:after="0" w:line="240" w:lineRule="auto"/>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Príjmy verejnej správy celkom</w:t>
            </w:r>
          </w:p>
        </w:tc>
        <w:tc>
          <w:tcPr>
            <w:tcW w:w="1683" w:type="dxa"/>
            <w:tcBorders>
              <w:top w:val="nil"/>
              <w:left w:val="nil"/>
              <w:bottom w:val="single" w:sz="4" w:space="0" w:color="auto"/>
              <w:right w:val="single" w:sz="4" w:space="0" w:color="auto"/>
            </w:tcBorders>
            <w:shd w:val="clear" w:color="000000" w:fill="C0C0C0"/>
            <w:vAlign w:val="center"/>
            <w:hideMark/>
          </w:tcPr>
          <w:p w14:paraId="16E6AE15"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417" w:type="dxa"/>
            <w:tcBorders>
              <w:top w:val="nil"/>
              <w:left w:val="nil"/>
              <w:bottom w:val="single" w:sz="4" w:space="0" w:color="auto"/>
              <w:right w:val="single" w:sz="4" w:space="0" w:color="auto"/>
            </w:tcBorders>
            <w:shd w:val="clear" w:color="000000" w:fill="C0C0C0"/>
            <w:vAlign w:val="center"/>
            <w:hideMark/>
          </w:tcPr>
          <w:p w14:paraId="2AB10D9C"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418" w:type="dxa"/>
            <w:tcBorders>
              <w:top w:val="nil"/>
              <w:left w:val="nil"/>
              <w:bottom w:val="single" w:sz="4" w:space="0" w:color="auto"/>
              <w:right w:val="single" w:sz="4" w:space="0" w:color="auto"/>
            </w:tcBorders>
            <w:shd w:val="clear" w:color="000000" w:fill="C0C0C0"/>
            <w:vAlign w:val="center"/>
            <w:hideMark/>
          </w:tcPr>
          <w:p w14:paraId="6563D311"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701" w:type="dxa"/>
            <w:tcBorders>
              <w:top w:val="nil"/>
              <w:left w:val="nil"/>
              <w:bottom w:val="single" w:sz="4" w:space="0" w:color="auto"/>
              <w:right w:val="single" w:sz="4" w:space="0" w:color="auto"/>
            </w:tcBorders>
            <w:shd w:val="clear" w:color="000000" w:fill="C0C0C0"/>
            <w:vAlign w:val="center"/>
            <w:hideMark/>
          </w:tcPr>
          <w:p w14:paraId="41A51243"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r>
      <w:tr w:rsidR="00103E05" w:rsidRPr="00020C88" w14:paraId="5E6B7AAA" w14:textId="77777777" w:rsidTr="00043791">
        <w:trPr>
          <w:trHeight w:val="355"/>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2C44AD5D" w14:textId="77777777" w:rsidR="00103E05" w:rsidRPr="00020C88" w:rsidRDefault="00103E05" w:rsidP="00103E05">
            <w:pPr>
              <w:spacing w:after="0" w:line="240" w:lineRule="auto"/>
              <w:rPr>
                <w:rFonts w:ascii="Times New Roman" w:hAnsi="Times New Roman"/>
                <w:color w:val="000000"/>
                <w:sz w:val="20"/>
                <w:szCs w:val="20"/>
                <w:lang w:eastAsia="sk-SK"/>
              </w:rPr>
            </w:pPr>
            <w:r w:rsidRPr="00020C88">
              <w:rPr>
                <w:rFonts w:ascii="Times New Roman" w:hAnsi="Times New Roman"/>
                <w:color w:val="000000"/>
                <w:sz w:val="20"/>
                <w:szCs w:val="20"/>
                <w:lang w:eastAsia="sk-SK"/>
              </w:rPr>
              <w:t>v tom: za každý subjekt verejnej správy zvlášť</w:t>
            </w:r>
          </w:p>
        </w:tc>
        <w:tc>
          <w:tcPr>
            <w:tcW w:w="1683" w:type="dxa"/>
            <w:tcBorders>
              <w:top w:val="nil"/>
              <w:left w:val="nil"/>
              <w:bottom w:val="single" w:sz="4" w:space="0" w:color="auto"/>
              <w:right w:val="single" w:sz="4" w:space="0" w:color="auto"/>
            </w:tcBorders>
            <w:shd w:val="clear" w:color="auto" w:fill="auto"/>
            <w:noWrap/>
            <w:vAlign w:val="center"/>
            <w:hideMark/>
          </w:tcPr>
          <w:p w14:paraId="61BB8AF2"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72CE4EA9"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6FACA70C"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4D9168BA"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5FB96D99"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5C4DB674"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xml:space="preserve">z toho:  </w:t>
            </w:r>
          </w:p>
        </w:tc>
        <w:tc>
          <w:tcPr>
            <w:tcW w:w="1683" w:type="dxa"/>
            <w:tcBorders>
              <w:top w:val="nil"/>
              <w:left w:val="nil"/>
              <w:bottom w:val="single" w:sz="4" w:space="0" w:color="auto"/>
              <w:right w:val="single" w:sz="4" w:space="0" w:color="auto"/>
            </w:tcBorders>
            <w:shd w:val="clear" w:color="auto" w:fill="auto"/>
            <w:noWrap/>
            <w:vAlign w:val="center"/>
            <w:hideMark/>
          </w:tcPr>
          <w:p w14:paraId="2C5D7328"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179868"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418" w:type="dxa"/>
            <w:tcBorders>
              <w:top w:val="nil"/>
              <w:left w:val="nil"/>
              <w:bottom w:val="single" w:sz="4" w:space="0" w:color="auto"/>
              <w:right w:val="single" w:sz="4" w:space="0" w:color="auto"/>
            </w:tcBorders>
            <w:shd w:val="clear" w:color="auto" w:fill="auto"/>
            <w:noWrap/>
            <w:vAlign w:val="center"/>
            <w:hideMark/>
          </w:tcPr>
          <w:p w14:paraId="5C3E7D36"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14:paraId="645659A1"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r>
      <w:tr w:rsidR="00103E05" w:rsidRPr="00020C88" w14:paraId="78C3514F" w14:textId="77777777" w:rsidTr="00043791">
        <w:trPr>
          <w:trHeight w:val="251"/>
        </w:trPr>
        <w:tc>
          <w:tcPr>
            <w:tcW w:w="4130" w:type="dxa"/>
            <w:tcBorders>
              <w:top w:val="nil"/>
              <w:left w:val="single" w:sz="4" w:space="0" w:color="auto"/>
              <w:bottom w:val="single" w:sz="4" w:space="0" w:color="auto"/>
              <w:right w:val="single" w:sz="4" w:space="0" w:color="auto"/>
            </w:tcBorders>
            <w:shd w:val="clear" w:color="auto" w:fill="auto"/>
            <w:vAlign w:val="center"/>
            <w:hideMark/>
          </w:tcPr>
          <w:p w14:paraId="67AE66F0"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xml:space="preserve">- vplyv na ŠR </w:t>
            </w:r>
          </w:p>
        </w:tc>
        <w:tc>
          <w:tcPr>
            <w:tcW w:w="1683" w:type="dxa"/>
            <w:tcBorders>
              <w:top w:val="nil"/>
              <w:left w:val="nil"/>
              <w:bottom w:val="single" w:sz="4" w:space="0" w:color="auto"/>
              <w:right w:val="single" w:sz="4" w:space="0" w:color="auto"/>
            </w:tcBorders>
            <w:shd w:val="clear" w:color="auto" w:fill="auto"/>
            <w:noWrap/>
            <w:vAlign w:val="center"/>
            <w:hideMark/>
          </w:tcPr>
          <w:p w14:paraId="28AFF5A8"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016FFA2A"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3FDCBF5A"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12A5ABFA"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428868D7"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78134C71"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obce</w:t>
            </w:r>
          </w:p>
        </w:tc>
        <w:tc>
          <w:tcPr>
            <w:tcW w:w="1683" w:type="dxa"/>
            <w:tcBorders>
              <w:top w:val="nil"/>
              <w:left w:val="nil"/>
              <w:bottom w:val="single" w:sz="4" w:space="0" w:color="auto"/>
              <w:right w:val="single" w:sz="4" w:space="0" w:color="auto"/>
            </w:tcBorders>
            <w:shd w:val="clear" w:color="auto" w:fill="auto"/>
            <w:noWrap/>
            <w:vAlign w:val="center"/>
            <w:hideMark/>
          </w:tcPr>
          <w:p w14:paraId="176877ED"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1DCD6FBB"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6D4407FC"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65F35172"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757BF48A"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062AE590"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vyššie územné celky</w:t>
            </w:r>
          </w:p>
        </w:tc>
        <w:tc>
          <w:tcPr>
            <w:tcW w:w="1683" w:type="dxa"/>
            <w:tcBorders>
              <w:top w:val="nil"/>
              <w:left w:val="nil"/>
              <w:bottom w:val="single" w:sz="4" w:space="0" w:color="auto"/>
              <w:right w:val="single" w:sz="4" w:space="0" w:color="auto"/>
            </w:tcBorders>
            <w:shd w:val="clear" w:color="auto" w:fill="auto"/>
            <w:noWrap/>
            <w:vAlign w:val="center"/>
            <w:hideMark/>
          </w:tcPr>
          <w:p w14:paraId="36B5768B"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6A9172EF"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68F31CC1"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51A30176"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14A52582"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2F6148D2"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Sociálnu poisťovňu</w:t>
            </w:r>
          </w:p>
        </w:tc>
        <w:tc>
          <w:tcPr>
            <w:tcW w:w="1683" w:type="dxa"/>
            <w:tcBorders>
              <w:top w:val="nil"/>
              <w:left w:val="nil"/>
              <w:bottom w:val="single" w:sz="4" w:space="0" w:color="auto"/>
              <w:right w:val="single" w:sz="4" w:space="0" w:color="auto"/>
            </w:tcBorders>
            <w:shd w:val="clear" w:color="auto" w:fill="auto"/>
            <w:noWrap/>
            <w:vAlign w:val="center"/>
            <w:hideMark/>
          </w:tcPr>
          <w:p w14:paraId="42336F57"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4A432848"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0D6D3D88"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32DE490C"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6E63A47C" w14:textId="77777777" w:rsidTr="00043791">
        <w:trPr>
          <w:trHeight w:val="35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1E9C9F08"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verejné zdravotné poistenie</w:t>
            </w:r>
          </w:p>
        </w:tc>
        <w:tc>
          <w:tcPr>
            <w:tcW w:w="1683" w:type="dxa"/>
            <w:tcBorders>
              <w:top w:val="nil"/>
              <w:left w:val="nil"/>
              <w:bottom w:val="single" w:sz="4" w:space="0" w:color="auto"/>
              <w:right w:val="single" w:sz="4" w:space="0" w:color="auto"/>
            </w:tcBorders>
            <w:shd w:val="clear" w:color="auto" w:fill="auto"/>
            <w:noWrap/>
            <w:vAlign w:val="center"/>
            <w:hideMark/>
          </w:tcPr>
          <w:p w14:paraId="798DAF39"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4B881C30"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3FAE284B"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174C8A55"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44A738B7" w14:textId="77777777" w:rsidTr="00043791">
        <w:trPr>
          <w:trHeight w:val="293"/>
        </w:trPr>
        <w:tc>
          <w:tcPr>
            <w:tcW w:w="4130" w:type="dxa"/>
            <w:tcBorders>
              <w:top w:val="nil"/>
              <w:left w:val="single" w:sz="4" w:space="0" w:color="auto"/>
              <w:bottom w:val="single" w:sz="4" w:space="0" w:color="auto"/>
              <w:right w:val="single" w:sz="4" w:space="0" w:color="auto"/>
            </w:tcBorders>
            <w:shd w:val="clear" w:color="000000" w:fill="C0C0C0"/>
            <w:noWrap/>
            <w:vAlign w:val="center"/>
            <w:hideMark/>
          </w:tcPr>
          <w:p w14:paraId="7FAA1F6E" w14:textId="77777777" w:rsidR="00103E05" w:rsidRPr="00020C88" w:rsidRDefault="00103E05" w:rsidP="00103E05">
            <w:pPr>
              <w:spacing w:after="0" w:line="240" w:lineRule="auto"/>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Výdavky verejnej správy celkom</w:t>
            </w:r>
          </w:p>
        </w:tc>
        <w:tc>
          <w:tcPr>
            <w:tcW w:w="1683" w:type="dxa"/>
            <w:tcBorders>
              <w:top w:val="nil"/>
              <w:left w:val="nil"/>
              <w:bottom w:val="single" w:sz="4" w:space="0" w:color="auto"/>
              <w:right w:val="single" w:sz="4" w:space="0" w:color="auto"/>
            </w:tcBorders>
            <w:shd w:val="clear" w:color="000000" w:fill="C0C0C0"/>
            <w:noWrap/>
            <w:vAlign w:val="center"/>
            <w:hideMark/>
          </w:tcPr>
          <w:p w14:paraId="3C84BEDD"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1 200 000</w:t>
            </w:r>
          </w:p>
        </w:tc>
        <w:tc>
          <w:tcPr>
            <w:tcW w:w="1417" w:type="dxa"/>
            <w:tcBorders>
              <w:top w:val="nil"/>
              <w:left w:val="nil"/>
              <w:bottom w:val="single" w:sz="4" w:space="0" w:color="auto"/>
              <w:right w:val="single" w:sz="4" w:space="0" w:color="auto"/>
            </w:tcBorders>
            <w:shd w:val="clear" w:color="000000" w:fill="C0C0C0"/>
            <w:noWrap/>
            <w:vAlign w:val="center"/>
            <w:hideMark/>
          </w:tcPr>
          <w:p w14:paraId="4B9B0086"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17 288 232</w:t>
            </w:r>
          </w:p>
        </w:tc>
        <w:tc>
          <w:tcPr>
            <w:tcW w:w="1418" w:type="dxa"/>
            <w:tcBorders>
              <w:top w:val="nil"/>
              <w:left w:val="nil"/>
              <w:bottom w:val="single" w:sz="4" w:space="0" w:color="auto"/>
              <w:right w:val="single" w:sz="4" w:space="0" w:color="auto"/>
            </w:tcBorders>
            <w:shd w:val="clear" w:color="000000" w:fill="C0C0C0"/>
            <w:noWrap/>
            <w:vAlign w:val="center"/>
            <w:hideMark/>
          </w:tcPr>
          <w:p w14:paraId="146FDF29"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24 797 028</w:t>
            </w:r>
          </w:p>
        </w:tc>
        <w:tc>
          <w:tcPr>
            <w:tcW w:w="1701" w:type="dxa"/>
            <w:tcBorders>
              <w:top w:val="nil"/>
              <w:left w:val="nil"/>
              <w:bottom w:val="single" w:sz="4" w:space="0" w:color="auto"/>
              <w:right w:val="single" w:sz="4" w:space="0" w:color="auto"/>
            </w:tcBorders>
            <w:shd w:val="clear" w:color="000000" w:fill="C0C0C0"/>
            <w:noWrap/>
            <w:vAlign w:val="center"/>
            <w:hideMark/>
          </w:tcPr>
          <w:p w14:paraId="22D0F081"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27 451 468</w:t>
            </w:r>
          </w:p>
        </w:tc>
      </w:tr>
      <w:tr w:rsidR="00103E05" w:rsidRPr="00020C88" w14:paraId="3E88F997" w14:textId="77777777" w:rsidTr="00043791">
        <w:trPr>
          <w:trHeight w:val="518"/>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5E3792A1" w14:textId="77777777" w:rsidR="00103E05" w:rsidRPr="00020C88" w:rsidRDefault="00103E05" w:rsidP="00103E05">
            <w:pPr>
              <w:spacing w:after="0" w:line="240" w:lineRule="auto"/>
              <w:rPr>
                <w:rFonts w:ascii="Times New Roman" w:hAnsi="Times New Roman"/>
                <w:color w:val="000000"/>
                <w:sz w:val="20"/>
                <w:szCs w:val="20"/>
                <w:lang w:eastAsia="sk-SK"/>
              </w:rPr>
            </w:pPr>
            <w:r w:rsidRPr="00020C88">
              <w:rPr>
                <w:rFonts w:ascii="Times New Roman" w:hAnsi="Times New Roman"/>
                <w:color w:val="000000"/>
                <w:sz w:val="20"/>
                <w:szCs w:val="20"/>
                <w:lang w:eastAsia="sk-SK"/>
              </w:rPr>
              <w:t>v tom: za každý subjekt verejnej správy / program zvlášť</w:t>
            </w:r>
          </w:p>
        </w:tc>
        <w:tc>
          <w:tcPr>
            <w:tcW w:w="1683" w:type="dxa"/>
            <w:tcBorders>
              <w:top w:val="nil"/>
              <w:left w:val="nil"/>
              <w:bottom w:val="single" w:sz="4" w:space="0" w:color="auto"/>
              <w:right w:val="single" w:sz="4" w:space="0" w:color="auto"/>
            </w:tcBorders>
            <w:shd w:val="clear" w:color="auto" w:fill="auto"/>
            <w:noWrap/>
            <w:vAlign w:val="center"/>
            <w:hideMark/>
          </w:tcPr>
          <w:p w14:paraId="150115A4"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65A7DE50"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74088391"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05AC5015"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6973DDDC"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27DBE608"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xml:space="preserve">z toho: </w:t>
            </w:r>
          </w:p>
        </w:tc>
        <w:tc>
          <w:tcPr>
            <w:tcW w:w="1683" w:type="dxa"/>
            <w:tcBorders>
              <w:top w:val="nil"/>
              <w:left w:val="nil"/>
              <w:bottom w:val="single" w:sz="4" w:space="0" w:color="auto"/>
              <w:right w:val="single" w:sz="4" w:space="0" w:color="auto"/>
            </w:tcBorders>
            <w:shd w:val="clear" w:color="auto" w:fill="auto"/>
            <w:noWrap/>
            <w:vAlign w:val="center"/>
            <w:hideMark/>
          </w:tcPr>
          <w:p w14:paraId="3A148205"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CCCDBD"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w:t>
            </w:r>
          </w:p>
        </w:tc>
        <w:tc>
          <w:tcPr>
            <w:tcW w:w="1418" w:type="dxa"/>
            <w:tcBorders>
              <w:top w:val="nil"/>
              <w:left w:val="nil"/>
              <w:bottom w:val="single" w:sz="4" w:space="0" w:color="auto"/>
              <w:right w:val="single" w:sz="4" w:space="0" w:color="auto"/>
            </w:tcBorders>
            <w:shd w:val="clear" w:color="auto" w:fill="auto"/>
            <w:noWrap/>
            <w:vAlign w:val="center"/>
            <w:hideMark/>
          </w:tcPr>
          <w:p w14:paraId="2EFD8FEC"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14:paraId="5087166B"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w:t>
            </w:r>
          </w:p>
        </w:tc>
      </w:tr>
      <w:tr w:rsidR="00103E05" w:rsidRPr="00020C88" w14:paraId="20315427" w14:textId="77777777" w:rsidTr="00043791">
        <w:trPr>
          <w:trHeight w:val="289"/>
        </w:trPr>
        <w:tc>
          <w:tcPr>
            <w:tcW w:w="4130" w:type="dxa"/>
            <w:tcBorders>
              <w:top w:val="nil"/>
              <w:left w:val="single" w:sz="4" w:space="0" w:color="auto"/>
              <w:bottom w:val="single" w:sz="4" w:space="0" w:color="auto"/>
              <w:right w:val="single" w:sz="4" w:space="0" w:color="auto"/>
            </w:tcBorders>
            <w:shd w:val="clear" w:color="auto" w:fill="auto"/>
            <w:vAlign w:val="center"/>
            <w:hideMark/>
          </w:tcPr>
          <w:p w14:paraId="1D133CB5"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xml:space="preserve">- vplyv na ŠR </w:t>
            </w:r>
          </w:p>
        </w:tc>
        <w:tc>
          <w:tcPr>
            <w:tcW w:w="1683" w:type="dxa"/>
            <w:tcBorders>
              <w:top w:val="nil"/>
              <w:left w:val="nil"/>
              <w:bottom w:val="single" w:sz="4" w:space="0" w:color="auto"/>
              <w:right w:val="single" w:sz="4" w:space="0" w:color="auto"/>
            </w:tcBorders>
            <w:shd w:val="clear" w:color="auto" w:fill="auto"/>
            <w:noWrap/>
            <w:vAlign w:val="center"/>
            <w:hideMark/>
          </w:tcPr>
          <w:p w14:paraId="060CA1EE"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2DACE773"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5D380543"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492EB70D"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0E361F43"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1F761B43" w14:textId="77777777" w:rsidR="00103E05" w:rsidRPr="00020C88" w:rsidRDefault="00103E05" w:rsidP="00103E05">
            <w:pPr>
              <w:spacing w:after="0" w:line="240" w:lineRule="auto"/>
              <w:ind w:firstLineChars="100" w:firstLine="200"/>
              <w:rPr>
                <w:rFonts w:ascii="Times New Roman" w:hAnsi="Times New Roman"/>
                <w:i/>
                <w:iCs/>
                <w:color w:val="000000"/>
                <w:sz w:val="20"/>
                <w:szCs w:val="20"/>
                <w:lang w:eastAsia="sk-SK"/>
              </w:rPr>
            </w:pPr>
            <w:r w:rsidRPr="00020C88">
              <w:rPr>
                <w:rFonts w:ascii="Times New Roman" w:hAnsi="Times New Roman"/>
                <w:i/>
                <w:iCs/>
                <w:color w:val="000000"/>
                <w:sz w:val="20"/>
                <w:szCs w:val="20"/>
                <w:lang w:eastAsia="sk-SK"/>
              </w:rPr>
              <w:t>Rozpočtové prostriedky</w:t>
            </w:r>
          </w:p>
        </w:tc>
        <w:tc>
          <w:tcPr>
            <w:tcW w:w="1683" w:type="dxa"/>
            <w:tcBorders>
              <w:top w:val="nil"/>
              <w:left w:val="nil"/>
              <w:bottom w:val="single" w:sz="4" w:space="0" w:color="auto"/>
              <w:right w:val="single" w:sz="4" w:space="0" w:color="auto"/>
            </w:tcBorders>
            <w:shd w:val="clear" w:color="auto" w:fill="auto"/>
            <w:noWrap/>
            <w:vAlign w:val="center"/>
            <w:hideMark/>
          </w:tcPr>
          <w:p w14:paraId="11008A92"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5CD0C37A"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4FE80140"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1284DD9A"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469B0F29"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4D59F74D" w14:textId="77777777" w:rsidR="00103E05" w:rsidRPr="00020C88" w:rsidRDefault="00103E05" w:rsidP="00103E05">
            <w:pPr>
              <w:spacing w:after="0" w:line="240" w:lineRule="auto"/>
              <w:rPr>
                <w:rFonts w:ascii="Times New Roman" w:hAnsi="Times New Roman"/>
                <w:i/>
                <w:iCs/>
                <w:color w:val="000000"/>
                <w:sz w:val="20"/>
                <w:szCs w:val="20"/>
                <w:lang w:eastAsia="sk-SK"/>
              </w:rPr>
            </w:pPr>
            <w:r w:rsidRPr="00020C88">
              <w:rPr>
                <w:rFonts w:ascii="Times New Roman" w:hAnsi="Times New Roman"/>
                <w:i/>
                <w:iCs/>
                <w:color w:val="000000"/>
                <w:sz w:val="20"/>
                <w:szCs w:val="20"/>
                <w:lang w:eastAsia="sk-SK"/>
              </w:rPr>
              <w:t xml:space="preserve">    EÚ zdroje</w:t>
            </w:r>
          </w:p>
        </w:tc>
        <w:tc>
          <w:tcPr>
            <w:tcW w:w="1683" w:type="dxa"/>
            <w:tcBorders>
              <w:top w:val="nil"/>
              <w:left w:val="nil"/>
              <w:bottom w:val="single" w:sz="4" w:space="0" w:color="auto"/>
              <w:right w:val="single" w:sz="4" w:space="0" w:color="auto"/>
            </w:tcBorders>
            <w:shd w:val="clear" w:color="auto" w:fill="auto"/>
            <w:noWrap/>
            <w:vAlign w:val="center"/>
            <w:hideMark/>
          </w:tcPr>
          <w:p w14:paraId="0F711406"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0019F5DD"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7EF9BDED"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4DF83877"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77D069AF"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45A1813E" w14:textId="77777777" w:rsidR="00103E05" w:rsidRPr="00020C88" w:rsidRDefault="00103E05" w:rsidP="00103E05">
            <w:pPr>
              <w:spacing w:after="0" w:line="240" w:lineRule="auto"/>
              <w:rPr>
                <w:rFonts w:ascii="Times New Roman" w:hAnsi="Times New Roman"/>
                <w:i/>
                <w:iCs/>
                <w:color w:val="000000"/>
                <w:sz w:val="20"/>
                <w:szCs w:val="20"/>
                <w:lang w:eastAsia="sk-SK"/>
              </w:rPr>
            </w:pPr>
            <w:r w:rsidRPr="00020C88">
              <w:rPr>
                <w:rFonts w:ascii="Times New Roman" w:hAnsi="Times New Roman"/>
                <w:i/>
                <w:iCs/>
                <w:color w:val="000000"/>
                <w:sz w:val="20"/>
                <w:szCs w:val="20"/>
                <w:lang w:eastAsia="sk-SK"/>
              </w:rPr>
              <w:t xml:space="preserve">    spolufinancovanie</w:t>
            </w:r>
          </w:p>
        </w:tc>
        <w:tc>
          <w:tcPr>
            <w:tcW w:w="1683" w:type="dxa"/>
            <w:tcBorders>
              <w:top w:val="nil"/>
              <w:left w:val="nil"/>
              <w:bottom w:val="single" w:sz="4" w:space="0" w:color="auto"/>
              <w:right w:val="single" w:sz="4" w:space="0" w:color="auto"/>
            </w:tcBorders>
            <w:shd w:val="clear" w:color="auto" w:fill="auto"/>
            <w:noWrap/>
            <w:vAlign w:val="center"/>
            <w:hideMark/>
          </w:tcPr>
          <w:p w14:paraId="5FE81032"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64C244D9"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0BD82E40"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7F72F290"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570D1279"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117343A8"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obce</w:t>
            </w:r>
          </w:p>
        </w:tc>
        <w:tc>
          <w:tcPr>
            <w:tcW w:w="1683" w:type="dxa"/>
            <w:tcBorders>
              <w:top w:val="nil"/>
              <w:left w:val="nil"/>
              <w:bottom w:val="single" w:sz="4" w:space="0" w:color="auto"/>
              <w:right w:val="single" w:sz="4" w:space="0" w:color="auto"/>
            </w:tcBorders>
            <w:shd w:val="clear" w:color="auto" w:fill="auto"/>
            <w:noWrap/>
            <w:vAlign w:val="center"/>
            <w:hideMark/>
          </w:tcPr>
          <w:p w14:paraId="0DF738DC"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604D0592"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05DB8DFB"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52E284CA"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42128B0D"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2B8A84AC"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vyššie územné celky</w:t>
            </w:r>
          </w:p>
        </w:tc>
        <w:tc>
          <w:tcPr>
            <w:tcW w:w="1683" w:type="dxa"/>
            <w:tcBorders>
              <w:top w:val="nil"/>
              <w:left w:val="nil"/>
              <w:bottom w:val="single" w:sz="4" w:space="0" w:color="auto"/>
              <w:right w:val="single" w:sz="4" w:space="0" w:color="auto"/>
            </w:tcBorders>
            <w:shd w:val="clear" w:color="auto" w:fill="auto"/>
            <w:noWrap/>
            <w:vAlign w:val="center"/>
            <w:hideMark/>
          </w:tcPr>
          <w:p w14:paraId="7C1096B8"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237301B0"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0E1485B2"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4459BF73"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79A7D5AB"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5C6D3741"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Sociálnu poisťovňu</w:t>
            </w:r>
          </w:p>
        </w:tc>
        <w:tc>
          <w:tcPr>
            <w:tcW w:w="1683" w:type="dxa"/>
            <w:tcBorders>
              <w:top w:val="nil"/>
              <w:left w:val="nil"/>
              <w:bottom w:val="single" w:sz="4" w:space="0" w:color="auto"/>
              <w:right w:val="single" w:sz="4" w:space="0" w:color="auto"/>
            </w:tcBorders>
            <w:shd w:val="clear" w:color="auto" w:fill="auto"/>
            <w:noWrap/>
            <w:vAlign w:val="center"/>
            <w:hideMark/>
          </w:tcPr>
          <w:p w14:paraId="64EDA808"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1 200 000</w:t>
            </w:r>
          </w:p>
        </w:tc>
        <w:tc>
          <w:tcPr>
            <w:tcW w:w="1417" w:type="dxa"/>
            <w:tcBorders>
              <w:top w:val="nil"/>
              <w:left w:val="nil"/>
              <w:bottom w:val="single" w:sz="4" w:space="0" w:color="auto"/>
              <w:right w:val="single" w:sz="4" w:space="0" w:color="auto"/>
            </w:tcBorders>
            <w:shd w:val="clear" w:color="auto" w:fill="auto"/>
            <w:noWrap/>
            <w:vAlign w:val="center"/>
            <w:hideMark/>
          </w:tcPr>
          <w:p w14:paraId="0C541892"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8 725 608</w:t>
            </w:r>
          </w:p>
        </w:tc>
        <w:tc>
          <w:tcPr>
            <w:tcW w:w="1418" w:type="dxa"/>
            <w:tcBorders>
              <w:top w:val="nil"/>
              <w:left w:val="nil"/>
              <w:bottom w:val="single" w:sz="4" w:space="0" w:color="auto"/>
              <w:right w:val="single" w:sz="4" w:space="0" w:color="auto"/>
            </w:tcBorders>
            <w:shd w:val="clear" w:color="auto" w:fill="auto"/>
            <w:noWrap/>
            <w:vAlign w:val="center"/>
            <w:hideMark/>
          </w:tcPr>
          <w:p w14:paraId="113F4E77"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13 276 699</w:t>
            </w:r>
          </w:p>
        </w:tc>
        <w:tc>
          <w:tcPr>
            <w:tcW w:w="1701" w:type="dxa"/>
            <w:tcBorders>
              <w:top w:val="nil"/>
              <w:left w:val="nil"/>
              <w:bottom w:val="single" w:sz="4" w:space="0" w:color="auto"/>
              <w:right w:val="single" w:sz="4" w:space="0" w:color="auto"/>
            </w:tcBorders>
            <w:shd w:val="clear" w:color="auto" w:fill="auto"/>
            <w:noWrap/>
            <w:vAlign w:val="center"/>
            <w:hideMark/>
          </w:tcPr>
          <w:p w14:paraId="44B1F243"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14 554 744</w:t>
            </w:r>
          </w:p>
        </w:tc>
      </w:tr>
      <w:tr w:rsidR="00103E05" w:rsidRPr="00020C88" w14:paraId="4BFE48EC" w14:textId="77777777" w:rsidTr="00043791">
        <w:trPr>
          <w:trHeight w:val="291"/>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36BCFF73" w14:textId="0B36923A" w:rsidR="00103E05" w:rsidRPr="00020C88" w:rsidRDefault="001724EF"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xml:space="preserve"> - </w:t>
            </w:r>
            <w:r w:rsidR="00103E05" w:rsidRPr="00020C88">
              <w:rPr>
                <w:rFonts w:ascii="Times New Roman" w:hAnsi="Times New Roman"/>
                <w:b/>
                <w:bCs/>
                <w:i/>
                <w:iCs/>
                <w:color w:val="000000"/>
                <w:sz w:val="20"/>
                <w:szCs w:val="20"/>
                <w:lang w:eastAsia="sk-SK"/>
              </w:rPr>
              <w:t>vplyv na verejné zdravotné poistenie z toho</w:t>
            </w:r>
          </w:p>
        </w:tc>
        <w:tc>
          <w:tcPr>
            <w:tcW w:w="1683" w:type="dxa"/>
            <w:tcBorders>
              <w:top w:val="nil"/>
              <w:left w:val="nil"/>
              <w:bottom w:val="single" w:sz="4" w:space="0" w:color="auto"/>
              <w:right w:val="single" w:sz="4" w:space="0" w:color="auto"/>
            </w:tcBorders>
            <w:shd w:val="clear" w:color="auto" w:fill="auto"/>
            <w:noWrap/>
            <w:vAlign w:val="center"/>
            <w:hideMark/>
          </w:tcPr>
          <w:p w14:paraId="0BA0C236"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474685"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xml:space="preserve">     8 562 624 € </w:t>
            </w:r>
          </w:p>
        </w:tc>
        <w:tc>
          <w:tcPr>
            <w:tcW w:w="1418" w:type="dxa"/>
            <w:tcBorders>
              <w:top w:val="nil"/>
              <w:left w:val="nil"/>
              <w:bottom w:val="single" w:sz="4" w:space="0" w:color="auto"/>
              <w:right w:val="single" w:sz="4" w:space="0" w:color="auto"/>
            </w:tcBorders>
            <w:shd w:val="clear" w:color="auto" w:fill="auto"/>
            <w:noWrap/>
            <w:vAlign w:val="center"/>
            <w:hideMark/>
          </w:tcPr>
          <w:p w14:paraId="166918F0"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xml:space="preserve">   11 520 329 € </w:t>
            </w:r>
          </w:p>
        </w:tc>
        <w:tc>
          <w:tcPr>
            <w:tcW w:w="1701" w:type="dxa"/>
            <w:tcBorders>
              <w:top w:val="nil"/>
              <w:left w:val="nil"/>
              <w:bottom w:val="single" w:sz="4" w:space="0" w:color="auto"/>
              <w:right w:val="single" w:sz="4" w:space="0" w:color="auto"/>
            </w:tcBorders>
            <w:shd w:val="clear" w:color="auto" w:fill="auto"/>
            <w:noWrap/>
            <w:vAlign w:val="center"/>
            <w:hideMark/>
          </w:tcPr>
          <w:p w14:paraId="58EE60A4"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xml:space="preserve">   12 896 724 € </w:t>
            </w:r>
          </w:p>
        </w:tc>
      </w:tr>
      <w:tr w:rsidR="00103E05" w:rsidRPr="00020C88" w14:paraId="5D95CEA1"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75405B4D"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hospicová zdravotná starostlivosť</w:t>
            </w:r>
          </w:p>
        </w:tc>
        <w:tc>
          <w:tcPr>
            <w:tcW w:w="1683" w:type="dxa"/>
            <w:tcBorders>
              <w:top w:val="nil"/>
              <w:left w:val="nil"/>
              <w:bottom w:val="single" w:sz="4" w:space="0" w:color="auto"/>
              <w:right w:val="single" w:sz="4" w:space="0" w:color="auto"/>
            </w:tcBorders>
            <w:shd w:val="clear" w:color="auto" w:fill="auto"/>
            <w:noWrap/>
            <w:vAlign w:val="center"/>
            <w:hideMark/>
          </w:tcPr>
          <w:p w14:paraId="40FB8372"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EE8A9A"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xml:space="preserve">     2 406 839 € </w:t>
            </w:r>
          </w:p>
        </w:tc>
        <w:tc>
          <w:tcPr>
            <w:tcW w:w="1418" w:type="dxa"/>
            <w:tcBorders>
              <w:top w:val="nil"/>
              <w:left w:val="nil"/>
              <w:bottom w:val="single" w:sz="4" w:space="0" w:color="auto"/>
              <w:right w:val="single" w:sz="4" w:space="0" w:color="auto"/>
            </w:tcBorders>
            <w:shd w:val="clear" w:color="auto" w:fill="auto"/>
            <w:noWrap/>
            <w:vAlign w:val="bottom"/>
            <w:hideMark/>
          </w:tcPr>
          <w:p w14:paraId="5947F5C8"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xml:space="preserve">     3 004 389 € </w:t>
            </w:r>
          </w:p>
        </w:tc>
        <w:tc>
          <w:tcPr>
            <w:tcW w:w="1701" w:type="dxa"/>
            <w:tcBorders>
              <w:top w:val="nil"/>
              <w:left w:val="nil"/>
              <w:bottom w:val="single" w:sz="4" w:space="0" w:color="auto"/>
              <w:right w:val="single" w:sz="4" w:space="0" w:color="auto"/>
            </w:tcBorders>
            <w:shd w:val="clear" w:color="auto" w:fill="auto"/>
            <w:noWrap/>
            <w:vAlign w:val="bottom"/>
            <w:hideMark/>
          </w:tcPr>
          <w:p w14:paraId="38ACF091"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xml:space="preserve">     3 551 769 € </w:t>
            </w:r>
          </w:p>
        </w:tc>
      </w:tr>
      <w:tr w:rsidR="00103E05" w:rsidRPr="00020C88" w14:paraId="2FA3CE10"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5724DC2A"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agentúra domácej ošetrovateľskej starostlivosti</w:t>
            </w:r>
          </w:p>
        </w:tc>
        <w:tc>
          <w:tcPr>
            <w:tcW w:w="1683" w:type="dxa"/>
            <w:tcBorders>
              <w:top w:val="nil"/>
              <w:left w:val="nil"/>
              <w:bottom w:val="single" w:sz="4" w:space="0" w:color="auto"/>
              <w:right w:val="single" w:sz="4" w:space="0" w:color="auto"/>
            </w:tcBorders>
            <w:shd w:val="clear" w:color="auto" w:fill="auto"/>
            <w:noWrap/>
            <w:vAlign w:val="center"/>
            <w:hideMark/>
          </w:tcPr>
          <w:p w14:paraId="3C1F23C1"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AB7D8E" w14:textId="77777777" w:rsidR="00103E05" w:rsidRPr="00020C88" w:rsidRDefault="00103E05" w:rsidP="00103E05">
            <w:pPr>
              <w:spacing w:after="0" w:line="240" w:lineRule="auto"/>
              <w:jc w:val="right"/>
              <w:rPr>
                <w:rFonts w:ascii="Times New Roman" w:hAnsi="Times New Roman"/>
                <w:b/>
                <w:color w:val="000000"/>
                <w:sz w:val="20"/>
                <w:szCs w:val="20"/>
                <w:lang w:eastAsia="sk-SK"/>
              </w:rPr>
            </w:pPr>
            <w:r w:rsidRPr="00020C88">
              <w:rPr>
                <w:rFonts w:ascii="Times New Roman" w:hAnsi="Times New Roman"/>
                <w:b/>
                <w:color w:val="000000"/>
                <w:sz w:val="20"/>
                <w:szCs w:val="20"/>
                <w:lang w:eastAsia="sk-SK"/>
              </w:rPr>
              <w:t>5 515 310</w:t>
            </w:r>
          </w:p>
        </w:tc>
        <w:tc>
          <w:tcPr>
            <w:tcW w:w="1418" w:type="dxa"/>
            <w:tcBorders>
              <w:top w:val="nil"/>
              <w:left w:val="nil"/>
              <w:bottom w:val="single" w:sz="4" w:space="0" w:color="auto"/>
              <w:right w:val="single" w:sz="4" w:space="0" w:color="auto"/>
            </w:tcBorders>
            <w:shd w:val="clear" w:color="auto" w:fill="auto"/>
            <w:noWrap/>
            <w:vAlign w:val="center"/>
            <w:hideMark/>
          </w:tcPr>
          <w:p w14:paraId="7AFC6D46" w14:textId="77777777" w:rsidR="00103E05" w:rsidRPr="00020C88" w:rsidRDefault="00103E05" w:rsidP="00103E05">
            <w:pPr>
              <w:spacing w:after="0" w:line="240" w:lineRule="auto"/>
              <w:jc w:val="right"/>
              <w:rPr>
                <w:rFonts w:ascii="Times New Roman" w:hAnsi="Times New Roman"/>
                <w:b/>
                <w:color w:val="000000"/>
                <w:sz w:val="20"/>
                <w:szCs w:val="20"/>
                <w:lang w:eastAsia="sk-SK"/>
              </w:rPr>
            </w:pPr>
            <w:r w:rsidRPr="00020C88">
              <w:rPr>
                <w:rFonts w:ascii="Times New Roman" w:hAnsi="Times New Roman"/>
                <w:b/>
                <w:color w:val="000000"/>
                <w:sz w:val="20"/>
                <w:szCs w:val="20"/>
                <w:lang w:eastAsia="sk-SK"/>
              </w:rPr>
              <w:t>7 548 640</w:t>
            </w:r>
          </w:p>
        </w:tc>
        <w:tc>
          <w:tcPr>
            <w:tcW w:w="1701" w:type="dxa"/>
            <w:tcBorders>
              <w:top w:val="nil"/>
              <w:left w:val="nil"/>
              <w:bottom w:val="single" w:sz="4" w:space="0" w:color="auto"/>
              <w:right w:val="single" w:sz="4" w:space="0" w:color="auto"/>
            </w:tcBorders>
            <w:shd w:val="clear" w:color="auto" w:fill="auto"/>
            <w:noWrap/>
            <w:vAlign w:val="center"/>
            <w:hideMark/>
          </w:tcPr>
          <w:p w14:paraId="40F91B94" w14:textId="77777777" w:rsidR="00103E05" w:rsidRPr="00020C88" w:rsidRDefault="00103E05" w:rsidP="00103E05">
            <w:pPr>
              <w:spacing w:after="0" w:line="240" w:lineRule="auto"/>
              <w:jc w:val="right"/>
              <w:rPr>
                <w:rFonts w:ascii="Times New Roman" w:hAnsi="Times New Roman"/>
                <w:b/>
                <w:color w:val="000000"/>
                <w:sz w:val="20"/>
                <w:szCs w:val="20"/>
                <w:lang w:eastAsia="sk-SK"/>
              </w:rPr>
            </w:pPr>
            <w:r w:rsidRPr="00020C88">
              <w:rPr>
                <w:rFonts w:ascii="Times New Roman" w:hAnsi="Times New Roman"/>
                <w:b/>
                <w:color w:val="000000"/>
                <w:sz w:val="20"/>
                <w:szCs w:val="20"/>
                <w:lang w:eastAsia="sk-SK"/>
              </w:rPr>
              <w:t>8 010 030</w:t>
            </w:r>
          </w:p>
        </w:tc>
      </w:tr>
      <w:tr w:rsidR="00103E05" w:rsidRPr="00020C88" w14:paraId="247D3BA6"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3A2518B9"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mobilný hospic</w:t>
            </w:r>
          </w:p>
        </w:tc>
        <w:tc>
          <w:tcPr>
            <w:tcW w:w="1683" w:type="dxa"/>
            <w:tcBorders>
              <w:top w:val="nil"/>
              <w:left w:val="nil"/>
              <w:bottom w:val="single" w:sz="4" w:space="0" w:color="auto"/>
              <w:right w:val="single" w:sz="4" w:space="0" w:color="auto"/>
            </w:tcBorders>
            <w:shd w:val="clear" w:color="auto" w:fill="auto"/>
            <w:noWrap/>
            <w:vAlign w:val="center"/>
            <w:hideMark/>
          </w:tcPr>
          <w:p w14:paraId="3C32540A"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CECD82"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640 475 €</w:t>
            </w:r>
          </w:p>
        </w:tc>
        <w:tc>
          <w:tcPr>
            <w:tcW w:w="1418" w:type="dxa"/>
            <w:tcBorders>
              <w:top w:val="nil"/>
              <w:left w:val="nil"/>
              <w:bottom w:val="single" w:sz="4" w:space="0" w:color="auto"/>
              <w:right w:val="single" w:sz="4" w:space="0" w:color="auto"/>
            </w:tcBorders>
            <w:shd w:val="clear" w:color="auto" w:fill="auto"/>
            <w:noWrap/>
            <w:vAlign w:val="center"/>
            <w:hideMark/>
          </w:tcPr>
          <w:p w14:paraId="25AEF82D"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967 300 €</w:t>
            </w:r>
          </w:p>
        </w:tc>
        <w:tc>
          <w:tcPr>
            <w:tcW w:w="1701" w:type="dxa"/>
            <w:tcBorders>
              <w:top w:val="nil"/>
              <w:left w:val="nil"/>
              <w:bottom w:val="single" w:sz="4" w:space="0" w:color="auto"/>
              <w:right w:val="single" w:sz="4" w:space="0" w:color="auto"/>
            </w:tcBorders>
            <w:shd w:val="clear" w:color="auto" w:fill="auto"/>
            <w:noWrap/>
            <w:vAlign w:val="center"/>
            <w:hideMark/>
          </w:tcPr>
          <w:p w14:paraId="4473AB3E"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1 334 925 €</w:t>
            </w:r>
          </w:p>
        </w:tc>
      </w:tr>
      <w:tr w:rsidR="00103E05" w:rsidRPr="00020C88" w14:paraId="1F603CA5" w14:textId="77777777" w:rsidTr="00043791">
        <w:trPr>
          <w:trHeight w:val="293"/>
        </w:trPr>
        <w:tc>
          <w:tcPr>
            <w:tcW w:w="4130" w:type="dxa"/>
            <w:tcBorders>
              <w:top w:val="nil"/>
              <w:left w:val="single" w:sz="4" w:space="0" w:color="auto"/>
              <w:bottom w:val="single" w:sz="4" w:space="0" w:color="auto"/>
              <w:right w:val="single" w:sz="4" w:space="0" w:color="auto"/>
            </w:tcBorders>
            <w:shd w:val="clear" w:color="000000" w:fill="BFBFBF"/>
            <w:noWrap/>
            <w:vAlign w:val="center"/>
            <w:hideMark/>
          </w:tcPr>
          <w:p w14:paraId="736605C6" w14:textId="77777777" w:rsidR="00103E05" w:rsidRPr="00020C88" w:rsidRDefault="00103E05" w:rsidP="00103E05">
            <w:pPr>
              <w:spacing w:after="0" w:line="240" w:lineRule="auto"/>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 xml:space="preserve">Vplyv na počet zamestnancov </w:t>
            </w:r>
          </w:p>
        </w:tc>
        <w:tc>
          <w:tcPr>
            <w:tcW w:w="1683" w:type="dxa"/>
            <w:tcBorders>
              <w:top w:val="nil"/>
              <w:left w:val="nil"/>
              <w:bottom w:val="single" w:sz="4" w:space="0" w:color="auto"/>
              <w:right w:val="single" w:sz="4" w:space="0" w:color="auto"/>
            </w:tcBorders>
            <w:shd w:val="clear" w:color="000000" w:fill="BFBFBF"/>
            <w:noWrap/>
            <w:vAlign w:val="center"/>
            <w:hideMark/>
          </w:tcPr>
          <w:p w14:paraId="2BF87F28"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417" w:type="dxa"/>
            <w:tcBorders>
              <w:top w:val="nil"/>
              <w:left w:val="nil"/>
              <w:bottom w:val="single" w:sz="4" w:space="0" w:color="auto"/>
              <w:right w:val="single" w:sz="4" w:space="0" w:color="auto"/>
            </w:tcBorders>
            <w:shd w:val="clear" w:color="000000" w:fill="BFBFBF"/>
            <w:noWrap/>
            <w:vAlign w:val="center"/>
            <w:hideMark/>
          </w:tcPr>
          <w:p w14:paraId="7732EFAE"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418" w:type="dxa"/>
            <w:tcBorders>
              <w:top w:val="nil"/>
              <w:left w:val="nil"/>
              <w:bottom w:val="single" w:sz="4" w:space="0" w:color="auto"/>
              <w:right w:val="single" w:sz="4" w:space="0" w:color="auto"/>
            </w:tcBorders>
            <w:shd w:val="clear" w:color="000000" w:fill="BFBFBF"/>
            <w:noWrap/>
            <w:vAlign w:val="center"/>
            <w:hideMark/>
          </w:tcPr>
          <w:p w14:paraId="7821D15B"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701" w:type="dxa"/>
            <w:tcBorders>
              <w:top w:val="nil"/>
              <w:left w:val="nil"/>
              <w:bottom w:val="single" w:sz="4" w:space="0" w:color="auto"/>
              <w:right w:val="single" w:sz="4" w:space="0" w:color="auto"/>
            </w:tcBorders>
            <w:shd w:val="clear" w:color="000000" w:fill="BFBFBF"/>
            <w:noWrap/>
            <w:vAlign w:val="center"/>
            <w:hideMark/>
          </w:tcPr>
          <w:p w14:paraId="446986AC"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r>
      <w:tr w:rsidR="00103E05" w:rsidRPr="00020C88" w14:paraId="59DBF9E6"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4A033658"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ŠR</w:t>
            </w:r>
          </w:p>
        </w:tc>
        <w:tc>
          <w:tcPr>
            <w:tcW w:w="1683" w:type="dxa"/>
            <w:tcBorders>
              <w:top w:val="nil"/>
              <w:left w:val="nil"/>
              <w:bottom w:val="single" w:sz="4" w:space="0" w:color="auto"/>
              <w:right w:val="single" w:sz="4" w:space="0" w:color="auto"/>
            </w:tcBorders>
            <w:shd w:val="clear" w:color="auto" w:fill="auto"/>
            <w:noWrap/>
            <w:vAlign w:val="center"/>
            <w:hideMark/>
          </w:tcPr>
          <w:p w14:paraId="7848B4D8"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184EAB5F"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1D111A61"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342DBDED"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6A881ACE"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670ECD5C"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obce</w:t>
            </w:r>
          </w:p>
        </w:tc>
        <w:tc>
          <w:tcPr>
            <w:tcW w:w="1683" w:type="dxa"/>
            <w:tcBorders>
              <w:top w:val="nil"/>
              <w:left w:val="nil"/>
              <w:bottom w:val="single" w:sz="4" w:space="0" w:color="auto"/>
              <w:right w:val="single" w:sz="4" w:space="0" w:color="auto"/>
            </w:tcBorders>
            <w:shd w:val="clear" w:color="auto" w:fill="auto"/>
            <w:noWrap/>
            <w:vAlign w:val="center"/>
            <w:hideMark/>
          </w:tcPr>
          <w:p w14:paraId="3DE93656"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36D65B02"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586E266E"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14C52779"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337CB915" w14:textId="77777777" w:rsidTr="00043791">
        <w:trPr>
          <w:trHeight w:val="165"/>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0279467A"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vyššie územné celky</w:t>
            </w:r>
          </w:p>
        </w:tc>
        <w:tc>
          <w:tcPr>
            <w:tcW w:w="1683" w:type="dxa"/>
            <w:tcBorders>
              <w:top w:val="nil"/>
              <w:left w:val="nil"/>
              <w:bottom w:val="single" w:sz="4" w:space="0" w:color="auto"/>
              <w:right w:val="single" w:sz="4" w:space="0" w:color="auto"/>
            </w:tcBorders>
            <w:shd w:val="clear" w:color="auto" w:fill="auto"/>
            <w:noWrap/>
            <w:vAlign w:val="center"/>
            <w:hideMark/>
          </w:tcPr>
          <w:p w14:paraId="0191708B"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43973D25"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1C118B34"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68161DA9"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495219F9"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52D5288E"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Sociálnu poisťovňu</w:t>
            </w:r>
          </w:p>
        </w:tc>
        <w:tc>
          <w:tcPr>
            <w:tcW w:w="1683" w:type="dxa"/>
            <w:tcBorders>
              <w:top w:val="nil"/>
              <w:left w:val="nil"/>
              <w:bottom w:val="single" w:sz="4" w:space="0" w:color="auto"/>
              <w:right w:val="single" w:sz="4" w:space="0" w:color="auto"/>
            </w:tcBorders>
            <w:shd w:val="clear" w:color="auto" w:fill="auto"/>
            <w:noWrap/>
            <w:vAlign w:val="center"/>
            <w:hideMark/>
          </w:tcPr>
          <w:p w14:paraId="5681A5D4"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46C3927A"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57D731B4"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759AA8FE"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64C0324D" w14:textId="77777777" w:rsidTr="00043791">
        <w:trPr>
          <w:trHeight w:val="293"/>
        </w:trPr>
        <w:tc>
          <w:tcPr>
            <w:tcW w:w="4130" w:type="dxa"/>
            <w:tcBorders>
              <w:top w:val="nil"/>
              <w:left w:val="single" w:sz="4" w:space="0" w:color="auto"/>
              <w:bottom w:val="single" w:sz="4" w:space="0" w:color="auto"/>
              <w:right w:val="single" w:sz="4" w:space="0" w:color="auto"/>
            </w:tcBorders>
            <w:shd w:val="clear" w:color="000000" w:fill="BFBFBF"/>
            <w:noWrap/>
            <w:vAlign w:val="center"/>
            <w:hideMark/>
          </w:tcPr>
          <w:p w14:paraId="6DBB4F7A" w14:textId="77777777" w:rsidR="00103E05" w:rsidRPr="00020C88" w:rsidRDefault="00103E05" w:rsidP="00103E05">
            <w:pPr>
              <w:spacing w:after="0" w:line="240" w:lineRule="auto"/>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Vplyv na mzdové výdavky</w:t>
            </w:r>
          </w:p>
        </w:tc>
        <w:tc>
          <w:tcPr>
            <w:tcW w:w="1683" w:type="dxa"/>
            <w:tcBorders>
              <w:top w:val="nil"/>
              <w:left w:val="nil"/>
              <w:bottom w:val="single" w:sz="4" w:space="0" w:color="auto"/>
              <w:right w:val="single" w:sz="4" w:space="0" w:color="auto"/>
            </w:tcBorders>
            <w:shd w:val="clear" w:color="000000" w:fill="BFBFBF"/>
            <w:noWrap/>
            <w:vAlign w:val="center"/>
            <w:hideMark/>
          </w:tcPr>
          <w:p w14:paraId="45E4FC59"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417" w:type="dxa"/>
            <w:tcBorders>
              <w:top w:val="nil"/>
              <w:left w:val="nil"/>
              <w:bottom w:val="single" w:sz="4" w:space="0" w:color="auto"/>
              <w:right w:val="single" w:sz="4" w:space="0" w:color="auto"/>
            </w:tcBorders>
            <w:shd w:val="clear" w:color="000000" w:fill="BFBFBF"/>
            <w:noWrap/>
            <w:vAlign w:val="center"/>
            <w:hideMark/>
          </w:tcPr>
          <w:p w14:paraId="7CB1B413"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418" w:type="dxa"/>
            <w:tcBorders>
              <w:top w:val="nil"/>
              <w:left w:val="nil"/>
              <w:bottom w:val="single" w:sz="4" w:space="0" w:color="auto"/>
              <w:right w:val="single" w:sz="4" w:space="0" w:color="auto"/>
            </w:tcBorders>
            <w:shd w:val="clear" w:color="000000" w:fill="BFBFBF"/>
            <w:noWrap/>
            <w:vAlign w:val="center"/>
            <w:hideMark/>
          </w:tcPr>
          <w:p w14:paraId="485643A0"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701" w:type="dxa"/>
            <w:tcBorders>
              <w:top w:val="nil"/>
              <w:left w:val="nil"/>
              <w:bottom w:val="single" w:sz="4" w:space="0" w:color="auto"/>
              <w:right w:val="single" w:sz="4" w:space="0" w:color="auto"/>
            </w:tcBorders>
            <w:shd w:val="clear" w:color="000000" w:fill="BFBFBF"/>
            <w:noWrap/>
            <w:vAlign w:val="center"/>
            <w:hideMark/>
          </w:tcPr>
          <w:p w14:paraId="306D1B61"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r>
      <w:tr w:rsidR="00103E05" w:rsidRPr="00020C88" w14:paraId="10EA6CBD"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3C569A8D"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ŠR</w:t>
            </w:r>
          </w:p>
        </w:tc>
        <w:tc>
          <w:tcPr>
            <w:tcW w:w="1683" w:type="dxa"/>
            <w:tcBorders>
              <w:top w:val="nil"/>
              <w:left w:val="nil"/>
              <w:bottom w:val="single" w:sz="4" w:space="0" w:color="auto"/>
              <w:right w:val="single" w:sz="4" w:space="0" w:color="auto"/>
            </w:tcBorders>
            <w:shd w:val="clear" w:color="auto" w:fill="auto"/>
            <w:noWrap/>
            <w:vAlign w:val="center"/>
            <w:hideMark/>
          </w:tcPr>
          <w:p w14:paraId="6173E03F"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356EC69A"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75C5C321"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3EDBCA3D"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5E373EA6" w14:textId="77777777" w:rsidTr="00043791">
        <w:trPr>
          <w:trHeight w:val="29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0C5A5BB1"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obce</w:t>
            </w:r>
          </w:p>
        </w:tc>
        <w:tc>
          <w:tcPr>
            <w:tcW w:w="1683" w:type="dxa"/>
            <w:tcBorders>
              <w:top w:val="nil"/>
              <w:left w:val="nil"/>
              <w:bottom w:val="single" w:sz="4" w:space="0" w:color="auto"/>
              <w:right w:val="single" w:sz="4" w:space="0" w:color="auto"/>
            </w:tcBorders>
            <w:shd w:val="clear" w:color="auto" w:fill="auto"/>
            <w:noWrap/>
            <w:vAlign w:val="center"/>
            <w:hideMark/>
          </w:tcPr>
          <w:p w14:paraId="017C3E4A"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166E5E13"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231BB36E"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78BF4E99"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2744F0BB" w14:textId="77777777" w:rsidTr="00043791">
        <w:trPr>
          <w:trHeight w:val="271"/>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086B60AB"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vyššie územné celky</w:t>
            </w:r>
          </w:p>
        </w:tc>
        <w:tc>
          <w:tcPr>
            <w:tcW w:w="1683" w:type="dxa"/>
            <w:tcBorders>
              <w:top w:val="nil"/>
              <w:left w:val="nil"/>
              <w:bottom w:val="single" w:sz="4" w:space="0" w:color="auto"/>
              <w:right w:val="single" w:sz="4" w:space="0" w:color="auto"/>
            </w:tcBorders>
            <w:shd w:val="clear" w:color="auto" w:fill="auto"/>
            <w:noWrap/>
            <w:vAlign w:val="center"/>
            <w:hideMark/>
          </w:tcPr>
          <w:p w14:paraId="1A6824FD"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285FBF79"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7C415C52"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727FAE0C"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0390E675" w14:textId="77777777" w:rsidTr="00043791">
        <w:trPr>
          <w:trHeight w:val="261"/>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1AD3FED7"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 vplyv na Sociálnu poisťovňu</w:t>
            </w:r>
          </w:p>
        </w:tc>
        <w:tc>
          <w:tcPr>
            <w:tcW w:w="1683" w:type="dxa"/>
            <w:tcBorders>
              <w:top w:val="nil"/>
              <w:left w:val="nil"/>
              <w:bottom w:val="single" w:sz="4" w:space="0" w:color="auto"/>
              <w:right w:val="single" w:sz="4" w:space="0" w:color="auto"/>
            </w:tcBorders>
            <w:shd w:val="clear" w:color="auto" w:fill="auto"/>
            <w:noWrap/>
            <w:vAlign w:val="center"/>
            <w:hideMark/>
          </w:tcPr>
          <w:p w14:paraId="51E44DD4"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3E8AA20C"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67776CA4"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6B8FB7F3"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3C622344" w14:textId="77777777" w:rsidTr="00043791">
        <w:trPr>
          <w:trHeight w:val="293"/>
        </w:trPr>
        <w:tc>
          <w:tcPr>
            <w:tcW w:w="4130" w:type="dxa"/>
            <w:tcBorders>
              <w:top w:val="nil"/>
              <w:left w:val="single" w:sz="4" w:space="0" w:color="auto"/>
              <w:bottom w:val="single" w:sz="4" w:space="0" w:color="auto"/>
              <w:right w:val="single" w:sz="4" w:space="0" w:color="auto"/>
            </w:tcBorders>
            <w:shd w:val="clear" w:color="000000" w:fill="BFBFBF"/>
            <w:noWrap/>
            <w:vAlign w:val="center"/>
            <w:hideMark/>
          </w:tcPr>
          <w:p w14:paraId="68E5CFAC" w14:textId="77777777" w:rsidR="00103E05" w:rsidRPr="00020C88" w:rsidRDefault="00103E05" w:rsidP="00103E05">
            <w:pPr>
              <w:spacing w:after="0" w:line="240" w:lineRule="auto"/>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Financovanie zabezpečené v rozpočte</w:t>
            </w:r>
          </w:p>
        </w:tc>
        <w:tc>
          <w:tcPr>
            <w:tcW w:w="1683" w:type="dxa"/>
            <w:tcBorders>
              <w:top w:val="nil"/>
              <w:left w:val="nil"/>
              <w:bottom w:val="single" w:sz="4" w:space="0" w:color="auto"/>
              <w:right w:val="single" w:sz="4" w:space="0" w:color="auto"/>
            </w:tcBorders>
            <w:shd w:val="clear" w:color="000000" w:fill="C0C0C0"/>
            <w:noWrap/>
            <w:vAlign w:val="center"/>
            <w:hideMark/>
          </w:tcPr>
          <w:p w14:paraId="535CEA07"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1 200 000</w:t>
            </w:r>
          </w:p>
        </w:tc>
        <w:tc>
          <w:tcPr>
            <w:tcW w:w="1417" w:type="dxa"/>
            <w:tcBorders>
              <w:top w:val="nil"/>
              <w:left w:val="nil"/>
              <w:bottom w:val="single" w:sz="4" w:space="0" w:color="auto"/>
              <w:right w:val="single" w:sz="4" w:space="0" w:color="auto"/>
            </w:tcBorders>
            <w:shd w:val="clear" w:color="auto" w:fill="A6A6A6" w:themeFill="background1" w:themeFillShade="A6"/>
            <w:noWrap/>
            <w:vAlign w:val="center"/>
            <w:hideMark/>
          </w:tcPr>
          <w:p w14:paraId="2E8AE1A4" w14:textId="1BAD0C77" w:rsidR="00103E05" w:rsidRPr="00020C88" w:rsidRDefault="00103E05" w:rsidP="009E16F9">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6A6A6" w:themeFill="background1" w:themeFillShade="A6"/>
            <w:noWrap/>
            <w:vAlign w:val="center"/>
            <w:hideMark/>
          </w:tcPr>
          <w:p w14:paraId="20FF14EA" w14:textId="70ADA874" w:rsidR="00103E05" w:rsidRPr="00020C88" w:rsidRDefault="00103E05" w:rsidP="009E16F9">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6A6A6" w:themeFill="background1" w:themeFillShade="A6"/>
            <w:noWrap/>
            <w:vAlign w:val="center"/>
            <w:hideMark/>
          </w:tcPr>
          <w:p w14:paraId="74D221A8" w14:textId="7CA348A0" w:rsidR="00103E05" w:rsidRPr="00020C88" w:rsidRDefault="00103E05" w:rsidP="009E16F9">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r>
      <w:tr w:rsidR="00103E05" w:rsidRPr="00020C88" w14:paraId="6F289F8D" w14:textId="77777777" w:rsidTr="00043791">
        <w:trPr>
          <w:trHeight w:val="269"/>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1BEFBDA6" w14:textId="77777777" w:rsidR="00103E05" w:rsidRPr="00020C88" w:rsidRDefault="00103E05" w:rsidP="00103E05">
            <w:pPr>
              <w:spacing w:after="0" w:line="240" w:lineRule="auto"/>
              <w:rPr>
                <w:rFonts w:ascii="Times New Roman" w:hAnsi="Times New Roman"/>
                <w:b/>
                <w:bCs/>
                <w:i/>
                <w:iCs/>
                <w:color w:val="000000"/>
                <w:sz w:val="20"/>
                <w:szCs w:val="20"/>
                <w:lang w:eastAsia="sk-SK"/>
              </w:rPr>
            </w:pPr>
            <w:r w:rsidRPr="00020C88">
              <w:rPr>
                <w:rFonts w:ascii="Times New Roman" w:hAnsi="Times New Roman"/>
                <w:b/>
                <w:bCs/>
                <w:i/>
                <w:iCs/>
                <w:color w:val="000000"/>
                <w:sz w:val="20"/>
                <w:szCs w:val="20"/>
                <w:lang w:eastAsia="sk-SK"/>
              </w:rPr>
              <w:t>z toho:</w:t>
            </w:r>
          </w:p>
        </w:tc>
        <w:tc>
          <w:tcPr>
            <w:tcW w:w="1683" w:type="dxa"/>
            <w:tcBorders>
              <w:top w:val="nil"/>
              <w:left w:val="nil"/>
              <w:bottom w:val="single" w:sz="4" w:space="0" w:color="auto"/>
              <w:right w:val="single" w:sz="4" w:space="0" w:color="auto"/>
            </w:tcBorders>
            <w:shd w:val="clear" w:color="auto" w:fill="auto"/>
            <w:noWrap/>
            <w:vAlign w:val="center"/>
            <w:hideMark/>
          </w:tcPr>
          <w:p w14:paraId="574B49E4"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5E9FB1"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418" w:type="dxa"/>
            <w:tcBorders>
              <w:top w:val="nil"/>
              <w:left w:val="nil"/>
              <w:bottom w:val="single" w:sz="4" w:space="0" w:color="auto"/>
              <w:right w:val="single" w:sz="4" w:space="0" w:color="auto"/>
            </w:tcBorders>
            <w:shd w:val="clear" w:color="auto" w:fill="auto"/>
            <w:noWrap/>
            <w:vAlign w:val="center"/>
            <w:hideMark/>
          </w:tcPr>
          <w:p w14:paraId="0F2150C6"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14:paraId="0C247EFE"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r>
      <w:tr w:rsidR="00103E05" w:rsidRPr="00020C88" w14:paraId="76AEA02E" w14:textId="77777777" w:rsidTr="00043791">
        <w:trPr>
          <w:trHeight w:val="28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047DD6CB" w14:textId="77777777" w:rsidR="00103E05" w:rsidRPr="00020C88" w:rsidRDefault="00103E05" w:rsidP="00103E05">
            <w:pPr>
              <w:spacing w:after="0" w:line="240" w:lineRule="auto"/>
              <w:rPr>
                <w:rFonts w:ascii="Times New Roman" w:hAnsi="Times New Roman"/>
                <w:color w:val="000000"/>
                <w:sz w:val="20"/>
                <w:szCs w:val="20"/>
                <w:lang w:eastAsia="sk-SK"/>
              </w:rPr>
            </w:pPr>
            <w:r w:rsidRPr="00020C88">
              <w:rPr>
                <w:rFonts w:ascii="Times New Roman" w:hAnsi="Times New Roman"/>
                <w:color w:val="000000"/>
                <w:sz w:val="20"/>
                <w:szCs w:val="20"/>
                <w:lang w:eastAsia="sk-SK"/>
              </w:rPr>
              <w:t>-vplyv na štátny rozpočet</w:t>
            </w:r>
          </w:p>
        </w:tc>
        <w:tc>
          <w:tcPr>
            <w:tcW w:w="1683" w:type="dxa"/>
            <w:tcBorders>
              <w:top w:val="nil"/>
              <w:left w:val="nil"/>
              <w:bottom w:val="single" w:sz="4" w:space="0" w:color="auto"/>
              <w:right w:val="single" w:sz="4" w:space="0" w:color="auto"/>
            </w:tcBorders>
            <w:shd w:val="clear" w:color="auto" w:fill="auto"/>
            <w:noWrap/>
            <w:vAlign w:val="center"/>
            <w:hideMark/>
          </w:tcPr>
          <w:p w14:paraId="6AA5D2E1"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7697F739"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3EF43EB7"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3B16D9CF"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5482ABA9" w14:textId="77777777" w:rsidTr="00043791">
        <w:trPr>
          <w:trHeight w:val="28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2443F794" w14:textId="77777777" w:rsidR="00103E05" w:rsidRPr="00020C88" w:rsidRDefault="00103E05" w:rsidP="00103E05">
            <w:pPr>
              <w:spacing w:after="0" w:line="240" w:lineRule="auto"/>
              <w:rPr>
                <w:rFonts w:ascii="Times New Roman" w:hAnsi="Times New Roman"/>
                <w:color w:val="000000"/>
                <w:sz w:val="20"/>
                <w:szCs w:val="20"/>
                <w:lang w:eastAsia="sk-SK"/>
              </w:rPr>
            </w:pPr>
            <w:r w:rsidRPr="00020C88">
              <w:rPr>
                <w:rFonts w:ascii="Times New Roman" w:hAnsi="Times New Roman"/>
                <w:color w:val="000000"/>
                <w:sz w:val="20"/>
                <w:szCs w:val="20"/>
                <w:lang w:eastAsia="sk-SK"/>
              </w:rPr>
              <w:t>- vplyv na obce</w:t>
            </w:r>
          </w:p>
        </w:tc>
        <w:tc>
          <w:tcPr>
            <w:tcW w:w="1683" w:type="dxa"/>
            <w:tcBorders>
              <w:top w:val="nil"/>
              <w:left w:val="nil"/>
              <w:bottom w:val="single" w:sz="4" w:space="0" w:color="auto"/>
              <w:right w:val="single" w:sz="4" w:space="0" w:color="auto"/>
            </w:tcBorders>
            <w:shd w:val="clear" w:color="auto" w:fill="auto"/>
            <w:noWrap/>
            <w:vAlign w:val="center"/>
            <w:hideMark/>
          </w:tcPr>
          <w:p w14:paraId="5E7DADC6"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168069F0"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576CC9F8"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038D0843"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453695B4" w14:textId="77777777" w:rsidTr="00043791">
        <w:trPr>
          <w:trHeight w:val="28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34004A83" w14:textId="77777777" w:rsidR="00103E05" w:rsidRPr="00020C88" w:rsidRDefault="00103E05" w:rsidP="00103E05">
            <w:pPr>
              <w:spacing w:after="0" w:line="240" w:lineRule="auto"/>
              <w:rPr>
                <w:rFonts w:ascii="Times New Roman" w:hAnsi="Times New Roman"/>
                <w:color w:val="000000"/>
                <w:sz w:val="20"/>
                <w:szCs w:val="20"/>
                <w:lang w:eastAsia="sk-SK"/>
              </w:rPr>
            </w:pPr>
            <w:r w:rsidRPr="00020C88">
              <w:rPr>
                <w:rFonts w:ascii="Times New Roman" w:hAnsi="Times New Roman"/>
                <w:color w:val="000000"/>
                <w:sz w:val="20"/>
                <w:szCs w:val="20"/>
                <w:lang w:eastAsia="sk-SK"/>
              </w:rPr>
              <w:t>- vplyv na vyššie územné celky</w:t>
            </w:r>
          </w:p>
        </w:tc>
        <w:tc>
          <w:tcPr>
            <w:tcW w:w="1683" w:type="dxa"/>
            <w:tcBorders>
              <w:top w:val="nil"/>
              <w:left w:val="nil"/>
              <w:bottom w:val="single" w:sz="4" w:space="0" w:color="auto"/>
              <w:right w:val="single" w:sz="4" w:space="0" w:color="auto"/>
            </w:tcBorders>
            <w:shd w:val="clear" w:color="auto" w:fill="auto"/>
            <w:noWrap/>
            <w:vAlign w:val="center"/>
            <w:hideMark/>
          </w:tcPr>
          <w:p w14:paraId="0A374E72"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hideMark/>
          </w:tcPr>
          <w:p w14:paraId="06C93080"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hideMark/>
          </w:tcPr>
          <w:p w14:paraId="6F56641B"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14:paraId="604B5632" w14:textId="77777777" w:rsidR="00103E05" w:rsidRPr="00020C88" w:rsidRDefault="00103E05" w:rsidP="00103E05">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043791" w:rsidRPr="00020C88" w14:paraId="163D5D99" w14:textId="77777777" w:rsidTr="00043791">
        <w:trPr>
          <w:trHeight w:val="28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5A19F68D" w14:textId="77777777" w:rsidR="00043791" w:rsidRPr="00020C88" w:rsidRDefault="00043791" w:rsidP="00043791">
            <w:pPr>
              <w:spacing w:after="0" w:line="240" w:lineRule="auto"/>
              <w:rPr>
                <w:rFonts w:ascii="Times New Roman" w:hAnsi="Times New Roman"/>
                <w:color w:val="000000"/>
                <w:sz w:val="20"/>
                <w:szCs w:val="20"/>
                <w:lang w:eastAsia="sk-SK"/>
              </w:rPr>
            </w:pPr>
            <w:r w:rsidRPr="00020C88">
              <w:rPr>
                <w:rFonts w:ascii="Times New Roman" w:hAnsi="Times New Roman"/>
                <w:color w:val="000000"/>
                <w:sz w:val="20"/>
                <w:szCs w:val="20"/>
                <w:lang w:eastAsia="sk-SK"/>
              </w:rPr>
              <w:lastRenderedPageBreak/>
              <w:t>- vplyv na rozpočet Sociálnej poisťovne</w:t>
            </w:r>
          </w:p>
        </w:tc>
        <w:tc>
          <w:tcPr>
            <w:tcW w:w="1683" w:type="dxa"/>
            <w:tcBorders>
              <w:top w:val="nil"/>
              <w:left w:val="nil"/>
              <w:bottom w:val="single" w:sz="4" w:space="0" w:color="auto"/>
              <w:right w:val="single" w:sz="4" w:space="0" w:color="auto"/>
            </w:tcBorders>
            <w:shd w:val="clear" w:color="auto" w:fill="auto"/>
            <w:noWrap/>
            <w:vAlign w:val="center"/>
            <w:hideMark/>
          </w:tcPr>
          <w:p w14:paraId="31146919" w14:textId="77777777" w:rsidR="00043791" w:rsidRPr="00020C88" w:rsidRDefault="00043791" w:rsidP="00043791">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1 200 000</w:t>
            </w:r>
          </w:p>
        </w:tc>
        <w:tc>
          <w:tcPr>
            <w:tcW w:w="1417" w:type="dxa"/>
            <w:tcBorders>
              <w:top w:val="nil"/>
              <w:left w:val="nil"/>
              <w:bottom w:val="single" w:sz="4" w:space="0" w:color="auto"/>
              <w:right w:val="single" w:sz="4" w:space="0" w:color="auto"/>
            </w:tcBorders>
            <w:shd w:val="clear" w:color="auto" w:fill="auto"/>
            <w:noWrap/>
            <w:vAlign w:val="center"/>
          </w:tcPr>
          <w:p w14:paraId="7710B0CE" w14:textId="0C2CEF5E" w:rsidR="00043791" w:rsidRPr="00020C88" w:rsidRDefault="00043791" w:rsidP="00043791">
            <w:pPr>
              <w:spacing w:after="0" w:line="240" w:lineRule="auto"/>
              <w:jc w:val="right"/>
              <w:rPr>
                <w:rFonts w:ascii="Times New Roman" w:hAnsi="Times New Roman"/>
                <w:b/>
                <w:bCs/>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tcPr>
          <w:p w14:paraId="565BCF0A" w14:textId="32E7A564" w:rsidR="00043791" w:rsidRPr="00020C88" w:rsidRDefault="00043791" w:rsidP="00043791">
            <w:pPr>
              <w:spacing w:after="0" w:line="240" w:lineRule="auto"/>
              <w:jc w:val="right"/>
              <w:rPr>
                <w:rFonts w:ascii="Times New Roman" w:hAnsi="Times New Roman"/>
                <w:b/>
                <w:bCs/>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tcPr>
          <w:p w14:paraId="1B228462" w14:textId="7BC0C8AA" w:rsidR="00043791" w:rsidRPr="00020C88" w:rsidRDefault="00043791" w:rsidP="00043791">
            <w:pPr>
              <w:spacing w:after="0" w:line="240" w:lineRule="auto"/>
              <w:jc w:val="right"/>
              <w:rPr>
                <w:rFonts w:ascii="Times New Roman" w:hAnsi="Times New Roman"/>
                <w:b/>
                <w:bCs/>
                <w:color w:val="000000"/>
                <w:sz w:val="20"/>
                <w:szCs w:val="20"/>
                <w:lang w:eastAsia="sk-SK"/>
              </w:rPr>
            </w:pPr>
            <w:r w:rsidRPr="00020C88">
              <w:rPr>
                <w:rFonts w:ascii="Times New Roman" w:hAnsi="Times New Roman"/>
                <w:color w:val="000000"/>
                <w:sz w:val="20"/>
                <w:szCs w:val="20"/>
                <w:lang w:eastAsia="sk-SK"/>
              </w:rPr>
              <w:t>0</w:t>
            </w:r>
          </w:p>
        </w:tc>
      </w:tr>
      <w:tr w:rsidR="00043791" w:rsidRPr="00020C88" w14:paraId="1E488088" w14:textId="77777777" w:rsidTr="00043791">
        <w:trPr>
          <w:trHeight w:val="283"/>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4B3C80B0" w14:textId="77777777" w:rsidR="00043791" w:rsidRPr="00020C88" w:rsidRDefault="00043791" w:rsidP="00043791">
            <w:pPr>
              <w:spacing w:after="0" w:line="240" w:lineRule="auto"/>
              <w:rPr>
                <w:rFonts w:ascii="Times New Roman" w:hAnsi="Times New Roman"/>
                <w:i/>
                <w:iCs/>
                <w:color w:val="000000"/>
                <w:sz w:val="20"/>
                <w:szCs w:val="20"/>
                <w:lang w:eastAsia="sk-SK"/>
              </w:rPr>
            </w:pPr>
            <w:r w:rsidRPr="00020C88">
              <w:rPr>
                <w:rFonts w:ascii="Times New Roman" w:hAnsi="Times New Roman"/>
                <w:i/>
                <w:iCs/>
                <w:color w:val="000000"/>
                <w:sz w:val="20"/>
                <w:szCs w:val="20"/>
                <w:lang w:eastAsia="sk-SK"/>
              </w:rPr>
              <w:t>- vplyv na verejné zdravotné poistenie</w:t>
            </w:r>
          </w:p>
        </w:tc>
        <w:tc>
          <w:tcPr>
            <w:tcW w:w="1683" w:type="dxa"/>
            <w:tcBorders>
              <w:top w:val="nil"/>
              <w:left w:val="nil"/>
              <w:bottom w:val="single" w:sz="4" w:space="0" w:color="auto"/>
              <w:right w:val="single" w:sz="4" w:space="0" w:color="auto"/>
            </w:tcBorders>
            <w:shd w:val="clear" w:color="auto" w:fill="auto"/>
            <w:noWrap/>
            <w:vAlign w:val="center"/>
            <w:hideMark/>
          </w:tcPr>
          <w:p w14:paraId="6B21AC10" w14:textId="77777777" w:rsidR="00043791" w:rsidRPr="00020C88" w:rsidRDefault="00043791" w:rsidP="00043791">
            <w:pPr>
              <w:spacing w:after="0" w:line="240" w:lineRule="auto"/>
              <w:jc w:val="right"/>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417" w:type="dxa"/>
            <w:tcBorders>
              <w:top w:val="nil"/>
              <w:left w:val="nil"/>
              <w:bottom w:val="single" w:sz="4" w:space="0" w:color="auto"/>
              <w:right w:val="single" w:sz="4" w:space="0" w:color="auto"/>
            </w:tcBorders>
            <w:shd w:val="clear" w:color="auto" w:fill="auto"/>
            <w:noWrap/>
            <w:vAlign w:val="center"/>
          </w:tcPr>
          <w:p w14:paraId="05D2D0A3" w14:textId="2DDF0BB5" w:rsidR="00043791" w:rsidRPr="00020C88" w:rsidRDefault="00043791" w:rsidP="00043791">
            <w:pPr>
              <w:spacing w:after="0" w:line="240" w:lineRule="auto"/>
              <w:jc w:val="right"/>
              <w:rPr>
                <w:rFonts w:ascii="Times New Roman" w:hAnsi="Times New Roman"/>
                <w:b/>
                <w:bCs/>
                <w:color w:val="000000"/>
                <w:sz w:val="20"/>
                <w:szCs w:val="20"/>
                <w:lang w:eastAsia="sk-SK"/>
              </w:rPr>
            </w:pPr>
            <w:r w:rsidRPr="00020C88">
              <w:rPr>
                <w:rFonts w:ascii="Times New Roman" w:hAnsi="Times New Roman"/>
                <w:color w:val="000000"/>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center"/>
          </w:tcPr>
          <w:p w14:paraId="039AA335" w14:textId="60D0F299" w:rsidR="00043791" w:rsidRPr="00020C88" w:rsidRDefault="00043791" w:rsidP="00043791">
            <w:pPr>
              <w:spacing w:after="0" w:line="240" w:lineRule="auto"/>
              <w:jc w:val="right"/>
              <w:rPr>
                <w:rFonts w:ascii="Times New Roman" w:hAnsi="Times New Roman"/>
                <w:b/>
                <w:bCs/>
                <w:color w:val="000000"/>
                <w:sz w:val="20"/>
                <w:szCs w:val="20"/>
                <w:lang w:eastAsia="sk-SK"/>
              </w:rPr>
            </w:pPr>
            <w:r w:rsidRPr="00020C88">
              <w:rPr>
                <w:rFonts w:ascii="Times New Roman" w:hAnsi="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tcPr>
          <w:p w14:paraId="5E73DF40" w14:textId="4AF7BB3C" w:rsidR="00043791" w:rsidRPr="00020C88" w:rsidRDefault="00043791" w:rsidP="00043791">
            <w:pPr>
              <w:spacing w:after="0" w:line="240" w:lineRule="auto"/>
              <w:jc w:val="right"/>
              <w:rPr>
                <w:rFonts w:ascii="Times New Roman" w:hAnsi="Times New Roman"/>
                <w:b/>
                <w:bCs/>
                <w:color w:val="000000"/>
                <w:sz w:val="20"/>
                <w:szCs w:val="20"/>
                <w:lang w:eastAsia="sk-SK"/>
              </w:rPr>
            </w:pPr>
            <w:r w:rsidRPr="00020C88">
              <w:rPr>
                <w:rFonts w:ascii="Times New Roman" w:hAnsi="Times New Roman"/>
                <w:color w:val="000000"/>
                <w:sz w:val="20"/>
                <w:szCs w:val="20"/>
                <w:lang w:eastAsia="sk-SK"/>
              </w:rPr>
              <w:t>0</w:t>
            </w:r>
          </w:p>
        </w:tc>
      </w:tr>
      <w:tr w:rsidR="00103E05" w:rsidRPr="00020C88" w14:paraId="72A38800" w14:textId="77777777" w:rsidTr="00043791">
        <w:trPr>
          <w:trHeight w:val="283"/>
        </w:trPr>
        <w:tc>
          <w:tcPr>
            <w:tcW w:w="4130" w:type="dxa"/>
            <w:tcBorders>
              <w:top w:val="nil"/>
              <w:left w:val="single" w:sz="4" w:space="0" w:color="auto"/>
              <w:bottom w:val="single" w:sz="4" w:space="0" w:color="auto"/>
              <w:right w:val="single" w:sz="4" w:space="0" w:color="auto"/>
            </w:tcBorders>
            <w:shd w:val="clear" w:color="000000" w:fill="BFBFBF"/>
            <w:noWrap/>
            <w:vAlign w:val="center"/>
            <w:hideMark/>
          </w:tcPr>
          <w:p w14:paraId="5E77928F" w14:textId="77777777" w:rsidR="00103E05" w:rsidRPr="00020C88" w:rsidRDefault="00103E05" w:rsidP="00103E05">
            <w:pPr>
              <w:spacing w:after="0" w:line="240" w:lineRule="auto"/>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Iné ako rozpočtové zdroje</w:t>
            </w:r>
          </w:p>
        </w:tc>
        <w:tc>
          <w:tcPr>
            <w:tcW w:w="1683" w:type="dxa"/>
            <w:tcBorders>
              <w:top w:val="nil"/>
              <w:left w:val="nil"/>
              <w:bottom w:val="single" w:sz="4" w:space="0" w:color="auto"/>
              <w:right w:val="single" w:sz="4" w:space="0" w:color="auto"/>
            </w:tcBorders>
            <w:shd w:val="clear" w:color="000000" w:fill="BFBFBF"/>
            <w:noWrap/>
            <w:vAlign w:val="center"/>
            <w:hideMark/>
          </w:tcPr>
          <w:p w14:paraId="2C3E57C9"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417" w:type="dxa"/>
            <w:tcBorders>
              <w:top w:val="nil"/>
              <w:left w:val="nil"/>
              <w:bottom w:val="single" w:sz="4" w:space="0" w:color="auto"/>
              <w:right w:val="single" w:sz="4" w:space="0" w:color="auto"/>
            </w:tcBorders>
            <w:shd w:val="clear" w:color="000000" w:fill="BFBFBF"/>
            <w:noWrap/>
            <w:vAlign w:val="center"/>
            <w:hideMark/>
          </w:tcPr>
          <w:p w14:paraId="6EBA79B5"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418" w:type="dxa"/>
            <w:tcBorders>
              <w:top w:val="nil"/>
              <w:left w:val="nil"/>
              <w:bottom w:val="single" w:sz="4" w:space="0" w:color="auto"/>
              <w:right w:val="single" w:sz="4" w:space="0" w:color="auto"/>
            </w:tcBorders>
            <w:shd w:val="clear" w:color="000000" w:fill="BFBFBF"/>
            <w:noWrap/>
            <w:vAlign w:val="center"/>
            <w:hideMark/>
          </w:tcPr>
          <w:p w14:paraId="02DBFDBC"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701" w:type="dxa"/>
            <w:tcBorders>
              <w:top w:val="nil"/>
              <w:left w:val="nil"/>
              <w:bottom w:val="single" w:sz="4" w:space="0" w:color="auto"/>
              <w:right w:val="single" w:sz="4" w:space="0" w:color="auto"/>
            </w:tcBorders>
            <w:shd w:val="clear" w:color="000000" w:fill="BFBFBF"/>
            <w:noWrap/>
            <w:vAlign w:val="center"/>
            <w:hideMark/>
          </w:tcPr>
          <w:p w14:paraId="4CA1B4D7"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r>
      <w:tr w:rsidR="00103E05" w:rsidRPr="00020C88" w14:paraId="0AC4FD1F" w14:textId="77777777" w:rsidTr="00043791">
        <w:trPr>
          <w:trHeight w:val="283"/>
        </w:trPr>
        <w:tc>
          <w:tcPr>
            <w:tcW w:w="4130" w:type="dxa"/>
            <w:tcBorders>
              <w:top w:val="nil"/>
              <w:left w:val="single" w:sz="4" w:space="0" w:color="auto"/>
              <w:bottom w:val="single" w:sz="4" w:space="0" w:color="auto"/>
              <w:right w:val="single" w:sz="4" w:space="0" w:color="auto"/>
            </w:tcBorders>
            <w:shd w:val="clear" w:color="000000" w:fill="A6A6A6"/>
            <w:noWrap/>
            <w:vAlign w:val="center"/>
            <w:hideMark/>
          </w:tcPr>
          <w:p w14:paraId="06A56E6D" w14:textId="77777777" w:rsidR="00103E05" w:rsidRPr="00020C88" w:rsidRDefault="00103E05" w:rsidP="00103E05">
            <w:pPr>
              <w:spacing w:after="0" w:line="240" w:lineRule="auto"/>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Rozpočtovo nekrytý vplyv / úspora</w:t>
            </w:r>
          </w:p>
        </w:tc>
        <w:tc>
          <w:tcPr>
            <w:tcW w:w="1683" w:type="dxa"/>
            <w:tcBorders>
              <w:top w:val="nil"/>
              <w:left w:val="nil"/>
              <w:bottom w:val="single" w:sz="4" w:space="0" w:color="auto"/>
              <w:right w:val="single" w:sz="4" w:space="0" w:color="auto"/>
            </w:tcBorders>
            <w:shd w:val="clear" w:color="000000" w:fill="BFBFBF"/>
            <w:noWrap/>
            <w:vAlign w:val="center"/>
            <w:hideMark/>
          </w:tcPr>
          <w:p w14:paraId="1389F9FB"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0</w:t>
            </w:r>
          </w:p>
        </w:tc>
        <w:tc>
          <w:tcPr>
            <w:tcW w:w="1417" w:type="dxa"/>
            <w:tcBorders>
              <w:top w:val="nil"/>
              <w:left w:val="nil"/>
              <w:bottom w:val="single" w:sz="4" w:space="0" w:color="auto"/>
              <w:right w:val="single" w:sz="4" w:space="0" w:color="auto"/>
            </w:tcBorders>
            <w:shd w:val="clear" w:color="000000" w:fill="C0C0C0"/>
            <w:noWrap/>
            <w:vAlign w:val="center"/>
            <w:hideMark/>
          </w:tcPr>
          <w:p w14:paraId="2F47D65F"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17 288 232</w:t>
            </w:r>
          </w:p>
        </w:tc>
        <w:tc>
          <w:tcPr>
            <w:tcW w:w="1418" w:type="dxa"/>
            <w:tcBorders>
              <w:top w:val="nil"/>
              <w:left w:val="nil"/>
              <w:bottom w:val="single" w:sz="4" w:space="0" w:color="auto"/>
              <w:right w:val="single" w:sz="4" w:space="0" w:color="auto"/>
            </w:tcBorders>
            <w:shd w:val="clear" w:color="000000" w:fill="C0C0C0"/>
            <w:noWrap/>
            <w:vAlign w:val="center"/>
            <w:hideMark/>
          </w:tcPr>
          <w:p w14:paraId="71F7B939"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24 797 028</w:t>
            </w:r>
          </w:p>
        </w:tc>
        <w:tc>
          <w:tcPr>
            <w:tcW w:w="1701" w:type="dxa"/>
            <w:tcBorders>
              <w:top w:val="nil"/>
              <w:left w:val="nil"/>
              <w:bottom w:val="single" w:sz="4" w:space="0" w:color="auto"/>
              <w:right w:val="single" w:sz="4" w:space="0" w:color="auto"/>
            </w:tcBorders>
            <w:shd w:val="clear" w:color="000000" w:fill="C0C0C0"/>
            <w:noWrap/>
            <w:vAlign w:val="center"/>
            <w:hideMark/>
          </w:tcPr>
          <w:p w14:paraId="4789C12F" w14:textId="77777777" w:rsidR="00103E05" w:rsidRPr="00020C88" w:rsidRDefault="00103E05" w:rsidP="00103E05">
            <w:pPr>
              <w:spacing w:after="0" w:line="240" w:lineRule="auto"/>
              <w:jc w:val="right"/>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27 451 468</w:t>
            </w:r>
          </w:p>
        </w:tc>
      </w:tr>
    </w:tbl>
    <w:p w14:paraId="21ACF7E7" w14:textId="77777777" w:rsidR="00103E05" w:rsidRPr="00020C88" w:rsidRDefault="00103E05" w:rsidP="00CB750F">
      <w:pPr>
        <w:spacing w:after="0" w:line="240" w:lineRule="auto"/>
        <w:jc w:val="both"/>
        <w:rPr>
          <w:rFonts w:ascii="Times New Roman" w:hAnsi="Times New Roman"/>
          <w:sz w:val="20"/>
          <w:szCs w:val="20"/>
          <w:lang w:eastAsia="sk-SK"/>
        </w:rPr>
      </w:pPr>
    </w:p>
    <w:p w14:paraId="037E1F6A" w14:textId="379F1CF8" w:rsidR="009A17EA" w:rsidRPr="00020C88" w:rsidRDefault="007273C7"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 xml:space="preserve">                                                                                                                                   </w:t>
      </w:r>
      <w:r w:rsidR="009A17EA" w:rsidRPr="00020C88">
        <w:rPr>
          <w:rFonts w:ascii="Times New Roman" w:hAnsi="Times New Roman"/>
          <w:b/>
          <w:bCs/>
          <w:sz w:val="20"/>
          <w:szCs w:val="20"/>
          <w:lang w:eastAsia="sk-SK"/>
        </w:rPr>
        <w:t xml:space="preserve">                            </w:t>
      </w:r>
      <w:r w:rsidR="00866FE4" w:rsidRPr="00020C88">
        <w:rPr>
          <w:rFonts w:ascii="Times New Roman" w:hAnsi="Times New Roman"/>
          <w:b/>
          <w:bCs/>
          <w:sz w:val="20"/>
          <w:szCs w:val="20"/>
          <w:lang w:eastAsia="sk-SK"/>
        </w:rPr>
        <w:t xml:space="preserve"> </w:t>
      </w:r>
    </w:p>
    <w:p w14:paraId="1887DAA2" w14:textId="77777777" w:rsidR="007D5748" w:rsidRPr="00020C88" w:rsidRDefault="007D5748"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2.1.1. Financovanie návrhu - Návrh na riešenie úbytku príjmov alebo zvýšených výdavkov podľa § 33 ods. 1 zákona č. 523/2004 Z. z. o rozpočtových pravidlách verejnej správy:</w:t>
      </w:r>
    </w:p>
    <w:p w14:paraId="2EDB4A60" w14:textId="77777777" w:rsidR="007D5748" w:rsidRPr="00020C88" w:rsidRDefault="007D5748" w:rsidP="00CB750F">
      <w:pPr>
        <w:spacing w:after="0" w:line="240" w:lineRule="auto"/>
        <w:jc w:val="both"/>
        <w:rPr>
          <w:rFonts w:ascii="Times New Roman" w:hAnsi="Times New Roman"/>
          <w:b/>
          <w:bCs/>
          <w:sz w:val="20"/>
          <w:szCs w:val="20"/>
          <w:lang w:eastAsia="sk-SK"/>
        </w:rPr>
      </w:pPr>
    </w:p>
    <w:p w14:paraId="2DC11054" w14:textId="77777777" w:rsidR="00656F4B" w:rsidRPr="00020C88" w:rsidRDefault="00656F4B" w:rsidP="00CB750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Sociálna poisťovňa</w:t>
      </w:r>
    </w:p>
    <w:p w14:paraId="629C3CFB" w14:textId="77777777" w:rsidR="00656F4B" w:rsidRPr="00020C88" w:rsidRDefault="00656F4B" w:rsidP="00CB750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0"/>
          <w:szCs w:val="20"/>
          <w:lang w:eastAsia="sk-SK"/>
        </w:rPr>
      </w:pPr>
    </w:p>
    <w:p w14:paraId="16639A64" w14:textId="50CA6E09" w:rsidR="00656F4B" w:rsidRPr="00020C88" w:rsidRDefault="009028C0" w:rsidP="00CB750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0"/>
          <w:szCs w:val="20"/>
          <w:lang w:eastAsia="sk-SK"/>
        </w:rPr>
      </w:pPr>
      <w:r w:rsidRPr="00020C88">
        <w:rPr>
          <w:rFonts w:ascii="Times New Roman" w:hAnsi="Times New Roman"/>
          <w:b/>
          <w:sz w:val="20"/>
          <w:szCs w:val="20"/>
        </w:rPr>
        <w:t xml:space="preserve">V roku 2019 budú tieto výdavky finančne kryté z príjmov Sociálnej poisťovne. V nasledujúcich rokoch budú zvýšené výdavky </w:t>
      </w:r>
      <w:r w:rsidR="003837F0" w:rsidRPr="00020C88">
        <w:rPr>
          <w:rFonts w:ascii="Times New Roman" w:hAnsi="Times New Roman"/>
          <w:b/>
          <w:sz w:val="20"/>
          <w:szCs w:val="20"/>
        </w:rPr>
        <w:t xml:space="preserve">zapracované </w:t>
      </w:r>
      <w:r w:rsidRPr="00020C88">
        <w:rPr>
          <w:rFonts w:ascii="Times New Roman" w:hAnsi="Times New Roman"/>
          <w:b/>
          <w:sz w:val="20"/>
          <w:szCs w:val="20"/>
        </w:rPr>
        <w:t>pri tvorbe rozpočtu Sociálnej poisťovne na rok 2020 a rozpočtového výhľadu na roky 2021 a 2022.</w:t>
      </w:r>
    </w:p>
    <w:p w14:paraId="06269A77" w14:textId="77777777" w:rsidR="00656F4B" w:rsidRPr="00020C88" w:rsidRDefault="00656F4B" w:rsidP="00CB750F">
      <w:pPr>
        <w:spacing w:after="0" w:line="240" w:lineRule="auto"/>
        <w:jc w:val="both"/>
        <w:rPr>
          <w:rFonts w:ascii="Times New Roman" w:hAnsi="Times New Roman"/>
          <w:b/>
          <w:bCs/>
          <w:sz w:val="20"/>
          <w:szCs w:val="20"/>
          <w:lang w:eastAsia="sk-SK"/>
        </w:rPr>
      </w:pPr>
    </w:p>
    <w:p w14:paraId="12007A2F" w14:textId="77777777" w:rsidR="00656F4B" w:rsidRPr="00020C88" w:rsidRDefault="00656F4B" w:rsidP="00CB750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Verejné zdravotné poistenie</w:t>
      </w:r>
    </w:p>
    <w:p w14:paraId="375C2455" w14:textId="77777777" w:rsidR="00656F4B" w:rsidRPr="00020C88" w:rsidRDefault="00656F4B" w:rsidP="00CB750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0"/>
          <w:szCs w:val="20"/>
          <w:lang w:eastAsia="sk-SK"/>
        </w:rPr>
      </w:pPr>
    </w:p>
    <w:p w14:paraId="7ED16BE2" w14:textId="3CB3B96E" w:rsidR="002D7EF7" w:rsidRPr="00020C88" w:rsidRDefault="002D7EF7" w:rsidP="00CB750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V nasledujúcich rokoch bude potrebné zohľadniť zvýšené výdavky pri tvorbe rozpočtu</w:t>
      </w:r>
      <w:r w:rsidR="00062570" w:rsidRPr="00020C88">
        <w:rPr>
          <w:rFonts w:ascii="Times New Roman" w:hAnsi="Times New Roman"/>
          <w:b/>
          <w:bCs/>
          <w:sz w:val="20"/>
          <w:szCs w:val="20"/>
          <w:lang w:eastAsia="sk-SK"/>
        </w:rPr>
        <w:t xml:space="preserve"> verejného zdravotného poistenia</w:t>
      </w:r>
      <w:r w:rsidRPr="00020C88">
        <w:rPr>
          <w:rFonts w:ascii="Times New Roman" w:hAnsi="Times New Roman"/>
          <w:b/>
          <w:bCs/>
          <w:sz w:val="20"/>
          <w:szCs w:val="20"/>
          <w:lang w:eastAsia="sk-SK"/>
        </w:rPr>
        <w:t xml:space="preserve"> na rok 2020 a rozpočtového výhľadu na roky 2021 a 2022.</w:t>
      </w:r>
    </w:p>
    <w:p w14:paraId="4324A63A" w14:textId="77777777" w:rsidR="00656F4B" w:rsidRPr="00020C88" w:rsidRDefault="00656F4B" w:rsidP="00CB750F">
      <w:pPr>
        <w:spacing w:after="0" w:line="240" w:lineRule="auto"/>
        <w:jc w:val="both"/>
        <w:rPr>
          <w:rFonts w:ascii="Times New Roman" w:hAnsi="Times New Roman"/>
          <w:b/>
          <w:bCs/>
          <w:sz w:val="20"/>
          <w:szCs w:val="20"/>
          <w:lang w:eastAsia="sk-SK"/>
        </w:rPr>
      </w:pPr>
    </w:p>
    <w:p w14:paraId="7009D2EA" w14:textId="77777777" w:rsidR="007D5748" w:rsidRPr="00020C88" w:rsidRDefault="007D5748"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2.2. Popis a charakteristika návrhu</w:t>
      </w:r>
    </w:p>
    <w:p w14:paraId="43ED3EAA" w14:textId="77777777" w:rsidR="002439B0" w:rsidRPr="00020C88" w:rsidRDefault="00176F5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2.2.1. Popis návrhu:</w:t>
      </w:r>
    </w:p>
    <w:p w14:paraId="7F89C9B5" w14:textId="77777777" w:rsidR="0059299E" w:rsidRPr="00020C88" w:rsidRDefault="0059299E" w:rsidP="00CB750F">
      <w:pPr>
        <w:spacing w:after="0" w:line="240" w:lineRule="auto"/>
        <w:jc w:val="both"/>
        <w:rPr>
          <w:rFonts w:ascii="Times New Roman" w:hAnsi="Times New Roman"/>
          <w:color w:val="000000"/>
          <w:sz w:val="20"/>
          <w:szCs w:val="20"/>
        </w:rPr>
      </w:pPr>
    </w:p>
    <w:p w14:paraId="2A2272A6" w14:textId="77777777" w:rsidR="008408ED" w:rsidRPr="00020C88" w:rsidRDefault="003E4564" w:rsidP="008408ED">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 xml:space="preserve">Čl. I - </w:t>
      </w:r>
      <w:r w:rsidR="008408ED" w:rsidRPr="00020C88">
        <w:rPr>
          <w:rFonts w:ascii="Times New Roman" w:hAnsi="Times New Roman"/>
          <w:b/>
          <w:bCs/>
          <w:sz w:val="20"/>
          <w:szCs w:val="20"/>
          <w:lang w:eastAsia="sk-SK"/>
        </w:rPr>
        <w:t xml:space="preserve">zákon č. 578/2004 Z. z. </w:t>
      </w:r>
    </w:p>
    <w:p w14:paraId="0695141D" w14:textId="77777777" w:rsidR="008408ED" w:rsidRPr="00020C88" w:rsidRDefault="008408ED" w:rsidP="008408ED">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Dočasná odborná stáž</w:t>
      </w:r>
    </w:p>
    <w:p w14:paraId="20314CCB" w14:textId="77777777" w:rsidR="008408ED" w:rsidRPr="00020C88" w:rsidRDefault="008408ED" w:rsidP="008408ED">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Cieľom navrhovanej právnej úpravy je umožniť vykonávanie dočasnej odbornej stáže občanom z tretích štátov po uznaní dokladu o vzdelaní, ktorí nemajú uznanú odbornú kvalifikáciu vykonávanú u poskytovateľov ústavnej zdravotnej starostlivosti. Predložený návrh vychádza z podnetov poskytovateľov ústavnej zdravotnej starostlivosti najmä z regiónov s nedostatkom zdravotníckych pracovníkov. Zavedenie nového inštitútu „dočasnej odbornej stáže“ bude regulované Ministerstvom zdravotníctva Slovenskej republiky, ktoré bude vydávať poskytovateľom ústavnej zdravotnej starostlivosti súhlas na výkon stáže po splnení zákonných podmienok. Absolvovaním stáže bude stážistom umožnené oboznámenie sa s pracovnými podmienkami a materiálno-technickým vybavením zdravotníckych zariadení, ako aj s celým systémom poskytovania zdravotnej starostlivosti</w:t>
      </w:r>
    </w:p>
    <w:p w14:paraId="0FBE0DC9" w14:textId="77777777" w:rsidR="008408ED" w:rsidRPr="00020C88" w:rsidRDefault="008408ED" w:rsidP="008408ED">
      <w:pPr>
        <w:spacing w:after="0" w:line="240" w:lineRule="auto"/>
        <w:jc w:val="both"/>
        <w:rPr>
          <w:rFonts w:ascii="Times New Roman" w:hAnsi="Times New Roman"/>
          <w:bCs/>
          <w:sz w:val="20"/>
          <w:szCs w:val="20"/>
          <w:lang w:eastAsia="sk-SK"/>
        </w:rPr>
      </w:pPr>
    </w:p>
    <w:p w14:paraId="1E5BBA53" w14:textId="1FF2C5D1" w:rsidR="008408ED" w:rsidRPr="00020C88" w:rsidRDefault="008408ED" w:rsidP="008408ED">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Nové delenie nemocníc</w:t>
      </w:r>
      <w:r w:rsidR="00F910E6" w:rsidRPr="00020C88">
        <w:rPr>
          <w:rFonts w:ascii="Times New Roman" w:hAnsi="Times New Roman"/>
          <w:b/>
          <w:bCs/>
          <w:sz w:val="20"/>
          <w:szCs w:val="20"/>
          <w:lang w:eastAsia="sk-SK"/>
        </w:rPr>
        <w:t xml:space="preserve"> – tzv. stratifikácia</w:t>
      </w:r>
    </w:p>
    <w:p w14:paraId="3F9B9BB9" w14:textId="59F84C29" w:rsidR="00F910E6" w:rsidRPr="00020C88" w:rsidRDefault="00F910E6" w:rsidP="008408ED">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Cieľom navrhovanej právnej úpravy je primárne zvýšiť bezpečnosť pacienta a vytvoriť predpoklady na zvýšenie kvality poskytovanej ústavnej zdravotnej starostlivosti. Kvalita a efektívne využitie zdrojov majú byť tiež podporené vytvorením úrovní nemocníc (lokálna, regionálna, národná, špecializované a kompetenčné centrá) so zadefinovanými rozsahmi poskytovanej zdravotnej starostlivosti a minimálnymi počtami zdravotných výkonov ako kvalitatívnym indikátorom poskytovanej starostlivosti.</w:t>
      </w:r>
    </w:p>
    <w:p w14:paraId="2778FAF5" w14:textId="77777777" w:rsidR="008408ED" w:rsidRPr="00020C88" w:rsidRDefault="008408ED" w:rsidP="008408ED">
      <w:pPr>
        <w:spacing w:after="0" w:line="240" w:lineRule="auto"/>
        <w:jc w:val="both"/>
        <w:rPr>
          <w:rFonts w:ascii="Times New Roman" w:hAnsi="Times New Roman"/>
          <w:bCs/>
          <w:sz w:val="20"/>
          <w:szCs w:val="20"/>
          <w:lang w:eastAsia="sk-SK"/>
        </w:rPr>
      </w:pPr>
    </w:p>
    <w:p w14:paraId="4007CCEE" w14:textId="77777777" w:rsidR="008408ED" w:rsidRPr="00020C88" w:rsidRDefault="008408ED" w:rsidP="008408ED">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Ambulancia anestéziológie a intenzívnej medicíny</w:t>
      </w:r>
    </w:p>
    <w:p w14:paraId="064DAAF2" w14:textId="77777777" w:rsidR="008408ED" w:rsidRPr="00020C88" w:rsidRDefault="008408ED" w:rsidP="008408ED">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Podľa požiadaviek aplikačnej praxe poskytovanie zdravotnej starostlivosti v špecializačnom odbore anestéziológia a intenzívna medicína si vyžaduje ambulanciu anestéziológie a intenzívnej medicíny aj v nemocniciach, ktoré poskytujú zdravotnú starostlivosť v chirurgických odboroch a nemajú oddelenie anestéziológie a intenzívnej medicíny, ale napr. len jednotky intenzívnej starostlivosti.</w:t>
      </w:r>
    </w:p>
    <w:p w14:paraId="0BAE6BCA" w14:textId="33F4AA94" w:rsidR="003E4564" w:rsidRPr="00020C88" w:rsidRDefault="003E4564" w:rsidP="008408ED">
      <w:pPr>
        <w:spacing w:after="0" w:line="240" w:lineRule="auto"/>
        <w:jc w:val="both"/>
        <w:rPr>
          <w:rFonts w:ascii="Times New Roman" w:hAnsi="Times New Roman"/>
          <w:bCs/>
          <w:sz w:val="20"/>
          <w:szCs w:val="20"/>
          <w:lang w:eastAsia="sk-SK"/>
        </w:rPr>
      </w:pPr>
    </w:p>
    <w:p w14:paraId="3D69EE1D" w14:textId="77777777" w:rsidR="003E4564" w:rsidRPr="00020C88" w:rsidRDefault="003E4564" w:rsidP="00CB750F">
      <w:pPr>
        <w:spacing w:after="0" w:line="240" w:lineRule="auto"/>
        <w:jc w:val="both"/>
        <w:rPr>
          <w:rFonts w:ascii="Times New Roman" w:hAnsi="Times New Roman"/>
          <w:bCs/>
          <w:sz w:val="20"/>
          <w:szCs w:val="20"/>
          <w:lang w:eastAsia="sk-SK"/>
        </w:rPr>
      </w:pPr>
    </w:p>
    <w:p w14:paraId="23E09E30" w14:textId="77777777" w:rsidR="003E4564" w:rsidRPr="00020C88" w:rsidRDefault="003E4564"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Čl. II – Zákon č. 147/2001 Z. z.</w:t>
      </w:r>
    </w:p>
    <w:p w14:paraId="7B214E22" w14:textId="77777777" w:rsidR="003E4564" w:rsidRPr="00020C88" w:rsidRDefault="003E4564"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Požiadavky na prezentáciu, reklamu, propagáciu a predaj počiatočnej dojčenskej výživy a následnej dojčenskej výživy</w:t>
      </w:r>
    </w:p>
    <w:p w14:paraId="47BF5F1E"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Cieľom navrhovanej právnej úpravy je zaviesť povinnosť poskytovateľovi, ktorý je držiteľom povolenia alebo držiteľom licencie na výkon samostatnej zdravotníckej praxe je povinný dodržiavať požiadavky na prezentáciu, reklamu, propagáciu a predaj počiatočnej dojčenskej výživy a následnej dojčenskej výživy podľa osobitného predpisu.</w:t>
      </w:r>
    </w:p>
    <w:p w14:paraId="13B0E9FA" w14:textId="77777777" w:rsidR="003E4564" w:rsidRPr="00020C88" w:rsidRDefault="003E4564" w:rsidP="00CB750F">
      <w:pPr>
        <w:spacing w:after="0" w:line="240" w:lineRule="auto"/>
        <w:jc w:val="both"/>
        <w:rPr>
          <w:rFonts w:ascii="Times New Roman" w:hAnsi="Times New Roman"/>
          <w:bCs/>
          <w:sz w:val="20"/>
          <w:szCs w:val="20"/>
          <w:lang w:eastAsia="sk-SK"/>
        </w:rPr>
      </w:pPr>
    </w:p>
    <w:p w14:paraId="050CDAC4" w14:textId="77777777" w:rsidR="003E4564" w:rsidRPr="00020C88" w:rsidRDefault="003E4564"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Čl. III – zákon č. 461//2003 Z. z.</w:t>
      </w:r>
    </w:p>
    <w:p w14:paraId="5931347E" w14:textId="77777777" w:rsidR="003E4564" w:rsidRPr="00020C88" w:rsidRDefault="003E4564"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Poskytovanie domácej starostlivosti a predĺženie podporného obdobia na čerpanie dávky ošetrovné.</w:t>
      </w:r>
    </w:p>
    <w:p w14:paraId="4FB7B4D1"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Cieľom domácej starostlivosti je pokryť životnú situáciu osoby zabezpečujúcej starostlivosť osobe, ktorá</w:t>
      </w:r>
    </w:p>
    <w:p w14:paraId="55A0971B" w14:textId="48D5BED9"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lastRenderedPageBreak/>
        <w:t>1) po uko</w:t>
      </w:r>
      <w:r w:rsidR="00043791">
        <w:rPr>
          <w:rFonts w:ascii="Times New Roman" w:hAnsi="Times New Roman"/>
          <w:bCs/>
          <w:sz w:val="20"/>
          <w:szCs w:val="20"/>
          <w:lang w:eastAsia="sk-SK"/>
        </w:rPr>
        <w:t>nčení hospitalizácie (najmenej 5</w:t>
      </w:r>
      <w:r w:rsidRPr="00020C88">
        <w:rPr>
          <w:rFonts w:ascii="Times New Roman" w:hAnsi="Times New Roman"/>
          <w:bCs/>
          <w:sz w:val="20"/>
          <w:szCs w:val="20"/>
          <w:lang w:eastAsia="sk-SK"/>
        </w:rPr>
        <w:t xml:space="preserve"> dní) pre závažnú poruchu zdravia potrebuje poskytovanie domácej starostlivosti (najmenej 30 dní) na základe potvrdenia príslušného ošetrujúceho lekára; ošetrovné sa bude vyplácať najviac 90 dní alebo</w:t>
      </w:r>
    </w:p>
    <w:p w14:paraId="0CD1D734"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2) má potvrdené nevyliečiteľné ochorenie a bola mu indikovaná paliatívna starostlivosť.</w:t>
      </w:r>
    </w:p>
    <w:p w14:paraId="6939AB0C"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Zároveň sa navrhuje predĺžiť obdobie poskytovania tzv. krátkodobého ošetrovného, a to z 10 na 14 dní, čo zohľadňuje súčasné potreby vyplývajúce z aplikačnej praxe.</w:t>
      </w:r>
    </w:p>
    <w:p w14:paraId="6653FBDF"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Prínosom navrhovanej novely je:</w:t>
      </w:r>
    </w:p>
    <w:p w14:paraId="3EF29A4A"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 rozšírenie okruhu osôb, ktorým môže vzniknúť nárok na ošetrovné napr. o vnuka, vnučku alebo súrodenca (žiada SP),</w:t>
      </w:r>
    </w:p>
    <w:p w14:paraId="7C15E185"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 podporná doba poskytovania ošetrovného 90 dní s možnosťou prestriedania sa poistencov poskytujúcich domácu starostlivosť,</w:t>
      </w:r>
    </w:p>
    <w:p w14:paraId="6E79A6F2"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 pomoc dlhodobo chorým pacientom, ktorí sú v terminálnom štádiu ochorenia dožiť v domácom prostredí,</w:t>
      </w:r>
    </w:p>
    <w:p w14:paraId="4C068707"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riešenie situácie, keď je človek zo sociálnych dôvodov držaný v zdravotníckych zariadeniach, pretože jeho rodinný príslušní v prípade prevzatia jeho starostlivosti neboli finančne zabezpečení a teda uvoľnenie kapacity v nemocnici.</w:t>
      </w:r>
    </w:p>
    <w:p w14:paraId="3176EDC9"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 predĺženie podporného obdobia na poskytovanie dávky ošetrovné zo súčasných 10 dní na 14 dní.</w:t>
      </w:r>
    </w:p>
    <w:p w14:paraId="3A8D147B" w14:textId="77777777" w:rsidR="003E4564" w:rsidRPr="00020C88" w:rsidRDefault="003E4564" w:rsidP="00CB750F">
      <w:pPr>
        <w:spacing w:after="0" w:line="240" w:lineRule="auto"/>
        <w:jc w:val="both"/>
        <w:rPr>
          <w:rFonts w:ascii="Times New Roman" w:hAnsi="Times New Roman"/>
          <w:bCs/>
          <w:sz w:val="20"/>
          <w:szCs w:val="20"/>
          <w:lang w:eastAsia="sk-SK"/>
        </w:rPr>
      </w:pPr>
    </w:p>
    <w:p w14:paraId="2C532CA6" w14:textId="77777777" w:rsidR="003E4564" w:rsidRPr="00020C88" w:rsidRDefault="003E4564" w:rsidP="00CB750F">
      <w:pPr>
        <w:spacing w:after="0" w:line="240" w:lineRule="auto"/>
        <w:ind w:firstLine="708"/>
        <w:jc w:val="both"/>
        <w:rPr>
          <w:rFonts w:ascii="Times New Roman" w:hAnsi="Times New Roman"/>
          <w:bCs/>
          <w:sz w:val="20"/>
          <w:szCs w:val="20"/>
        </w:rPr>
      </w:pPr>
      <w:r w:rsidRPr="00020C88">
        <w:rPr>
          <w:rFonts w:ascii="Times New Roman" w:hAnsi="Times New Roman"/>
          <w:bCs/>
          <w:sz w:val="20"/>
          <w:szCs w:val="20"/>
        </w:rPr>
        <w: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w:t>
      </w:r>
    </w:p>
    <w:p w14:paraId="19BDD018" w14:textId="77777777" w:rsidR="003E4564" w:rsidRPr="00020C88" w:rsidRDefault="003E4564" w:rsidP="00CB750F">
      <w:pPr>
        <w:spacing w:after="0" w:line="240" w:lineRule="auto"/>
        <w:ind w:firstLine="709"/>
        <w:jc w:val="both"/>
        <w:rPr>
          <w:rFonts w:ascii="Times New Roman" w:eastAsia="Calibri" w:hAnsi="Times New Roman"/>
          <w:sz w:val="20"/>
          <w:szCs w:val="20"/>
        </w:rPr>
      </w:pPr>
    </w:p>
    <w:p w14:paraId="21E4F423" w14:textId="77777777" w:rsidR="003E4564" w:rsidRPr="00020C88" w:rsidRDefault="003E4564" w:rsidP="00CB750F">
      <w:pPr>
        <w:spacing w:after="0" w:line="240" w:lineRule="auto"/>
        <w:ind w:firstLine="708"/>
        <w:jc w:val="both"/>
        <w:rPr>
          <w:rFonts w:ascii="Times New Roman" w:hAnsi="Times New Roman"/>
          <w:color w:val="000000"/>
          <w:sz w:val="20"/>
          <w:szCs w:val="20"/>
        </w:rPr>
      </w:pPr>
      <w:r w:rsidRPr="00020C88">
        <w:rPr>
          <w:rFonts w:ascii="Times New Roman" w:hAnsi="Times New Roman"/>
          <w:color w:val="000000"/>
          <w:sz w:val="20"/>
          <w:szCs w:val="20"/>
        </w:rPr>
        <w:t xml:space="preserve">Cieľom navrhovanej právnej úpravy je:  </w:t>
      </w:r>
    </w:p>
    <w:p w14:paraId="6776A284" w14:textId="77777777" w:rsidR="003E4564" w:rsidRPr="00020C88" w:rsidRDefault="003E4564" w:rsidP="00CB750F">
      <w:pPr>
        <w:spacing w:after="0" w:line="240" w:lineRule="auto"/>
        <w:jc w:val="both"/>
        <w:rPr>
          <w:rFonts w:ascii="Times New Roman" w:hAnsi="Times New Roman"/>
          <w:color w:val="000000"/>
          <w:sz w:val="20"/>
          <w:szCs w:val="20"/>
        </w:rPr>
      </w:pPr>
      <w:r w:rsidRPr="00020C88">
        <w:rPr>
          <w:rFonts w:ascii="Times New Roman" w:hAnsi="Times New Roman"/>
          <w:b/>
          <w:color w:val="000000"/>
          <w:sz w:val="20"/>
          <w:szCs w:val="20"/>
        </w:rPr>
        <w:t>A</w:t>
      </w:r>
      <w:r w:rsidRPr="00020C88">
        <w:rPr>
          <w:rFonts w:ascii="Times New Roman" w:hAnsi="Times New Roman"/>
          <w:b/>
          <w:i/>
          <w:color w:val="000000"/>
          <w:sz w:val="20"/>
          <w:szCs w:val="20"/>
        </w:rPr>
        <w:t>)</w:t>
      </w:r>
      <w:r w:rsidRPr="00020C88">
        <w:rPr>
          <w:rFonts w:ascii="Times New Roman" w:hAnsi="Times New Roman"/>
          <w:color w:val="000000"/>
          <w:sz w:val="20"/>
          <w:szCs w:val="20"/>
        </w:rPr>
        <w:t xml:space="preserve"> </w:t>
      </w:r>
      <w:r w:rsidRPr="00020C88">
        <w:rPr>
          <w:rFonts w:ascii="Times New Roman" w:hAnsi="Times New Roman"/>
          <w:i/>
          <w:color w:val="000000"/>
          <w:sz w:val="20"/>
          <w:szCs w:val="20"/>
        </w:rPr>
        <w:t xml:space="preserve"> </w:t>
      </w:r>
      <w:r w:rsidRPr="00020C88">
        <w:rPr>
          <w:rFonts w:ascii="Times New Roman" w:hAnsi="Times New Roman"/>
          <w:color w:val="000000"/>
          <w:sz w:val="20"/>
          <w:szCs w:val="20"/>
        </w:rPr>
        <w:t>zavedenie ošetrovného pre osoby zabezpečujúce starostlivosť osobe, ktorá</w:t>
      </w:r>
    </w:p>
    <w:p w14:paraId="4D458233" w14:textId="5DF51091" w:rsidR="003E4564" w:rsidRPr="00020C88" w:rsidRDefault="003E4564" w:rsidP="00CB750F">
      <w:pPr>
        <w:numPr>
          <w:ilvl w:val="0"/>
          <w:numId w:val="13"/>
        </w:numPr>
        <w:spacing w:after="0" w:line="240" w:lineRule="auto"/>
        <w:jc w:val="both"/>
        <w:rPr>
          <w:rFonts w:ascii="Times New Roman" w:eastAsia="MS Mincho" w:hAnsi="Times New Roman"/>
          <w:sz w:val="20"/>
          <w:szCs w:val="20"/>
          <w:lang w:eastAsia="ja-JP"/>
        </w:rPr>
      </w:pPr>
      <w:r w:rsidRPr="00020C88">
        <w:rPr>
          <w:rFonts w:ascii="Times New Roman" w:eastAsia="MS Mincho" w:hAnsi="Times New Roman"/>
          <w:sz w:val="20"/>
          <w:szCs w:val="20"/>
          <w:lang w:eastAsia="ja-JP"/>
        </w:rPr>
        <w:t xml:space="preserve">po ukončení </w:t>
      </w:r>
      <w:r w:rsidRPr="00020C88">
        <w:rPr>
          <w:rFonts w:ascii="Times New Roman" w:eastAsia="MS Mincho" w:hAnsi="Times New Roman"/>
          <w:b/>
          <w:sz w:val="20"/>
          <w:szCs w:val="20"/>
          <w:lang w:eastAsia="ja-JP"/>
        </w:rPr>
        <w:t>hospitalizácie</w:t>
      </w:r>
      <w:r w:rsidRPr="00020C88">
        <w:rPr>
          <w:rFonts w:ascii="Times New Roman" w:eastAsia="MS Mincho" w:hAnsi="Times New Roman"/>
          <w:sz w:val="20"/>
          <w:szCs w:val="20"/>
          <w:lang w:eastAsia="ja-JP"/>
        </w:rPr>
        <w:t xml:space="preserve"> (najmenej </w:t>
      </w:r>
      <w:r w:rsidR="004D4C0E" w:rsidRPr="00020C88">
        <w:rPr>
          <w:rFonts w:ascii="Times New Roman" w:eastAsia="MS Mincho" w:hAnsi="Times New Roman"/>
          <w:sz w:val="20"/>
          <w:szCs w:val="20"/>
          <w:lang w:eastAsia="ja-JP"/>
        </w:rPr>
        <w:t>5</w:t>
      </w:r>
      <w:r w:rsidRPr="00020C88">
        <w:rPr>
          <w:rFonts w:ascii="Times New Roman" w:eastAsia="MS Mincho" w:hAnsi="Times New Roman"/>
          <w:b/>
          <w:sz w:val="20"/>
          <w:szCs w:val="20"/>
          <w:lang w:eastAsia="ja-JP"/>
        </w:rPr>
        <w:t xml:space="preserve"> dní</w:t>
      </w:r>
      <w:r w:rsidRPr="00020C88">
        <w:rPr>
          <w:rFonts w:ascii="Times New Roman" w:eastAsia="MS Mincho" w:hAnsi="Times New Roman"/>
          <w:sz w:val="20"/>
          <w:szCs w:val="20"/>
          <w:lang w:eastAsia="ja-JP"/>
        </w:rPr>
        <w:t>) pre závažnú poruchu zdravia potrebuje poskytovanie domácej starostlivosti (</w:t>
      </w:r>
      <w:r w:rsidRPr="00020C88">
        <w:rPr>
          <w:rFonts w:ascii="Times New Roman" w:eastAsia="MS Mincho" w:hAnsi="Times New Roman"/>
          <w:b/>
          <w:sz w:val="20"/>
          <w:szCs w:val="20"/>
          <w:lang w:eastAsia="ja-JP"/>
        </w:rPr>
        <w:t>najmenej 30 dní</w:t>
      </w:r>
      <w:r w:rsidRPr="00020C88">
        <w:rPr>
          <w:rFonts w:ascii="Times New Roman" w:eastAsia="MS Mincho" w:hAnsi="Times New Roman"/>
          <w:sz w:val="20"/>
          <w:szCs w:val="20"/>
          <w:lang w:eastAsia="ja-JP"/>
        </w:rPr>
        <w:t xml:space="preserve">) na základe potvrdenia príslušného ošetrujúceho lekára; ošetrovné sa bude vyplácať najviac </w:t>
      </w:r>
      <w:r w:rsidRPr="00020C88">
        <w:rPr>
          <w:rFonts w:ascii="Times New Roman" w:eastAsia="MS Mincho" w:hAnsi="Times New Roman"/>
          <w:b/>
          <w:sz w:val="20"/>
          <w:szCs w:val="20"/>
          <w:lang w:eastAsia="ja-JP"/>
        </w:rPr>
        <w:t>90 dní</w:t>
      </w:r>
      <w:r w:rsidRPr="00020C88">
        <w:rPr>
          <w:rFonts w:ascii="Times New Roman" w:eastAsia="MS Mincho" w:hAnsi="Times New Roman"/>
          <w:sz w:val="20"/>
          <w:szCs w:val="20"/>
          <w:lang w:eastAsia="ja-JP"/>
        </w:rPr>
        <w:t xml:space="preserve"> alebo</w:t>
      </w:r>
    </w:p>
    <w:p w14:paraId="7EA0B165" w14:textId="77777777" w:rsidR="003E4564" w:rsidRPr="00020C88" w:rsidRDefault="003E4564" w:rsidP="00CB750F">
      <w:pPr>
        <w:numPr>
          <w:ilvl w:val="0"/>
          <w:numId w:val="13"/>
        </w:numPr>
        <w:spacing w:after="0" w:line="240" w:lineRule="auto"/>
        <w:jc w:val="both"/>
        <w:rPr>
          <w:rFonts w:ascii="Times New Roman" w:eastAsia="MS Mincho" w:hAnsi="Times New Roman"/>
          <w:sz w:val="20"/>
          <w:szCs w:val="20"/>
          <w:lang w:eastAsia="ja-JP"/>
        </w:rPr>
      </w:pPr>
      <w:r w:rsidRPr="00020C88">
        <w:rPr>
          <w:rFonts w:ascii="Times New Roman" w:eastAsia="MS Mincho" w:hAnsi="Times New Roman"/>
          <w:sz w:val="20"/>
          <w:szCs w:val="20"/>
          <w:lang w:eastAsia="ja-JP"/>
        </w:rPr>
        <w:t xml:space="preserve">má potvrdené nevyliečiteľné ochorenie a bola mu indikovaná </w:t>
      </w:r>
      <w:r w:rsidRPr="00020C88">
        <w:rPr>
          <w:rFonts w:ascii="Times New Roman" w:eastAsia="MS Mincho" w:hAnsi="Times New Roman"/>
          <w:b/>
          <w:sz w:val="20"/>
          <w:szCs w:val="20"/>
          <w:lang w:eastAsia="ja-JP"/>
        </w:rPr>
        <w:t>paliatívna starostlivosť</w:t>
      </w:r>
      <w:r w:rsidRPr="00020C88">
        <w:rPr>
          <w:rFonts w:ascii="Times New Roman" w:eastAsia="MS Mincho" w:hAnsi="Times New Roman"/>
          <w:sz w:val="20"/>
          <w:szCs w:val="20"/>
          <w:lang w:eastAsia="ja-JP"/>
        </w:rPr>
        <w:t>.</w:t>
      </w:r>
    </w:p>
    <w:p w14:paraId="75C26BD8" w14:textId="77777777" w:rsidR="003E4564" w:rsidRPr="00020C88" w:rsidRDefault="003E4564" w:rsidP="00CB750F">
      <w:pPr>
        <w:spacing w:after="0" w:line="240" w:lineRule="auto"/>
        <w:jc w:val="both"/>
        <w:rPr>
          <w:rFonts w:ascii="Times New Roman" w:hAnsi="Times New Roman"/>
          <w:b/>
          <w:color w:val="000000"/>
          <w:sz w:val="20"/>
          <w:szCs w:val="20"/>
        </w:rPr>
      </w:pPr>
    </w:p>
    <w:p w14:paraId="3EB03CEC" w14:textId="77777777" w:rsidR="003E4564" w:rsidRPr="00020C88" w:rsidRDefault="003E4564" w:rsidP="00CB750F">
      <w:pPr>
        <w:spacing w:after="0" w:line="240" w:lineRule="auto"/>
        <w:jc w:val="both"/>
        <w:rPr>
          <w:rFonts w:ascii="Times New Roman" w:hAnsi="Times New Roman"/>
          <w:sz w:val="20"/>
          <w:szCs w:val="20"/>
        </w:rPr>
      </w:pPr>
      <w:r w:rsidRPr="00020C88">
        <w:rPr>
          <w:rFonts w:ascii="Times New Roman" w:hAnsi="Times New Roman"/>
          <w:b/>
          <w:color w:val="000000"/>
          <w:sz w:val="20"/>
          <w:szCs w:val="20"/>
        </w:rPr>
        <w:t xml:space="preserve">B) </w:t>
      </w:r>
      <w:r w:rsidRPr="00020C88">
        <w:rPr>
          <w:rFonts w:ascii="Times New Roman" w:hAnsi="Times New Roman"/>
          <w:color w:val="000000"/>
          <w:sz w:val="20"/>
          <w:szCs w:val="20"/>
        </w:rPr>
        <w:t>Rozšírenie</w:t>
      </w:r>
      <w:r w:rsidRPr="00020C88">
        <w:rPr>
          <w:rFonts w:ascii="Times New Roman" w:hAnsi="Times New Roman"/>
          <w:i/>
          <w:color w:val="000000"/>
          <w:sz w:val="20"/>
          <w:szCs w:val="20"/>
        </w:rPr>
        <w:t xml:space="preserve"> </w:t>
      </w:r>
      <w:r w:rsidRPr="00020C88">
        <w:rPr>
          <w:rFonts w:ascii="Times New Roman" w:hAnsi="Times New Roman"/>
          <w:sz w:val="20"/>
          <w:szCs w:val="20"/>
        </w:rPr>
        <w:t xml:space="preserve">okruhu oprávnených osôb na ošetrovné o chorého príbuzného v priamom rade a súrodenca.  </w:t>
      </w:r>
    </w:p>
    <w:p w14:paraId="0A1E0287" w14:textId="77777777" w:rsidR="003E4564" w:rsidRPr="00020C88" w:rsidRDefault="003E4564" w:rsidP="00CB750F">
      <w:pPr>
        <w:spacing w:after="0" w:line="240" w:lineRule="auto"/>
        <w:jc w:val="both"/>
        <w:rPr>
          <w:rFonts w:ascii="Times New Roman" w:hAnsi="Times New Roman"/>
          <w:b/>
          <w:sz w:val="20"/>
          <w:szCs w:val="20"/>
        </w:rPr>
      </w:pPr>
    </w:p>
    <w:p w14:paraId="3C53B1E3" w14:textId="77777777" w:rsidR="003E4564" w:rsidRPr="00020C88" w:rsidRDefault="003E4564" w:rsidP="00CB750F">
      <w:pPr>
        <w:spacing w:after="0" w:line="240" w:lineRule="auto"/>
        <w:jc w:val="both"/>
        <w:rPr>
          <w:rFonts w:ascii="Times New Roman" w:hAnsi="Times New Roman"/>
          <w:b/>
          <w:sz w:val="20"/>
          <w:szCs w:val="20"/>
        </w:rPr>
      </w:pPr>
      <w:r w:rsidRPr="00020C88">
        <w:rPr>
          <w:rFonts w:ascii="Times New Roman" w:hAnsi="Times New Roman"/>
          <w:b/>
          <w:sz w:val="20"/>
          <w:szCs w:val="20"/>
        </w:rPr>
        <w:t xml:space="preserve">C) </w:t>
      </w:r>
      <w:r w:rsidRPr="00020C88">
        <w:rPr>
          <w:rFonts w:ascii="Times New Roman" w:hAnsi="Times New Roman"/>
          <w:sz w:val="20"/>
          <w:szCs w:val="20"/>
        </w:rPr>
        <w:t>Predĺženie obdobia na poskytovanie dávky ošetrovné zo súčasných 10 dní na 14 dní.</w:t>
      </w:r>
    </w:p>
    <w:p w14:paraId="51579211" w14:textId="77777777" w:rsidR="003E4564" w:rsidRPr="00020C88" w:rsidRDefault="003E4564" w:rsidP="00CB750F">
      <w:pPr>
        <w:spacing w:after="0" w:line="240" w:lineRule="auto"/>
        <w:jc w:val="both"/>
        <w:rPr>
          <w:rFonts w:ascii="Times New Roman" w:hAnsi="Times New Roman"/>
          <w:bCs/>
          <w:sz w:val="20"/>
          <w:szCs w:val="20"/>
          <w:lang w:eastAsia="sk-SK"/>
        </w:rPr>
      </w:pPr>
    </w:p>
    <w:p w14:paraId="41F6E915" w14:textId="60CCFB43" w:rsidR="003E4564" w:rsidRPr="00020C88" w:rsidRDefault="003E4564" w:rsidP="00CB750F">
      <w:pPr>
        <w:spacing w:after="0" w:line="240" w:lineRule="auto"/>
        <w:jc w:val="both"/>
        <w:rPr>
          <w:rFonts w:ascii="Times New Roman" w:hAnsi="Times New Roman"/>
          <w:b/>
          <w:color w:val="000000"/>
          <w:sz w:val="20"/>
          <w:szCs w:val="20"/>
        </w:rPr>
      </w:pPr>
      <w:r w:rsidRPr="00020C88">
        <w:rPr>
          <w:rFonts w:ascii="Times New Roman" w:hAnsi="Times New Roman"/>
          <w:b/>
          <w:sz w:val="20"/>
          <w:szCs w:val="20"/>
        </w:rPr>
        <w:t xml:space="preserve">Predpokladaná účinnosť navrhovanej právnej úpravy je 1. </w:t>
      </w:r>
      <w:r w:rsidR="00043791">
        <w:rPr>
          <w:rFonts w:ascii="Times New Roman" w:hAnsi="Times New Roman"/>
          <w:b/>
          <w:sz w:val="20"/>
          <w:szCs w:val="20"/>
        </w:rPr>
        <w:t>máj</w:t>
      </w:r>
      <w:r w:rsidRPr="00020C88">
        <w:rPr>
          <w:rFonts w:ascii="Times New Roman" w:hAnsi="Times New Roman"/>
          <w:b/>
          <w:sz w:val="20"/>
          <w:szCs w:val="20"/>
        </w:rPr>
        <w:t xml:space="preserve">  2020.</w:t>
      </w:r>
    </w:p>
    <w:p w14:paraId="278B78C9" w14:textId="77777777" w:rsidR="003E4564" w:rsidRPr="00020C88" w:rsidRDefault="003E4564" w:rsidP="00CB750F">
      <w:pPr>
        <w:spacing w:after="0" w:line="240" w:lineRule="auto"/>
        <w:jc w:val="both"/>
        <w:rPr>
          <w:rFonts w:ascii="Times New Roman" w:hAnsi="Times New Roman"/>
          <w:bCs/>
          <w:sz w:val="20"/>
          <w:szCs w:val="20"/>
          <w:lang w:eastAsia="sk-SK"/>
        </w:rPr>
      </w:pPr>
    </w:p>
    <w:p w14:paraId="612CD938" w14:textId="77777777" w:rsidR="003E4564" w:rsidRPr="00020C88" w:rsidRDefault="003E4564"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Čl. IV – zákon č. 576/2004 Z. z.</w:t>
      </w:r>
    </w:p>
    <w:p w14:paraId="10963368"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
          <w:bCs/>
          <w:sz w:val="20"/>
          <w:szCs w:val="20"/>
          <w:lang w:eastAsia="sk-SK"/>
        </w:rPr>
        <w:t>Následná zdravotná starostlivosť</w:t>
      </w:r>
    </w:p>
    <w:p w14:paraId="6D3ECC22"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 xml:space="preserve">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 </w:t>
      </w:r>
    </w:p>
    <w:p w14:paraId="1D2A2CC4"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Preto sa oba rezorty dohodli na úpravách vlastných systémov, pretože ich považujú za realizovateľnejšie z hľadiska časového (príprava právnej úpravy, uvedenie zmien do praxe) aj vecného (jednoduchšie a zrozumiteľnejšie zavedenie zmien do praxe).</w:t>
      </w:r>
    </w:p>
    <w:p w14:paraId="76040AC8" w14:textId="77777777" w:rsidR="003E4564" w:rsidRPr="00020C88" w:rsidRDefault="003E4564" w:rsidP="00CB750F">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 xml:space="preserve">Cieľom úprav, ktoré navrhuje Ministerstvo zdravotníctva SR je: </w:t>
      </w:r>
    </w:p>
    <w:p w14:paraId="141E819C" w14:textId="77777777" w:rsidR="003E4564" w:rsidRPr="00020C88" w:rsidRDefault="003E4564" w:rsidP="00CB750F">
      <w:pPr>
        <w:spacing w:after="0" w:line="240" w:lineRule="auto"/>
        <w:ind w:left="284" w:hanging="284"/>
        <w:jc w:val="both"/>
        <w:rPr>
          <w:rFonts w:ascii="Times New Roman" w:hAnsi="Times New Roman"/>
          <w:bCs/>
          <w:sz w:val="20"/>
          <w:szCs w:val="20"/>
          <w:lang w:eastAsia="sk-SK"/>
        </w:rPr>
      </w:pPr>
      <w:r w:rsidRPr="00020C88">
        <w:rPr>
          <w:rFonts w:ascii="Times New Roman" w:hAnsi="Times New Roman"/>
          <w:bCs/>
          <w:sz w:val="20"/>
          <w:szCs w:val="20"/>
          <w:lang w:eastAsia="sk-SK"/>
        </w:rPr>
        <w:t>1.</w:t>
      </w:r>
      <w:r w:rsidRPr="00020C88">
        <w:rPr>
          <w:rFonts w:ascii="Times New Roman" w:hAnsi="Times New Roman"/>
          <w:bCs/>
          <w:sz w:val="20"/>
          <w:szCs w:val="20"/>
          <w:lang w:eastAsia="sk-SK"/>
        </w:rPr>
        <w:tab/>
        <w:t>posilnenie poskytovateľov ošetrovateľskej a paliatívnej starostlivosti v týchto zdravotníckych zariadeniach [dom ošetrovateľskej starostlivosti („DOS“), agentúra domácej ošetrovateľskej starostlivosti („ADOS“), hospic)], a to týmito návrhmi:</w:t>
      </w:r>
    </w:p>
    <w:p w14:paraId="715F0753" w14:textId="77777777" w:rsidR="003E4564" w:rsidRPr="00020C88" w:rsidRDefault="003E4564" w:rsidP="00CB750F">
      <w:pPr>
        <w:spacing w:after="0" w:line="240" w:lineRule="auto"/>
        <w:ind w:left="284" w:hanging="284"/>
        <w:jc w:val="both"/>
        <w:rPr>
          <w:rFonts w:ascii="Times New Roman" w:hAnsi="Times New Roman"/>
          <w:bCs/>
          <w:sz w:val="20"/>
          <w:szCs w:val="20"/>
          <w:lang w:eastAsia="sk-SK"/>
        </w:rPr>
      </w:pPr>
      <w:r w:rsidRPr="00020C88">
        <w:rPr>
          <w:rFonts w:ascii="Times New Roman" w:hAnsi="Times New Roman"/>
          <w:bCs/>
          <w:sz w:val="20"/>
          <w:szCs w:val="20"/>
          <w:lang w:eastAsia="sk-SK"/>
        </w:rPr>
        <w:t>a)</w:t>
      </w:r>
      <w:r w:rsidRPr="00020C88">
        <w:rPr>
          <w:rFonts w:ascii="Times New Roman" w:hAnsi="Times New Roman"/>
          <w:bCs/>
          <w:sz w:val="20"/>
          <w:szCs w:val="20"/>
          <w:lang w:eastAsia="sk-SK"/>
        </w:rPr>
        <w:tab/>
        <w:t>rozšírením verejnej minimálnej siete (ADOS, DOS, následné lôžka, hospic,), resp. vytvorenie optimálnej siete podľa odhadovaného počtu osôb v potrebe ošetrovateľskej starostlivosti a v potrebe paliatívnej starostlivosti,</w:t>
      </w:r>
    </w:p>
    <w:p w14:paraId="65A8EA32" w14:textId="77777777" w:rsidR="003E4564" w:rsidRPr="00020C88" w:rsidRDefault="003E4564" w:rsidP="00CB750F">
      <w:pPr>
        <w:spacing w:after="0" w:line="240" w:lineRule="auto"/>
        <w:ind w:left="284" w:hanging="284"/>
        <w:jc w:val="both"/>
        <w:rPr>
          <w:rFonts w:ascii="Times New Roman" w:hAnsi="Times New Roman"/>
          <w:bCs/>
          <w:sz w:val="20"/>
          <w:szCs w:val="20"/>
          <w:lang w:eastAsia="sk-SK"/>
        </w:rPr>
      </w:pPr>
      <w:r w:rsidRPr="00020C88">
        <w:rPr>
          <w:rFonts w:ascii="Times New Roman" w:hAnsi="Times New Roman"/>
          <w:bCs/>
          <w:sz w:val="20"/>
          <w:szCs w:val="20"/>
          <w:lang w:eastAsia="sk-SK"/>
        </w:rPr>
        <w:t>b)</w:t>
      </w:r>
      <w:r w:rsidRPr="00020C88">
        <w:rPr>
          <w:rFonts w:ascii="Times New Roman" w:hAnsi="Times New Roman"/>
          <w:bCs/>
          <w:sz w:val="20"/>
          <w:szCs w:val="20"/>
          <w:lang w:eastAsia="sk-SK"/>
        </w:rPr>
        <w:tab/>
        <w:t>revíziou indikácie ošetrovateľskej starostlivosti v zariadeniach sociálnej pomoci,</w:t>
      </w:r>
    </w:p>
    <w:p w14:paraId="1C2D6180" w14:textId="77777777" w:rsidR="003E4564" w:rsidRPr="00020C88" w:rsidRDefault="003E4564" w:rsidP="00CB750F">
      <w:pPr>
        <w:spacing w:after="0" w:line="240" w:lineRule="auto"/>
        <w:ind w:left="284" w:hanging="284"/>
        <w:jc w:val="both"/>
        <w:rPr>
          <w:rFonts w:ascii="Times New Roman" w:hAnsi="Times New Roman"/>
          <w:bCs/>
          <w:sz w:val="20"/>
          <w:szCs w:val="20"/>
          <w:lang w:eastAsia="sk-SK"/>
        </w:rPr>
      </w:pPr>
      <w:r w:rsidRPr="00020C88">
        <w:rPr>
          <w:rFonts w:ascii="Times New Roman" w:hAnsi="Times New Roman"/>
          <w:bCs/>
          <w:sz w:val="20"/>
          <w:szCs w:val="20"/>
          <w:lang w:eastAsia="sk-SK"/>
        </w:rPr>
        <w:t>c)</w:t>
      </w:r>
      <w:r w:rsidRPr="00020C88">
        <w:rPr>
          <w:rFonts w:ascii="Times New Roman" w:hAnsi="Times New Roman"/>
          <w:bCs/>
          <w:sz w:val="20"/>
          <w:szCs w:val="20"/>
          <w:lang w:eastAsia="sk-SK"/>
        </w:rPr>
        <w:tab/>
        <w:t>rozšírením pôsobnosti Úradu pre dohľad nad zdravotnou starostlivosťou o kontrolu poskytovania ošetrovateľskej starostlivosti v zariadeniach sociálnej pomoci, ktoré nemajú uzatvorenú zmluvu so zdravotnou poisťovňou,</w:t>
      </w:r>
    </w:p>
    <w:p w14:paraId="14021D1B" w14:textId="77777777" w:rsidR="003E4564" w:rsidRPr="00020C88" w:rsidRDefault="003E4564" w:rsidP="00CB750F">
      <w:pPr>
        <w:spacing w:after="0" w:line="240" w:lineRule="auto"/>
        <w:ind w:left="284" w:hanging="284"/>
        <w:jc w:val="both"/>
        <w:rPr>
          <w:rFonts w:ascii="Times New Roman" w:hAnsi="Times New Roman"/>
          <w:bCs/>
          <w:sz w:val="20"/>
          <w:szCs w:val="20"/>
          <w:lang w:eastAsia="sk-SK"/>
        </w:rPr>
      </w:pPr>
      <w:r w:rsidRPr="00020C88">
        <w:rPr>
          <w:rFonts w:ascii="Times New Roman" w:hAnsi="Times New Roman"/>
          <w:bCs/>
          <w:sz w:val="20"/>
          <w:szCs w:val="20"/>
          <w:lang w:eastAsia="sk-SK"/>
        </w:rPr>
        <w:t>d)</w:t>
      </w:r>
      <w:r w:rsidRPr="00020C88">
        <w:rPr>
          <w:rFonts w:ascii="Times New Roman" w:hAnsi="Times New Roman"/>
          <w:bCs/>
          <w:sz w:val="20"/>
          <w:szCs w:val="20"/>
          <w:lang w:eastAsia="sk-SK"/>
        </w:rPr>
        <w:tab/>
        <w:t>sprístupnením zdravotnej dokumentácie sociálnemu pracovníkovi pracujúcemu v zdravotníckom zariadení,</w:t>
      </w:r>
    </w:p>
    <w:p w14:paraId="302351BA" w14:textId="77777777" w:rsidR="003E4564" w:rsidRPr="00020C88" w:rsidRDefault="003E4564" w:rsidP="00CB750F">
      <w:pPr>
        <w:spacing w:after="0" w:line="240" w:lineRule="auto"/>
        <w:ind w:left="284" w:hanging="284"/>
        <w:jc w:val="both"/>
        <w:rPr>
          <w:rFonts w:ascii="Times New Roman" w:hAnsi="Times New Roman"/>
          <w:bCs/>
          <w:sz w:val="20"/>
          <w:szCs w:val="20"/>
          <w:lang w:eastAsia="sk-SK"/>
        </w:rPr>
      </w:pPr>
      <w:r w:rsidRPr="00020C88">
        <w:rPr>
          <w:rFonts w:ascii="Times New Roman" w:hAnsi="Times New Roman"/>
          <w:bCs/>
          <w:sz w:val="20"/>
          <w:szCs w:val="20"/>
          <w:lang w:eastAsia="sk-SK"/>
        </w:rPr>
        <w:t>e)</w:t>
      </w:r>
      <w:r w:rsidRPr="00020C88">
        <w:rPr>
          <w:rFonts w:ascii="Times New Roman" w:hAnsi="Times New Roman"/>
          <w:bCs/>
          <w:sz w:val="20"/>
          <w:szCs w:val="20"/>
          <w:lang w:eastAsia="sk-SK"/>
        </w:rPr>
        <w:tab/>
        <w:t>reguláciou cien výkonov a paušálov, úhradu dopravy za pacientom v súvislosti s návštevou pacienta,</w:t>
      </w:r>
    </w:p>
    <w:p w14:paraId="560319E5" w14:textId="77777777" w:rsidR="003E4564" w:rsidRPr="00020C88" w:rsidRDefault="003E4564" w:rsidP="00CB750F">
      <w:pPr>
        <w:spacing w:after="0" w:line="240" w:lineRule="auto"/>
        <w:ind w:left="284" w:hanging="284"/>
        <w:jc w:val="both"/>
        <w:rPr>
          <w:rFonts w:ascii="Times New Roman" w:hAnsi="Times New Roman"/>
          <w:bCs/>
          <w:sz w:val="20"/>
          <w:szCs w:val="20"/>
          <w:lang w:eastAsia="sk-SK"/>
        </w:rPr>
      </w:pPr>
      <w:r w:rsidRPr="00020C88">
        <w:rPr>
          <w:rFonts w:ascii="Times New Roman" w:hAnsi="Times New Roman"/>
          <w:bCs/>
          <w:sz w:val="20"/>
          <w:szCs w:val="20"/>
          <w:lang w:eastAsia="sk-SK"/>
        </w:rPr>
        <w:t>f)</w:t>
      </w:r>
      <w:r w:rsidRPr="00020C88">
        <w:rPr>
          <w:rFonts w:ascii="Times New Roman" w:hAnsi="Times New Roman"/>
          <w:bCs/>
          <w:sz w:val="20"/>
          <w:szCs w:val="20"/>
          <w:lang w:eastAsia="sk-SK"/>
        </w:rPr>
        <w:tab/>
        <w:t>prehodnotením súčasnej podoby poskytovania ošetrovateľskej starostlivosti v zariadeniach sociálnej pomoci,</w:t>
      </w:r>
    </w:p>
    <w:p w14:paraId="5005516A" w14:textId="77777777" w:rsidR="003E4564" w:rsidRPr="00020C88" w:rsidRDefault="003E4564" w:rsidP="00CB750F">
      <w:pPr>
        <w:spacing w:after="0" w:line="240" w:lineRule="auto"/>
        <w:ind w:left="284" w:hanging="284"/>
        <w:jc w:val="both"/>
        <w:rPr>
          <w:rFonts w:ascii="Times New Roman" w:hAnsi="Times New Roman"/>
          <w:bCs/>
          <w:sz w:val="20"/>
          <w:szCs w:val="20"/>
          <w:lang w:eastAsia="sk-SK"/>
        </w:rPr>
      </w:pPr>
      <w:r w:rsidRPr="00020C88">
        <w:rPr>
          <w:rFonts w:ascii="Times New Roman" w:hAnsi="Times New Roman"/>
          <w:bCs/>
          <w:sz w:val="20"/>
          <w:szCs w:val="20"/>
          <w:lang w:eastAsia="sk-SK"/>
        </w:rPr>
        <w:t>2.</w:t>
      </w:r>
      <w:r w:rsidRPr="00020C88">
        <w:rPr>
          <w:rFonts w:ascii="Times New Roman" w:hAnsi="Times New Roman"/>
          <w:bCs/>
          <w:sz w:val="20"/>
          <w:szCs w:val="20"/>
          <w:lang w:eastAsia="sk-SK"/>
        </w:rPr>
        <w:tab/>
        <w:t>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14:paraId="77112692" w14:textId="77777777" w:rsidR="003E4564" w:rsidRPr="00020C88" w:rsidRDefault="003E4564" w:rsidP="00CB750F">
      <w:pPr>
        <w:spacing w:after="0" w:line="240" w:lineRule="auto"/>
        <w:ind w:left="284" w:hanging="284"/>
        <w:jc w:val="both"/>
        <w:rPr>
          <w:rFonts w:ascii="Times New Roman" w:hAnsi="Times New Roman"/>
          <w:bCs/>
          <w:sz w:val="20"/>
          <w:szCs w:val="20"/>
          <w:lang w:eastAsia="sk-SK"/>
        </w:rPr>
      </w:pPr>
      <w:r w:rsidRPr="00020C88">
        <w:rPr>
          <w:rFonts w:ascii="Times New Roman" w:hAnsi="Times New Roman"/>
          <w:bCs/>
          <w:sz w:val="20"/>
          <w:szCs w:val="20"/>
          <w:lang w:eastAsia="sk-SK"/>
        </w:rPr>
        <w:lastRenderedPageBreak/>
        <w:t>3.</w:t>
      </w:r>
      <w:r w:rsidRPr="00020C88">
        <w:rPr>
          <w:rFonts w:ascii="Times New Roman" w:hAnsi="Times New Roman"/>
          <w:bCs/>
          <w:sz w:val="20"/>
          <w:szCs w:val="20"/>
          <w:lang w:eastAsia="sk-SK"/>
        </w:rPr>
        <w:tab/>
        <w:t>úhradu zdravotnej a ošetrovateľskej starostlivosti formou regulácie cien a určením napríklad platby na každú osobu v potrebe zdravotnej a ošetrovateľskej starostlivosti alebo reguláciou cien výkonov (ADOS, DOS, následné lôžka, hospic, mobilný hospic).</w:t>
      </w:r>
    </w:p>
    <w:p w14:paraId="6801B1C9" w14:textId="77777777" w:rsidR="003E4564" w:rsidRPr="00020C88" w:rsidRDefault="003E4564" w:rsidP="00CB750F">
      <w:pPr>
        <w:spacing w:after="0" w:line="240" w:lineRule="auto"/>
        <w:ind w:firstLine="284"/>
        <w:jc w:val="both"/>
        <w:rPr>
          <w:rFonts w:ascii="Times New Roman" w:hAnsi="Times New Roman"/>
          <w:bCs/>
          <w:sz w:val="20"/>
          <w:szCs w:val="20"/>
          <w:lang w:eastAsia="sk-SK"/>
        </w:rPr>
      </w:pPr>
      <w:r w:rsidRPr="00020C88">
        <w:rPr>
          <w:rFonts w:ascii="Times New Roman" w:hAnsi="Times New Roman"/>
          <w:bCs/>
          <w:sz w:val="20"/>
          <w:szCs w:val="20"/>
          <w:lang w:eastAsia="sk-SK"/>
        </w:rPr>
        <w:t>Cieľom navrhovanej právnej úpravy je primárne zvýšiť bezpečnosť pacienta a vytvoriť predpoklady na zvýšenie kvality poskytovanej ústavnej zdravotnej starostlivosti predĺžením jeho pobytu v následnej zdravotnej starostlivosti, počas ktorej je predpoklad, že sa pacient úplne vylieči alebo sa rodine v tejto dobe podarí vybaviť zariadenie sociálnych služieb, pomôcky, zaháji sa proces posudzovania odkázanosti alebo sa podarí umiestnenie v iných zdravotníckych zariadeniach.</w:t>
      </w:r>
    </w:p>
    <w:p w14:paraId="240E6AE0" w14:textId="77777777" w:rsidR="003E4564" w:rsidRPr="00020C88" w:rsidRDefault="003E4564" w:rsidP="00CB750F">
      <w:pPr>
        <w:spacing w:after="0" w:line="240" w:lineRule="auto"/>
        <w:jc w:val="both"/>
        <w:rPr>
          <w:rFonts w:ascii="Times New Roman" w:hAnsi="Times New Roman"/>
          <w:bCs/>
          <w:sz w:val="20"/>
          <w:szCs w:val="20"/>
          <w:lang w:eastAsia="sk-SK"/>
        </w:rPr>
      </w:pPr>
    </w:p>
    <w:p w14:paraId="1233C85C" w14:textId="77777777" w:rsidR="008408ED" w:rsidRPr="00020C88" w:rsidRDefault="003E4564" w:rsidP="008408ED">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 xml:space="preserve">Čl. VI – </w:t>
      </w:r>
      <w:r w:rsidR="008408ED" w:rsidRPr="00020C88">
        <w:rPr>
          <w:rFonts w:ascii="Times New Roman" w:hAnsi="Times New Roman"/>
          <w:b/>
          <w:bCs/>
          <w:sz w:val="20"/>
          <w:szCs w:val="20"/>
          <w:lang w:eastAsia="sk-SK"/>
        </w:rPr>
        <w:t xml:space="preserve">zákon č. 581/2004 Z. z. </w:t>
      </w:r>
    </w:p>
    <w:p w14:paraId="679A2A71" w14:textId="77777777" w:rsidR="008408ED" w:rsidRPr="00020C88" w:rsidRDefault="008408ED" w:rsidP="008408ED">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Stratifikácia</w:t>
      </w:r>
    </w:p>
    <w:p w14:paraId="205B13A9" w14:textId="77777777" w:rsidR="008408ED" w:rsidRPr="00020C88" w:rsidRDefault="008408ED" w:rsidP="008408ED">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Navrhovaná právna úprava predstavuje novú koncepciu ústavnej zdravotnej starostlivosti, ktorej cieľom je zabezpečenie kvalitnej a dostupnej ústavnej zdravotnej starostlivosti pre pacienta. Koncepcia vychádza z prístupu Hodnota za peniaze a jej cieľom je vykonať v 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w:t>
      </w:r>
    </w:p>
    <w:p w14:paraId="610DEF5E" w14:textId="77777777" w:rsidR="008408ED" w:rsidRPr="00020C88" w:rsidRDefault="008408ED" w:rsidP="008408ED">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w:t>
      </w:r>
    </w:p>
    <w:p w14:paraId="6EA4D318" w14:textId="77777777" w:rsidR="008408ED" w:rsidRPr="00020C88" w:rsidRDefault="008408ED" w:rsidP="008408ED">
      <w:pPr>
        <w:spacing w:after="0" w:line="240" w:lineRule="auto"/>
        <w:jc w:val="both"/>
        <w:rPr>
          <w:rFonts w:ascii="Times New Roman" w:hAnsi="Times New Roman"/>
          <w:b/>
          <w:bCs/>
          <w:sz w:val="20"/>
          <w:szCs w:val="20"/>
          <w:lang w:eastAsia="sk-SK"/>
        </w:rPr>
      </w:pPr>
    </w:p>
    <w:p w14:paraId="444339C7" w14:textId="77777777" w:rsidR="008408ED" w:rsidRPr="00020C88" w:rsidRDefault="008408ED" w:rsidP="008408ED">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Podávateľ podnetu</w:t>
      </w:r>
    </w:p>
    <w:p w14:paraId="620C5D16" w14:textId="77777777" w:rsidR="008408ED" w:rsidRPr="00020C88" w:rsidRDefault="008408ED" w:rsidP="008408ED">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 xml:space="preserve">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t.j. konzultanta úradu, ktorý je odborníkom v príslušnom medicínskom odbore, v ktorom bola zdravotná starostlivosť poskytnutá. Za účelom zabezpečenia ochrany osobných údajov dotknutých osôb, ktoré vykonávali dohľad, ako aj 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spôsobom atakujú nielen zamestnancov úradu, ale aj konzultantov.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  </w:t>
      </w:r>
    </w:p>
    <w:p w14:paraId="0F5BEE03" w14:textId="77777777" w:rsidR="008408ED" w:rsidRPr="00020C88" w:rsidRDefault="008408ED" w:rsidP="008408ED">
      <w:pPr>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 xml:space="preserve">V neposlednom rade sa navrhuje rozšírenie pôsobnosti Úradu pre dohľad nad zdravotnou starostlivosťou o kontrolu poskytovania ošetrovateľskej starostlivosti v zariadeniach sociálnej pomoci, ktoré nemajú uzatvorenú zmluvu so zdravotnou poisťovňou. </w:t>
      </w:r>
    </w:p>
    <w:p w14:paraId="17E183AC" w14:textId="77777777" w:rsidR="00CA0683" w:rsidRPr="00020C88" w:rsidRDefault="00CA0683" w:rsidP="00CB750F">
      <w:pPr>
        <w:spacing w:after="0" w:line="240" w:lineRule="auto"/>
        <w:jc w:val="both"/>
        <w:rPr>
          <w:rFonts w:ascii="Times New Roman" w:hAnsi="Times New Roman"/>
          <w:b/>
          <w:sz w:val="20"/>
          <w:szCs w:val="20"/>
        </w:rPr>
      </w:pPr>
    </w:p>
    <w:p w14:paraId="29C8EA53" w14:textId="77777777" w:rsidR="007D5748" w:rsidRPr="00020C88" w:rsidRDefault="007D5748"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2.2.2. Charakteristika návrhu:</w:t>
      </w:r>
    </w:p>
    <w:p w14:paraId="1BD24866" w14:textId="77777777" w:rsidR="007D5748" w:rsidRPr="00020C88" w:rsidRDefault="007D5748" w:rsidP="00CB750F">
      <w:pPr>
        <w:spacing w:after="0" w:line="240" w:lineRule="auto"/>
        <w:jc w:val="both"/>
        <w:rPr>
          <w:rFonts w:ascii="Times New Roman" w:hAnsi="Times New Roman"/>
          <w:sz w:val="20"/>
          <w:szCs w:val="20"/>
          <w:lang w:eastAsia="sk-SK"/>
        </w:rPr>
      </w:pPr>
    </w:p>
    <w:p w14:paraId="6D302727" w14:textId="77777777" w:rsidR="007D5748" w:rsidRPr="00020C88" w:rsidRDefault="007D5748" w:rsidP="00CB750F">
      <w:pPr>
        <w:spacing w:after="0" w:line="240" w:lineRule="auto"/>
        <w:jc w:val="both"/>
        <w:rPr>
          <w:rFonts w:ascii="Times New Roman" w:hAnsi="Times New Roman"/>
          <w:sz w:val="20"/>
          <w:szCs w:val="20"/>
          <w:lang w:eastAsia="sk-SK"/>
        </w:rPr>
      </w:pPr>
      <w:r w:rsidRPr="00020C88">
        <w:rPr>
          <w:rFonts w:ascii="Times New Roman" w:hAnsi="Times New Roman"/>
          <w:b/>
          <w:sz w:val="20"/>
          <w:szCs w:val="20"/>
          <w:bdr w:val="single" w:sz="4" w:space="0" w:color="auto"/>
          <w:lang w:eastAsia="sk-SK"/>
        </w:rPr>
        <w:t xml:space="preserve">  </w:t>
      </w:r>
      <w:r w:rsidR="00373484" w:rsidRPr="00020C88">
        <w:rPr>
          <w:rFonts w:ascii="Times New Roman" w:hAnsi="Times New Roman"/>
          <w:b/>
          <w:sz w:val="20"/>
          <w:szCs w:val="20"/>
          <w:bdr w:val="single" w:sz="4" w:space="0" w:color="auto"/>
          <w:lang w:eastAsia="sk-SK"/>
        </w:rPr>
        <w:t xml:space="preserve"> </w:t>
      </w:r>
      <w:r w:rsidR="000616B3" w:rsidRPr="00020C88">
        <w:rPr>
          <w:rFonts w:ascii="Times New Roman" w:hAnsi="Times New Roman"/>
          <w:b/>
          <w:sz w:val="20"/>
          <w:szCs w:val="20"/>
          <w:bdr w:val="single" w:sz="4" w:space="0" w:color="auto"/>
          <w:lang w:eastAsia="sk-SK"/>
        </w:rPr>
        <w:t xml:space="preserve"> </w:t>
      </w:r>
      <w:r w:rsidR="00373484" w:rsidRPr="00020C88">
        <w:rPr>
          <w:rFonts w:ascii="Times New Roman" w:hAnsi="Times New Roman"/>
          <w:b/>
          <w:sz w:val="20"/>
          <w:szCs w:val="20"/>
          <w:bdr w:val="single" w:sz="4" w:space="0" w:color="auto"/>
          <w:lang w:eastAsia="sk-SK"/>
        </w:rPr>
        <w:t xml:space="preserve"> </w:t>
      </w:r>
      <w:r w:rsidRPr="00020C88">
        <w:rPr>
          <w:rFonts w:ascii="Times New Roman" w:hAnsi="Times New Roman"/>
          <w:b/>
          <w:sz w:val="20"/>
          <w:szCs w:val="20"/>
          <w:lang w:eastAsia="sk-SK"/>
        </w:rPr>
        <w:t xml:space="preserve">  </w:t>
      </w:r>
      <w:r w:rsidRPr="00020C88">
        <w:rPr>
          <w:rFonts w:ascii="Times New Roman" w:hAnsi="Times New Roman"/>
          <w:sz w:val="20"/>
          <w:szCs w:val="20"/>
          <w:lang w:eastAsia="sk-SK"/>
        </w:rPr>
        <w:t>zmena sadzby</w:t>
      </w:r>
    </w:p>
    <w:p w14:paraId="6B5AE28D" w14:textId="77777777" w:rsidR="007D5748" w:rsidRPr="00020C88" w:rsidRDefault="007D5748"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bdr w:val="single" w:sz="4" w:space="0" w:color="auto"/>
          <w:lang w:eastAsia="sk-SK"/>
        </w:rPr>
        <w:lastRenderedPageBreak/>
        <w:t xml:space="preserve"> </w:t>
      </w:r>
      <w:r w:rsidR="009C576C" w:rsidRPr="00020C88">
        <w:rPr>
          <w:rFonts w:ascii="Times New Roman" w:hAnsi="Times New Roman"/>
          <w:sz w:val="20"/>
          <w:szCs w:val="20"/>
          <w:bdr w:val="single" w:sz="4" w:space="0" w:color="auto"/>
          <w:lang w:eastAsia="sk-SK"/>
        </w:rPr>
        <w:t xml:space="preserve"> </w:t>
      </w:r>
      <w:r w:rsidR="001D1883" w:rsidRPr="00020C88">
        <w:rPr>
          <w:rFonts w:ascii="Times New Roman" w:hAnsi="Times New Roman"/>
          <w:sz w:val="20"/>
          <w:szCs w:val="20"/>
          <w:bdr w:val="single" w:sz="4" w:space="0" w:color="auto"/>
          <w:lang w:eastAsia="sk-SK"/>
        </w:rPr>
        <w:t>x</w:t>
      </w:r>
      <w:r w:rsidR="00866554" w:rsidRPr="00020C88">
        <w:rPr>
          <w:rFonts w:ascii="Times New Roman" w:hAnsi="Times New Roman"/>
          <w:sz w:val="20"/>
          <w:szCs w:val="20"/>
          <w:bdr w:val="single" w:sz="4" w:space="0" w:color="auto"/>
          <w:lang w:eastAsia="sk-SK"/>
        </w:rPr>
        <w:t xml:space="preserve"> </w:t>
      </w:r>
      <w:r w:rsidRPr="00020C88">
        <w:rPr>
          <w:rFonts w:ascii="Times New Roman" w:hAnsi="Times New Roman"/>
          <w:sz w:val="20"/>
          <w:szCs w:val="20"/>
          <w:lang w:eastAsia="sk-SK"/>
        </w:rPr>
        <w:t xml:space="preserve">  zmena v nároku</w:t>
      </w:r>
    </w:p>
    <w:p w14:paraId="18B21DE8" w14:textId="77777777" w:rsidR="007D5748" w:rsidRPr="00020C88" w:rsidRDefault="009C576C"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bdr w:val="single" w:sz="4" w:space="0" w:color="auto"/>
          <w:lang w:eastAsia="sk-SK"/>
        </w:rPr>
        <w:t xml:space="preserve">  </w:t>
      </w:r>
      <w:r w:rsidR="007F3D14" w:rsidRPr="00020C88">
        <w:rPr>
          <w:rFonts w:ascii="Times New Roman" w:hAnsi="Times New Roman"/>
          <w:sz w:val="20"/>
          <w:szCs w:val="20"/>
          <w:bdr w:val="single" w:sz="4" w:space="0" w:color="auto"/>
          <w:lang w:eastAsia="sk-SK"/>
        </w:rPr>
        <w:t>x</w:t>
      </w:r>
      <w:r w:rsidR="007D5748" w:rsidRPr="00020C88">
        <w:rPr>
          <w:rFonts w:ascii="Times New Roman" w:hAnsi="Times New Roman"/>
          <w:sz w:val="20"/>
          <w:szCs w:val="20"/>
          <w:bdr w:val="single" w:sz="4" w:space="0" w:color="auto"/>
          <w:lang w:eastAsia="sk-SK"/>
        </w:rPr>
        <w:t xml:space="preserve"> </w:t>
      </w:r>
      <w:r w:rsidR="007D5748" w:rsidRPr="00020C88">
        <w:rPr>
          <w:rFonts w:ascii="Times New Roman" w:hAnsi="Times New Roman"/>
          <w:sz w:val="20"/>
          <w:szCs w:val="20"/>
          <w:lang w:eastAsia="sk-SK"/>
        </w:rPr>
        <w:t xml:space="preserve">  nová služba alebo nariadenie (alebo ich zrušenie)</w:t>
      </w:r>
    </w:p>
    <w:p w14:paraId="0432094E" w14:textId="77777777" w:rsidR="007D5748" w:rsidRPr="00020C88" w:rsidRDefault="00373484"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bdr w:val="single" w:sz="4" w:space="0" w:color="auto"/>
          <w:lang w:eastAsia="sk-SK"/>
        </w:rPr>
        <w:t xml:space="preserve"> </w:t>
      </w:r>
      <w:r w:rsidR="000616B3" w:rsidRPr="00020C88">
        <w:rPr>
          <w:rFonts w:ascii="Times New Roman" w:hAnsi="Times New Roman"/>
          <w:b/>
          <w:sz w:val="20"/>
          <w:szCs w:val="20"/>
          <w:bdr w:val="single" w:sz="4" w:space="0" w:color="auto"/>
          <w:lang w:eastAsia="sk-SK"/>
        </w:rPr>
        <w:t xml:space="preserve">  </w:t>
      </w:r>
      <w:r w:rsidRPr="00020C88">
        <w:rPr>
          <w:rFonts w:ascii="Times New Roman" w:hAnsi="Times New Roman"/>
          <w:b/>
          <w:sz w:val="20"/>
          <w:szCs w:val="20"/>
          <w:bdr w:val="single" w:sz="4" w:space="0" w:color="auto"/>
          <w:lang w:eastAsia="sk-SK"/>
        </w:rPr>
        <w:t xml:space="preserve"> </w:t>
      </w:r>
      <w:r w:rsidR="007D5748" w:rsidRPr="00020C88">
        <w:rPr>
          <w:rFonts w:ascii="Times New Roman" w:hAnsi="Times New Roman"/>
          <w:sz w:val="20"/>
          <w:szCs w:val="20"/>
          <w:bdr w:val="single" w:sz="4" w:space="0" w:color="auto"/>
          <w:lang w:eastAsia="sk-SK"/>
        </w:rPr>
        <w:t xml:space="preserve"> </w:t>
      </w:r>
      <w:r w:rsidR="007D5748" w:rsidRPr="00020C88">
        <w:rPr>
          <w:rFonts w:ascii="Times New Roman" w:hAnsi="Times New Roman"/>
          <w:sz w:val="20"/>
          <w:szCs w:val="20"/>
          <w:lang w:eastAsia="sk-SK"/>
        </w:rPr>
        <w:t xml:space="preserve">  kombinovaný návrh</w:t>
      </w:r>
    </w:p>
    <w:p w14:paraId="0E9B9569" w14:textId="77777777" w:rsidR="007D5748" w:rsidRPr="00020C88" w:rsidRDefault="007D5748"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bdr w:val="single" w:sz="4" w:space="0" w:color="auto"/>
          <w:lang w:eastAsia="sk-SK"/>
        </w:rPr>
        <w:t xml:space="preserve">     </w:t>
      </w:r>
      <w:r w:rsidRPr="00020C88">
        <w:rPr>
          <w:rFonts w:ascii="Times New Roman" w:hAnsi="Times New Roman"/>
          <w:sz w:val="20"/>
          <w:szCs w:val="20"/>
          <w:lang w:eastAsia="sk-SK"/>
        </w:rPr>
        <w:t xml:space="preserve">  iné </w:t>
      </w:r>
    </w:p>
    <w:p w14:paraId="01BF86BC" w14:textId="77777777" w:rsidR="007D5748" w:rsidRPr="00020C88" w:rsidRDefault="007D5748" w:rsidP="00CB750F">
      <w:pPr>
        <w:spacing w:after="0" w:line="240" w:lineRule="auto"/>
        <w:jc w:val="both"/>
        <w:rPr>
          <w:rFonts w:ascii="Times New Roman" w:hAnsi="Times New Roman"/>
          <w:sz w:val="20"/>
          <w:szCs w:val="20"/>
          <w:lang w:eastAsia="sk-SK"/>
        </w:rPr>
      </w:pPr>
    </w:p>
    <w:p w14:paraId="2BA08682" w14:textId="77777777" w:rsidR="007D5748" w:rsidRPr="00020C88" w:rsidRDefault="007D5748" w:rsidP="00CB750F">
      <w:pPr>
        <w:spacing w:after="0" w:line="240" w:lineRule="auto"/>
        <w:jc w:val="both"/>
        <w:rPr>
          <w:rFonts w:ascii="Times New Roman" w:hAnsi="Times New Roman"/>
          <w:sz w:val="20"/>
          <w:szCs w:val="20"/>
          <w:lang w:eastAsia="sk-SK"/>
        </w:rPr>
      </w:pPr>
      <w:r w:rsidRPr="00020C88">
        <w:rPr>
          <w:rFonts w:ascii="Times New Roman" w:hAnsi="Times New Roman"/>
          <w:b/>
          <w:bCs/>
          <w:sz w:val="20"/>
          <w:szCs w:val="20"/>
          <w:lang w:eastAsia="sk-SK"/>
        </w:rPr>
        <w:t>2.2.3. Predpoklady vývoja objemu aktivít:</w:t>
      </w:r>
    </w:p>
    <w:p w14:paraId="4854E326" w14:textId="77777777" w:rsidR="007D5748" w:rsidRPr="00020C88" w:rsidRDefault="007D5748" w:rsidP="00CB750F">
      <w:pPr>
        <w:spacing w:after="0" w:line="240" w:lineRule="auto"/>
        <w:jc w:val="both"/>
        <w:rPr>
          <w:rFonts w:ascii="Times New Roman" w:hAnsi="Times New Roman"/>
          <w:sz w:val="20"/>
          <w:szCs w:val="20"/>
          <w:lang w:eastAsia="sk-SK"/>
        </w:rPr>
      </w:pPr>
    </w:p>
    <w:p w14:paraId="7B9B02F1" w14:textId="68339CB5" w:rsidR="00B51A21" w:rsidRPr="00020C88" w:rsidRDefault="00AD7A6C" w:rsidP="00CB750F">
      <w:pPr>
        <w:spacing w:after="0" w:line="240" w:lineRule="auto"/>
        <w:jc w:val="both"/>
        <w:rPr>
          <w:rFonts w:ascii="Times New Roman" w:hAnsi="Times New Roman"/>
          <w:color w:val="000000"/>
          <w:sz w:val="20"/>
          <w:szCs w:val="20"/>
        </w:rPr>
      </w:pPr>
      <w:r w:rsidRPr="00020C88">
        <w:rPr>
          <w:rFonts w:ascii="Times New Roman" w:hAnsi="Times New Roman"/>
          <w:color w:val="000000"/>
          <w:sz w:val="20"/>
          <w:szCs w:val="20"/>
        </w:rPr>
        <w:t xml:space="preserve">Navrhované zmeny si vyžiadajú zmenu informačného systému Sociálnej </w:t>
      </w:r>
      <w:r w:rsidR="00323AB4" w:rsidRPr="00020C88">
        <w:rPr>
          <w:rFonts w:ascii="Times New Roman" w:hAnsi="Times New Roman"/>
          <w:color w:val="000000"/>
          <w:sz w:val="20"/>
          <w:szCs w:val="20"/>
        </w:rPr>
        <w:t>poisť</w:t>
      </w:r>
      <w:r w:rsidR="00D46D23" w:rsidRPr="00020C88">
        <w:rPr>
          <w:rFonts w:ascii="Times New Roman" w:hAnsi="Times New Roman"/>
          <w:color w:val="000000"/>
          <w:sz w:val="20"/>
          <w:szCs w:val="20"/>
        </w:rPr>
        <w:t>ovne</w:t>
      </w:r>
      <w:r w:rsidR="009028C0" w:rsidRPr="00020C88">
        <w:rPr>
          <w:rFonts w:ascii="Times New Roman" w:hAnsi="Times New Roman"/>
          <w:color w:val="000000"/>
          <w:sz w:val="20"/>
          <w:szCs w:val="20"/>
        </w:rPr>
        <w:t xml:space="preserve">, pričom celkové zvýšenie výdavkov sa odhaduje na úrovni </w:t>
      </w:r>
      <w:r w:rsidR="004418D6" w:rsidRPr="00020C88">
        <w:rPr>
          <w:rFonts w:ascii="Times New Roman" w:hAnsi="Times New Roman"/>
          <w:color w:val="000000"/>
          <w:sz w:val="20"/>
          <w:szCs w:val="20"/>
        </w:rPr>
        <w:t>1,2 mil. eur.</w:t>
      </w:r>
      <w:r w:rsidR="006144D0" w:rsidRPr="00020C88">
        <w:rPr>
          <w:rFonts w:ascii="Times New Roman" w:hAnsi="Times New Roman"/>
          <w:color w:val="000000"/>
          <w:sz w:val="20"/>
          <w:szCs w:val="20"/>
        </w:rPr>
        <w:t xml:space="preserve"> </w:t>
      </w:r>
      <w:r w:rsidR="00981B3A" w:rsidRPr="00020C88">
        <w:rPr>
          <w:rFonts w:ascii="Times New Roman" w:hAnsi="Times New Roman"/>
          <w:color w:val="000000"/>
          <w:sz w:val="20"/>
          <w:szCs w:val="20"/>
        </w:rPr>
        <w:t xml:space="preserve"> </w:t>
      </w:r>
    </w:p>
    <w:p w14:paraId="04CCC51A" w14:textId="77777777" w:rsidR="009028C0" w:rsidRPr="00020C88" w:rsidRDefault="009028C0" w:rsidP="00CB750F">
      <w:pPr>
        <w:spacing w:after="0" w:line="240" w:lineRule="auto"/>
        <w:jc w:val="both"/>
        <w:rPr>
          <w:rFonts w:ascii="Times New Roman" w:hAnsi="Times New Roman"/>
          <w:color w:val="000000"/>
          <w:sz w:val="20"/>
          <w:szCs w:val="20"/>
        </w:rPr>
      </w:pPr>
    </w:p>
    <w:p w14:paraId="3EB21923" w14:textId="77777777" w:rsidR="009028C0" w:rsidRPr="00020C88" w:rsidRDefault="00F615D8" w:rsidP="00CB750F">
      <w:pPr>
        <w:spacing w:after="0" w:line="240" w:lineRule="auto"/>
        <w:ind w:left="7080" w:firstLine="708"/>
        <w:jc w:val="both"/>
        <w:rPr>
          <w:rFonts w:ascii="Times New Roman" w:hAnsi="Times New Roman"/>
          <w:sz w:val="20"/>
          <w:szCs w:val="20"/>
          <w:lang w:eastAsia="sk-SK"/>
        </w:rPr>
      </w:pPr>
      <w:r w:rsidRPr="00020C88">
        <w:rPr>
          <w:rFonts w:ascii="Times New Roman" w:hAnsi="Times New Roman"/>
          <w:sz w:val="20"/>
          <w:szCs w:val="20"/>
          <w:lang w:eastAsia="sk-SK"/>
        </w:rPr>
        <w:t xml:space="preserve">        </w:t>
      </w:r>
      <w:r w:rsidR="009028C0" w:rsidRPr="00020C88">
        <w:rPr>
          <w:rFonts w:ascii="Times New Roman" w:hAnsi="Times New Roman"/>
          <w:sz w:val="20"/>
          <w:szCs w:val="20"/>
          <w:lang w:eastAsia="sk-SK"/>
        </w:rPr>
        <w:t xml:space="preserve">Tabuľka č. 2    </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1134"/>
        <w:gridCol w:w="1060"/>
        <w:gridCol w:w="1060"/>
        <w:gridCol w:w="1060"/>
      </w:tblGrid>
      <w:tr w:rsidR="009028C0" w:rsidRPr="00020C88" w14:paraId="32BF9D91" w14:textId="77777777" w:rsidTr="00C45A01">
        <w:trPr>
          <w:trHeight w:val="315"/>
          <w:jc w:val="center"/>
        </w:trPr>
        <w:tc>
          <w:tcPr>
            <w:tcW w:w="4551" w:type="dxa"/>
            <w:shd w:val="clear" w:color="000000" w:fill="A6A6A6"/>
            <w:noWrap/>
            <w:vAlign w:val="center"/>
            <w:hideMark/>
          </w:tcPr>
          <w:p w14:paraId="517B3160"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rok</w:t>
            </w:r>
          </w:p>
        </w:tc>
        <w:tc>
          <w:tcPr>
            <w:tcW w:w="1134" w:type="dxa"/>
            <w:shd w:val="clear" w:color="000000" w:fill="A6A6A6"/>
            <w:noWrap/>
            <w:vAlign w:val="center"/>
            <w:hideMark/>
          </w:tcPr>
          <w:p w14:paraId="7E220BA9"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2019</w:t>
            </w:r>
          </w:p>
        </w:tc>
        <w:tc>
          <w:tcPr>
            <w:tcW w:w="1060" w:type="dxa"/>
            <w:shd w:val="clear" w:color="000000" w:fill="A6A6A6"/>
            <w:noWrap/>
            <w:vAlign w:val="center"/>
            <w:hideMark/>
          </w:tcPr>
          <w:p w14:paraId="7B263FC9"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2020</w:t>
            </w:r>
          </w:p>
        </w:tc>
        <w:tc>
          <w:tcPr>
            <w:tcW w:w="1060" w:type="dxa"/>
            <w:shd w:val="clear" w:color="000000" w:fill="A6A6A6"/>
            <w:noWrap/>
            <w:vAlign w:val="center"/>
            <w:hideMark/>
          </w:tcPr>
          <w:p w14:paraId="056A09B8"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2021</w:t>
            </w:r>
          </w:p>
        </w:tc>
        <w:tc>
          <w:tcPr>
            <w:tcW w:w="1060" w:type="dxa"/>
            <w:shd w:val="clear" w:color="000000" w:fill="A6A6A6"/>
            <w:noWrap/>
            <w:vAlign w:val="center"/>
            <w:hideMark/>
          </w:tcPr>
          <w:p w14:paraId="50038985"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2022</w:t>
            </w:r>
          </w:p>
        </w:tc>
      </w:tr>
      <w:tr w:rsidR="009028C0" w:rsidRPr="00020C88" w14:paraId="43C0B2FA" w14:textId="77777777" w:rsidTr="00C45A01">
        <w:trPr>
          <w:trHeight w:val="315"/>
          <w:jc w:val="center"/>
        </w:trPr>
        <w:tc>
          <w:tcPr>
            <w:tcW w:w="4551" w:type="dxa"/>
            <w:noWrap/>
            <w:vAlign w:val="center"/>
            <w:hideMark/>
          </w:tcPr>
          <w:p w14:paraId="7C0C8CE1"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Sociálna poisťovňa</w:t>
            </w:r>
          </w:p>
        </w:tc>
        <w:tc>
          <w:tcPr>
            <w:tcW w:w="1134" w:type="dxa"/>
            <w:noWrap/>
            <w:vAlign w:val="center"/>
            <w:hideMark/>
          </w:tcPr>
          <w:p w14:paraId="08857F57" w14:textId="1F0FC31E" w:rsidR="009028C0" w:rsidRPr="00020C88" w:rsidRDefault="004418D6"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1 20</w:t>
            </w:r>
            <w:r w:rsidR="009028C0" w:rsidRPr="00020C88">
              <w:rPr>
                <w:rFonts w:ascii="Times New Roman" w:hAnsi="Times New Roman"/>
                <w:color w:val="000000"/>
                <w:sz w:val="20"/>
                <w:szCs w:val="20"/>
                <w:lang w:eastAsia="sk-SK"/>
              </w:rPr>
              <w:t>0 000</w:t>
            </w:r>
          </w:p>
        </w:tc>
        <w:tc>
          <w:tcPr>
            <w:tcW w:w="1060" w:type="dxa"/>
            <w:noWrap/>
            <w:vAlign w:val="center"/>
          </w:tcPr>
          <w:p w14:paraId="0472D9CB"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tcPr>
          <w:p w14:paraId="4519E22A"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tcPr>
          <w:p w14:paraId="0D063F8D"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9028C0" w:rsidRPr="00020C88" w14:paraId="28CA1F12" w14:textId="77777777" w:rsidTr="00C45A01">
        <w:trPr>
          <w:trHeight w:val="315"/>
          <w:jc w:val="center"/>
        </w:trPr>
        <w:tc>
          <w:tcPr>
            <w:tcW w:w="4551" w:type="dxa"/>
            <w:noWrap/>
            <w:vAlign w:val="center"/>
            <w:hideMark/>
          </w:tcPr>
          <w:p w14:paraId="529F07D9"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z toho:</w:t>
            </w:r>
          </w:p>
        </w:tc>
        <w:tc>
          <w:tcPr>
            <w:tcW w:w="1134" w:type="dxa"/>
            <w:noWrap/>
            <w:vAlign w:val="center"/>
            <w:hideMark/>
          </w:tcPr>
          <w:p w14:paraId="39FCE04E"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060" w:type="dxa"/>
            <w:noWrap/>
            <w:vAlign w:val="center"/>
            <w:hideMark/>
          </w:tcPr>
          <w:p w14:paraId="3535ED53"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060" w:type="dxa"/>
            <w:noWrap/>
            <w:vAlign w:val="center"/>
            <w:hideMark/>
          </w:tcPr>
          <w:p w14:paraId="70DE4C96"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c>
          <w:tcPr>
            <w:tcW w:w="1060" w:type="dxa"/>
            <w:noWrap/>
            <w:vAlign w:val="center"/>
            <w:hideMark/>
          </w:tcPr>
          <w:p w14:paraId="1B2D029E"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r>
      <w:tr w:rsidR="009028C0" w:rsidRPr="00020C88" w14:paraId="439C010C" w14:textId="77777777" w:rsidTr="00C45A01">
        <w:trPr>
          <w:trHeight w:val="315"/>
          <w:jc w:val="center"/>
        </w:trPr>
        <w:tc>
          <w:tcPr>
            <w:tcW w:w="4551" w:type="dxa"/>
            <w:noWrap/>
            <w:vAlign w:val="center"/>
            <w:hideMark/>
          </w:tcPr>
          <w:p w14:paraId="6D16CDCD"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kapitálové výdavky</w:t>
            </w:r>
          </w:p>
        </w:tc>
        <w:tc>
          <w:tcPr>
            <w:tcW w:w="1134" w:type="dxa"/>
            <w:noWrap/>
            <w:vAlign w:val="center"/>
            <w:hideMark/>
          </w:tcPr>
          <w:p w14:paraId="1EE230A1" w14:textId="3ABD16F0" w:rsidR="009028C0" w:rsidRPr="00020C88" w:rsidRDefault="004418D6"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1 20</w:t>
            </w:r>
            <w:r w:rsidR="009028C0" w:rsidRPr="00020C88">
              <w:rPr>
                <w:rFonts w:ascii="Times New Roman" w:hAnsi="Times New Roman"/>
                <w:color w:val="000000"/>
                <w:sz w:val="20"/>
                <w:szCs w:val="20"/>
                <w:lang w:eastAsia="sk-SK"/>
              </w:rPr>
              <w:t>0 000</w:t>
            </w:r>
          </w:p>
        </w:tc>
        <w:tc>
          <w:tcPr>
            <w:tcW w:w="1060" w:type="dxa"/>
            <w:noWrap/>
            <w:vAlign w:val="center"/>
            <w:hideMark/>
          </w:tcPr>
          <w:p w14:paraId="66704D67"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hideMark/>
          </w:tcPr>
          <w:p w14:paraId="7D565C1B"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hideMark/>
          </w:tcPr>
          <w:p w14:paraId="75186307"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r w:rsidR="009028C0" w:rsidRPr="00020C88" w14:paraId="28D0D352" w14:textId="77777777" w:rsidTr="00C45A01">
        <w:trPr>
          <w:trHeight w:val="315"/>
          <w:jc w:val="center"/>
        </w:trPr>
        <w:tc>
          <w:tcPr>
            <w:tcW w:w="4551" w:type="dxa"/>
            <w:noWrap/>
            <w:vAlign w:val="center"/>
            <w:hideMark/>
          </w:tcPr>
          <w:p w14:paraId="52E10CCA"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xml:space="preserve">  prevádzkové náklady </w:t>
            </w:r>
          </w:p>
        </w:tc>
        <w:tc>
          <w:tcPr>
            <w:tcW w:w="1134" w:type="dxa"/>
            <w:noWrap/>
            <w:vAlign w:val="center"/>
            <w:hideMark/>
          </w:tcPr>
          <w:p w14:paraId="1EB47CA6"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tcPr>
          <w:p w14:paraId="0D1EA8ED"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tcPr>
          <w:p w14:paraId="6C433D8C"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060" w:type="dxa"/>
            <w:noWrap/>
            <w:vAlign w:val="center"/>
          </w:tcPr>
          <w:p w14:paraId="6A9D1F90" w14:textId="77777777" w:rsidR="009028C0" w:rsidRPr="00020C88" w:rsidRDefault="009028C0"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r>
    </w:tbl>
    <w:p w14:paraId="6E47BBDD" w14:textId="77777777" w:rsidR="009028C0" w:rsidRPr="00020C88" w:rsidRDefault="009028C0" w:rsidP="00CB750F">
      <w:pPr>
        <w:spacing w:after="0" w:line="240" w:lineRule="auto"/>
        <w:jc w:val="both"/>
        <w:rPr>
          <w:rFonts w:ascii="Times New Roman" w:hAnsi="Times New Roman"/>
          <w:b/>
          <w:bCs/>
          <w:sz w:val="20"/>
          <w:szCs w:val="20"/>
          <w:lang w:eastAsia="sk-SK"/>
        </w:rPr>
      </w:pPr>
    </w:p>
    <w:p w14:paraId="50FF0DA3" w14:textId="577E139E" w:rsidR="009028C0" w:rsidRPr="00020C88" w:rsidRDefault="009028C0" w:rsidP="00CB750F">
      <w:pPr>
        <w:spacing w:after="0" w:line="240" w:lineRule="auto"/>
        <w:jc w:val="both"/>
        <w:rPr>
          <w:rFonts w:ascii="Times New Roman" w:hAnsi="Times New Roman"/>
          <w:color w:val="000000"/>
          <w:sz w:val="20"/>
          <w:szCs w:val="20"/>
        </w:rPr>
      </w:pPr>
      <w:r w:rsidRPr="00020C88">
        <w:rPr>
          <w:rFonts w:ascii="Times New Roman" w:hAnsi="Times New Roman"/>
          <w:color w:val="000000"/>
          <w:sz w:val="20"/>
          <w:szCs w:val="20"/>
        </w:rPr>
        <w:t xml:space="preserve">Z uvedených </w:t>
      </w:r>
      <w:r w:rsidR="004418D6" w:rsidRPr="00020C88">
        <w:rPr>
          <w:rFonts w:ascii="Times New Roman" w:hAnsi="Times New Roman"/>
          <w:color w:val="000000"/>
          <w:sz w:val="20"/>
          <w:szCs w:val="20"/>
        </w:rPr>
        <w:t>1,2 mil.</w:t>
      </w:r>
      <w:r w:rsidRPr="00020C88">
        <w:rPr>
          <w:rFonts w:ascii="Times New Roman" w:hAnsi="Times New Roman"/>
          <w:color w:val="000000"/>
          <w:sz w:val="20"/>
          <w:szCs w:val="20"/>
        </w:rPr>
        <w:t xml:space="preserve"> eur sa predpokladá suma </w:t>
      </w:r>
      <w:r w:rsidR="003E196D" w:rsidRPr="00020C88">
        <w:rPr>
          <w:rFonts w:ascii="Times New Roman" w:hAnsi="Times New Roman"/>
          <w:color w:val="000000"/>
          <w:sz w:val="20"/>
          <w:szCs w:val="20"/>
        </w:rPr>
        <w:t>0,</w:t>
      </w:r>
      <w:r w:rsidR="004418D6" w:rsidRPr="00020C88">
        <w:rPr>
          <w:rFonts w:ascii="Times New Roman" w:hAnsi="Times New Roman"/>
          <w:color w:val="000000"/>
          <w:sz w:val="20"/>
          <w:szCs w:val="20"/>
        </w:rPr>
        <w:t>7</w:t>
      </w:r>
      <w:r w:rsidR="003E196D" w:rsidRPr="00020C88">
        <w:rPr>
          <w:rFonts w:ascii="Times New Roman" w:hAnsi="Times New Roman"/>
          <w:color w:val="000000"/>
          <w:sz w:val="20"/>
          <w:szCs w:val="20"/>
        </w:rPr>
        <w:t xml:space="preserve"> mil</w:t>
      </w:r>
      <w:r w:rsidRPr="00020C88">
        <w:rPr>
          <w:rFonts w:ascii="Times New Roman" w:hAnsi="Times New Roman"/>
          <w:color w:val="000000"/>
          <w:sz w:val="20"/>
          <w:szCs w:val="20"/>
        </w:rPr>
        <w:t>. eur na informačný systém nemocenského poistenia a lekárskej posudkovej činnosti a</w:t>
      </w:r>
      <w:r w:rsidR="003E196D" w:rsidRPr="00020C88">
        <w:rPr>
          <w:rFonts w:ascii="Times New Roman" w:hAnsi="Times New Roman"/>
          <w:color w:val="000000"/>
          <w:sz w:val="20"/>
          <w:szCs w:val="20"/>
        </w:rPr>
        <w:t> 0,</w:t>
      </w:r>
      <w:r w:rsidRPr="00020C88">
        <w:rPr>
          <w:rFonts w:ascii="Times New Roman" w:hAnsi="Times New Roman"/>
          <w:color w:val="000000"/>
          <w:sz w:val="20"/>
          <w:szCs w:val="20"/>
        </w:rPr>
        <w:t>5</w:t>
      </w:r>
      <w:r w:rsidR="003E196D" w:rsidRPr="00020C88">
        <w:rPr>
          <w:rFonts w:ascii="Times New Roman" w:hAnsi="Times New Roman"/>
          <w:color w:val="000000"/>
          <w:sz w:val="20"/>
          <w:szCs w:val="20"/>
        </w:rPr>
        <w:t xml:space="preserve"> mil</w:t>
      </w:r>
      <w:r w:rsidRPr="00020C88">
        <w:rPr>
          <w:rFonts w:ascii="Times New Roman" w:hAnsi="Times New Roman"/>
          <w:color w:val="000000"/>
          <w:sz w:val="20"/>
          <w:szCs w:val="20"/>
        </w:rPr>
        <w:t>. eur na informačný systém jednotného výberu</w:t>
      </w:r>
      <w:r w:rsidR="000B49D5" w:rsidRPr="00020C88">
        <w:rPr>
          <w:rFonts w:ascii="Times New Roman" w:hAnsi="Times New Roman"/>
          <w:color w:val="000000"/>
          <w:sz w:val="20"/>
          <w:szCs w:val="20"/>
        </w:rPr>
        <w:t xml:space="preserve"> poistného. Výdavky Sociálnej poisťovne v roku 2019 na zmenu a aktualizáciu informačného systému budú finančne zabezpečené príjmami/prostriedkami zo Správneho fondu Sociálnej poisťovne. V ďalších rokoch </w:t>
      </w:r>
      <w:r w:rsidRPr="00020C88">
        <w:rPr>
          <w:rFonts w:ascii="Times New Roman" w:hAnsi="Times New Roman"/>
          <w:color w:val="000000"/>
          <w:sz w:val="20"/>
          <w:szCs w:val="20"/>
        </w:rPr>
        <w:t>budú výdavky na podporu informačných systémov súvisiace s uvedenou novelou zabezpečené v rámci paušálov z aktuálnych zmluvných vzťahov.</w:t>
      </w:r>
    </w:p>
    <w:p w14:paraId="63BB05E5" w14:textId="77777777" w:rsidR="009028C0" w:rsidRPr="00020C88" w:rsidRDefault="009028C0" w:rsidP="00CB750F">
      <w:pPr>
        <w:spacing w:after="0" w:line="240" w:lineRule="auto"/>
        <w:jc w:val="both"/>
        <w:rPr>
          <w:rFonts w:ascii="Times New Roman" w:hAnsi="Times New Roman"/>
          <w:color w:val="000000"/>
          <w:sz w:val="20"/>
          <w:szCs w:val="20"/>
        </w:rPr>
      </w:pPr>
    </w:p>
    <w:p w14:paraId="1C983157" w14:textId="77777777" w:rsidR="00D57829" w:rsidRPr="00020C88" w:rsidRDefault="007D5748"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 xml:space="preserve">2.2.4. </w:t>
      </w:r>
      <w:r w:rsidR="00D57829" w:rsidRPr="00020C88">
        <w:rPr>
          <w:rFonts w:ascii="Times New Roman" w:hAnsi="Times New Roman"/>
          <w:b/>
          <w:bCs/>
          <w:sz w:val="20"/>
          <w:szCs w:val="20"/>
          <w:lang w:eastAsia="sk-SK"/>
        </w:rPr>
        <w:t>Výpočty vplyvov celkovo</w:t>
      </w:r>
    </w:p>
    <w:p w14:paraId="15A99BB1" w14:textId="77777777" w:rsidR="008E59EB" w:rsidRPr="00020C88" w:rsidRDefault="008E59EB" w:rsidP="00CB750F">
      <w:pPr>
        <w:autoSpaceDE w:val="0"/>
        <w:autoSpaceDN w:val="0"/>
        <w:adjustRightInd w:val="0"/>
        <w:spacing w:after="0" w:line="240" w:lineRule="auto"/>
        <w:jc w:val="both"/>
        <w:rPr>
          <w:rFonts w:ascii="Times New Roman" w:hAnsi="Times New Roman"/>
          <w:bCs/>
          <w:sz w:val="20"/>
          <w:szCs w:val="20"/>
        </w:rPr>
      </w:pPr>
    </w:p>
    <w:p w14:paraId="26C69AE9" w14:textId="1AFEC4F9" w:rsidR="008E59EB" w:rsidRPr="00020C88" w:rsidRDefault="008E59EB" w:rsidP="00CB750F">
      <w:pPr>
        <w:autoSpaceDE w:val="0"/>
        <w:autoSpaceDN w:val="0"/>
        <w:adjustRightInd w:val="0"/>
        <w:spacing w:after="0" w:line="240" w:lineRule="auto"/>
        <w:jc w:val="both"/>
        <w:rPr>
          <w:rFonts w:ascii="Times New Roman" w:hAnsi="Times New Roman"/>
          <w:color w:val="000000" w:themeColor="text1"/>
          <w:sz w:val="20"/>
          <w:szCs w:val="20"/>
        </w:rPr>
      </w:pPr>
      <w:r w:rsidRPr="00020C88">
        <w:rPr>
          <w:rFonts w:ascii="Times New Roman" w:hAnsi="Times New Roman"/>
          <w:bCs/>
          <w:sz w:val="20"/>
          <w:szCs w:val="20"/>
        </w:rPr>
        <w:t xml:space="preserve">Predmetný návrh zákona </w:t>
      </w:r>
      <w:r w:rsidRPr="00020C88">
        <w:rPr>
          <w:rFonts w:ascii="Times New Roman" w:hAnsi="Times New Roman"/>
          <w:sz w:val="20"/>
          <w:szCs w:val="20"/>
        </w:rPr>
        <w:t>má priamy vplyv na rozpočet verejnej správy v rokoch 20</w:t>
      </w:r>
      <w:r w:rsidR="00762B0D" w:rsidRPr="00020C88">
        <w:rPr>
          <w:rFonts w:ascii="Times New Roman" w:hAnsi="Times New Roman"/>
          <w:sz w:val="20"/>
          <w:szCs w:val="20"/>
        </w:rPr>
        <w:t>19</w:t>
      </w:r>
      <w:r w:rsidRPr="00020C88">
        <w:rPr>
          <w:rFonts w:ascii="Times New Roman" w:hAnsi="Times New Roman"/>
          <w:sz w:val="20"/>
          <w:szCs w:val="20"/>
        </w:rPr>
        <w:t xml:space="preserve"> až 2022. Kvantifikácia predpokladá negatívny vplyv na rozpočet verejnej správy v roku 2019 na úrovni cca  </w:t>
      </w:r>
      <w:r w:rsidR="00762B0D" w:rsidRPr="00020C88">
        <w:rPr>
          <w:rFonts w:ascii="Times New Roman" w:hAnsi="Times New Roman"/>
          <w:sz w:val="20"/>
          <w:szCs w:val="20"/>
        </w:rPr>
        <w:t xml:space="preserve">1,2 </w:t>
      </w:r>
      <w:r w:rsidRPr="00020C88">
        <w:rPr>
          <w:rFonts w:ascii="Times New Roman" w:hAnsi="Times New Roman"/>
          <w:sz w:val="20"/>
          <w:szCs w:val="20"/>
        </w:rPr>
        <w:t xml:space="preserve">mil. eur; v roku 2020 na úrovni cca </w:t>
      </w:r>
      <w:r w:rsidR="00043791">
        <w:rPr>
          <w:rFonts w:ascii="Times New Roman" w:hAnsi="Times New Roman"/>
          <w:sz w:val="20"/>
          <w:szCs w:val="20"/>
        </w:rPr>
        <w:t>17</w:t>
      </w:r>
      <w:r w:rsidR="00762B0D" w:rsidRPr="00020C88">
        <w:rPr>
          <w:rFonts w:ascii="Times New Roman" w:hAnsi="Times New Roman"/>
          <w:sz w:val="20"/>
          <w:szCs w:val="20"/>
        </w:rPr>
        <w:t>,</w:t>
      </w:r>
      <w:r w:rsidR="00043791">
        <w:rPr>
          <w:rFonts w:ascii="Times New Roman" w:hAnsi="Times New Roman"/>
          <w:sz w:val="20"/>
          <w:szCs w:val="20"/>
        </w:rPr>
        <w:t>3</w:t>
      </w:r>
      <w:r w:rsidR="00762B0D" w:rsidRPr="00020C88">
        <w:rPr>
          <w:rFonts w:ascii="Times New Roman" w:hAnsi="Times New Roman"/>
          <w:sz w:val="20"/>
          <w:szCs w:val="20"/>
        </w:rPr>
        <w:t xml:space="preserve"> </w:t>
      </w:r>
      <w:r w:rsidRPr="00020C88">
        <w:rPr>
          <w:rFonts w:ascii="Times New Roman" w:hAnsi="Times New Roman"/>
          <w:sz w:val="20"/>
          <w:szCs w:val="20"/>
        </w:rPr>
        <w:t xml:space="preserve"> mil. eur; v roku 2021 na úrovni cca</w:t>
      </w:r>
      <w:r w:rsidRPr="00020C88">
        <w:rPr>
          <w:rFonts w:ascii="Times New Roman" w:hAnsi="Times New Roman"/>
          <w:color w:val="000000" w:themeColor="text1"/>
          <w:sz w:val="20"/>
          <w:szCs w:val="20"/>
        </w:rPr>
        <w:t xml:space="preserve"> </w:t>
      </w:r>
      <w:r w:rsidR="00043791">
        <w:rPr>
          <w:rFonts w:ascii="Times New Roman" w:hAnsi="Times New Roman"/>
          <w:color w:val="000000" w:themeColor="text1"/>
          <w:sz w:val="20"/>
          <w:szCs w:val="20"/>
        </w:rPr>
        <w:t>24,8</w:t>
      </w:r>
      <w:r w:rsidRPr="00020C88">
        <w:rPr>
          <w:rFonts w:ascii="Times New Roman" w:hAnsi="Times New Roman"/>
          <w:color w:val="000000" w:themeColor="text1"/>
          <w:sz w:val="20"/>
          <w:szCs w:val="20"/>
        </w:rPr>
        <w:t xml:space="preserve"> mil. eur a v roku 2022 na úrovni cca </w:t>
      </w:r>
      <w:r w:rsidR="00762B0D" w:rsidRPr="00020C88">
        <w:rPr>
          <w:rFonts w:ascii="Times New Roman" w:hAnsi="Times New Roman"/>
          <w:color w:val="000000" w:themeColor="text1"/>
          <w:sz w:val="20"/>
          <w:szCs w:val="20"/>
        </w:rPr>
        <w:t>2</w:t>
      </w:r>
      <w:r w:rsidR="00043791">
        <w:rPr>
          <w:rFonts w:ascii="Times New Roman" w:hAnsi="Times New Roman"/>
          <w:color w:val="000000" w:themeColor="text1"/>
          <w:sz w:val="20"/>
          <w:szCs w:val="20"/>
        </w:rPr>
        <w:t xml:space="preserve">7, 5 </w:t>
      </w:r>
      <w:r w:rsidRPr="00020C88">
        <w:rPr>
          <w:rFonts w:ascii="Times New Roman" w:hAnsi="Times New Roman"/>
          <w:color w:val="000000" w:themeColor="text1"/>
          <w:sz w:val="20"/>
          <w:szCs w:val="20"/>
        </w:rPr>
        <w:t>mil. eur.</w:t>
      </w:r>
    </w:p>
    <w:p w14:paraId="206F19BD" w14:textId="77777777" w:rsidR="008459FC" w:rsidRPr="00020C88" w:rsidRDefault="008459FC" w:rsidP="00CB750F">
      <w:pPr>
        <w:spacing w:after="0" w:line="240" w:lineRule="auto"/>
        <w:jc w:val="both"/>
        <w:rPr>
          <w:rFonts w:ascii="Times New Roman" w:hAnsi="Times New Roman"/>
          <w:b/>
          <w:bCs/>
          <w:sz w:val="20"/>
          <w:szCs w:val="20"/>
          <w:lang w:eastAsia="sk-SK"/>
        </w:rPr>
      </w:pPr>
    </w:p>
    <w:p w14:paraId="08B9F5AA" w14:textId="68C31E52" w:rsidR="007D5748" w:rsidRPr="00020C88" w:rsidRDefault="007D5748"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 xml:space="preserve">Výpočty vplyvov na </w:t>
      </w:r>
      <w:r w:rsidR="00312AAC" w:rsidRPr="00020C88">
        <w:rPr>
          <w:rFonts w:ascii="Times New Roman" w:hAnsi="Times New Roman"/>
          <w:b/>
          <w:bCs/>
          <w:sz w:val="20"/>
          <w:szCs w:val="20"/>
          <w:lang w:eastAsia="sk-SK"/>
        </w:rPr>
        <w:t>Sociálnu poisťovňu</w:t>
      </w:r>
    </w:p>
    <w:p w14:paraId="6112308E" w14:textId="77777777" w:rsidR="00987F10" w:rsidRPr="00020C88" w:rsidRDefault="00987F10" w:rsidP="00CB750F">
      <w:pPr>
        <w:autoSpaceDE w:val="0"/>
        <w:autoSpaceDN w:val="0"/>
        <w:adjustRightInd w:val="0"/>
        <w:spacing w:after="0" w:line="240" w:lineRule="auto"/>
        <w:jc w:val="both"/>
        <w:rPr>
          <w:rFonts w:ascii="Times New Roman" w:hAnsi="Times New Roman"/>
          <w:bCs/>
          <w:sz w:val="20"/>
          <w:szCs w:val="20"/>
        </w:rPr>
      </w:pPr>
    </w:p>
    <w:p w14:paraId="7E87F897" w14:textId="3B2E3497" w:rsidR="00577CEC" w:rsidRPr="00020C88" w:rsidRDefault="00CA09D8" w:rsidP="00CB750F">
      <w:pPr>
        <w:autoSpaceDE w:val="0"/>
        <w:autoSpaceDN w:val="0"/>
        <w:adjustRightInd w:val="0"/>
        <w:spacing w:after="0" w:line="240" w:lineRule="auto"/>
        <w:jc w:val="both"/>
        <w:rPr>
          <w:rFonts w:ascii="Times New Roman" w:hAnsi="Times New Roman"/>
          <w:sz w:val="20"/>
          <w:szCs w:val="20"/>
        </w:rPr>
      </w:pPr>
      <w:r w:rsidRPr="00020C88">
        <w:rPr>
          <w:rFonts w:ascii="Times New Roman" w:hAnsi="Times New Roman"/>
          <w:bCs/>
          <w:sz w:val="20"/>
          <w:szCs w:val="20"/>
        </w:rPr>
        <w:t>Predmetný návrh zákona</w:t>
      </w:r>
      <w:r w:rsidR="00634A13" w:rsidRPr="00020C88">
        <w:rPr>
          <w:rFonts w:ascii="Times New Roman" w:hAnsi="Times New Roman"/>
          <w:bCs/>
          <w:sz w:val="20"/>
          <w:szCs w:val="20"/>
        </w:rPr>
        <w:t xml:space="preserve"> </w:t>
      </w:r>
      <w:r w:rsidR="00987F10" w:rsidRPr="00020C88">
        <w:rPr>
          <w:rFonts w:ascii="Times New Roman" w:hAnsi="Times New Roman"/>
          <w:sz w:val="20"/>
          <w:szCs w:val="20"/>
        </w:rPr>
        <w:t>má priamy vplyv na rozpoč</w:t>
      </w:r>
      <w:r w:rsidR="00843E52" w:rsidRPr="00020C88">
        <w:rPr>
          <w:rFonts w:ascii="Times New Roman" w:hAnsi="Times New Roman"/>
          <w:sz w:val="20"/>
          <w:szCs w:val="20"/>
        </w:rPr>
        <w:t>et verejnej správy v rokoch 20</w:t>
      </w:r>
      <w:r w:rsidR="00F615D8" w:rsidRPr="00020C88">
        <w:rPr>
          <w:rFonts w:ascii="Times New Roman" w:hAnsi="Times New Roman"/>
          <w:sz w:val="20"/>
          <w:szCs w:val="20"/>
        </w:rPr>
        <w:t>19</w:t>
      </w:r>
      <w:r w:rsidR="00605468" w:rsidRPr="00020C88">
        <w:rPr>
          <w:rFonts w:ascii="Times New Roman" w:hAnsi="Times New Roman"/>
          <w:sz w:val="20"/>
          <w:szCs w:val="20"/>
        </w:rPr>
        <w:t xml:space="preserve"> až 2022</w:t>
      </w:r>
      <w:r w:rsidR="001173DB" w:rsidRPr="00020C88">
        <w:rPr>
          <w:rFonts w:ascii="Times New Roman" w:hAnsi="Times New Roman"/>
          <w:sz w:val="20"/>
          <w:szCs w:val="20"/>
        </w:rPr>
        <w:t>. Kvantifikácia predpokladá</w:t>
      </w:r>
      <w:r w:rsidR="00486E96" w:rsidRPr="00020C88">
        <w:rPr>
          <w:rFonts w:ascii="Times New Roman" w:hAnsi="Times New Roman"/>
          <w:sz w:val="20"/>
          <w:szCs w:val="20"/>
        </w:rPr>
        <w:t xml:space="preserve"> </w:t>
      </w:r>
      <w:r w:rsidR="00E21461" w:rsidRPr="00020C88">
        <w:rPr>
          <w:rFonts w:ascii="Times New Roman" w:hAnsi="Times New Roman"/>
          <w:sz w:val="20"/>
          <w:szCs w:val="20"/>
        </w:rPr>
        <w:t>negatívny vplyv na rozpočet verejnej správy v roku 201</w:t>
      </w:r>
      <w:r w:rsidR="00E775DF" w:rsidRPr="00020C88">
        <w:rPr>
          <w:rFonts w:ascii="Times New Roman" w:hAnsi="Times New Roman"/>
          <w:sz w:val="20"/>
          <w:szCs w:val="20"/>
        </w:rPr>
        <w:t>9</w:t>
      </w:r>
      <w:r w:rsidR="00E21461" w:rsidRPr="00020C88">
        <w:rPr>
          <w:rFonts w:ascii="Times New Roman" w:hAnsi="Times New Roman"/>
          <w:sz w:val="20"/>
          <w:szCs w:val="20"/>
        </w:rPr>
        <w:t xml:space="preserve"> na úrovni</w:t>
      </w:r>
      <w:r w:rsidR="007E778A" w:rsidRPr="00020C88">
        <w:rPr>
          <w:rFonts w:ascii="Times New Roman" w:hAnsi="Times New Roman"/>
          <w:sz w:val="20"/>
          <w:szCs w:val="20"/>
        </w:rPr>
        <w:t xml:space="preserve"> cca</w:t>
      </w:r>
      <w:r w:rsidR="00E21461" w:rsidRPr="00020C88">
        <w:rPr>
          <w:rFonts w:ascii="Times New Roman" w:hAnsi="Times New Roman"/>
          <w:sz w:val="20"/>
          <w:szCs w:val="20"/>
        </w:rPr>
        <w:t xml:space="preserve"> </w:t>
      </w:r>
      <w:r w:rsidR="004418D6" w:rsidRPr="00020C88">
        <w:rPr>
          <w:rFonts w:ascii="Times New Roman" w:hAnsi="Times New Roman"/>
          <w:sz w:val="20"/>
          <w:szCs w:val="20"/>
        </w:rPr>
        <w:t>1,2</w:t>
      </w:r>
      <w:r w:rsidR="00E21461" w:rsidRPr="00020C88">
        <w:rPr>
          <w:rFonts w:ascii="Times New Roman" w:hAnsi="Times New Roman"/>
          <w:sz w:val="20"/>
          <w:szCs w:val="20"/>
        </w:rPr>
        <w:t xml:space="preserve"> mil. eur</w:t>
      </w:r>
      <w:r w:rsidR="00C96236" w:rsidRPr="00020C88">
        <w:rPr>
          <w:rFonts w:ascii="Times New Roman" w:hAnsi="Times New Roman"/>
          <w:sz w:val="20"/>
          <w:szCs w:val="20"/>
        </w:rPr>
        <w:t>;</w:t>
      </w:r>
      <w:r w:rsidR="00E21461" w:rsidRPr="00020C88">
        <w:rPr>
          <w:rFonts w:ascii="Times New Roman" w:hAnsi="Times New Roman"/>
          <w:sz w:val="20"/>
          <w:szCs w:val="20"/>
        </w:rPr>
        <w:t xml:space="preserve"> </w:t>
      </w:r>
      <w:r w:rsidR="00643592" w:rsidRPr="00020C88">
        <w:rPr>
          <w:rFonts w:ascii="Times New Roman" w:hAnsi="Times New Roman"/>
          <w:sz w:val="20"/>
          <w:szCs w:val="20"/>
        </w:rPr>
        <w:t xml:space="preserve">v roku 2020 na úrovni cca </w:t>
      </w:r>
      <w:r w:rsidR="00344928" w:rsidRPr="00020C88">
        <w:rPr>
          <w:rFonts w:ascii="Times New Roman" w:hAnsi="Times New Roman"/>
          <w:sz w:val="20"/>
          <w:szCs w:val="20"/>
        </w:rPr>
        <w:t>8,</w:t>
      </w:r>
      <w:r w:rsidR="00AC3971" w:rsidRPr="00020C88">
        <w:rPr>
          <w:rFonts w:ascii="Times New Roman" w:hAnsi="Times New Roman"/>
          <w:sz w:val="20"/>
          <w:szCs w:val="20"/>
        </w:rPr>
        <w:t>7</w:t>
      </w:r>
      <w:r w:rsidR="00605468" w:rsidRPr="00020C88">
        <w:rPr>
          <w:rFonts w:ascii="Times New Roman" w:hAnsi="Times New Roman"/>
          <w:sz w:val="20"/>
          <w:szCs w:val="20"/>
        </w:rPr>
        <w:t xml:space="preserve"> mil. eur</w:t>
      </w:r>
      <w:r w:rsidR="00B36B33" w:rsidRPr="00020C88">
        <w:rPr>
          <w:rFonts w:ascii="Times New Roman" w:hAnsi="Times New Roman"/>
          <w:sz w:val="20"/>
          <w:szCs w:val="20"/>
        </w:rPr>
        <w:t>;</w:t>
      </w:r>
      <w:r w:rsidR="00605468" w:rsidRPr="00020C88">
        <w:rPr>
          <w:rFonts w:ascii="Times New Roman" w:hAnsi="Times New Roman"/>
          <w:sz w:val="20"/>
          <w:szCs w:val="20"/>
        </w:rPr>
        <w:t xml:space="preserve"> </w:t>
      </w:r>
      <w:r w:rsidR="00E775DF" w:rsidRPr="00020C88">
        <w:rPr>
          <w:rFonts w:ascii="Times New Roman" w:hAnsi="Times New Roman"/>
          <w:sz w:val="20"/>
          <w:szCs w:val="20"/>
        </w:rPr>
        <w:t xml:space="preserve">v roku 2021 </w:t>
      </w:r>
      <w:r w:rsidR="00987F10" w:rsidRPr="00020C88">
        <w:rPr>
          <w:rFonts w:ascii="Times New Roman" w:hAnsi="Times New Roman"/>
          <w:sz w:val="20"/>
          <w:szCs w:val="20"/>
        </w:rPr>
        <w:t>na úrovni</w:t>
      </w:r>
      <w:r w:rsidR="00861800" w:rsidRPr="00020C88">
        <w:rPr>
          <w:rFonts w:ascii="Times New Roman" w:hAnsi="Times New Roman"/>
          <w:sz w:val="20"/>
          <w:szCs w:val="20"/>
        </w:rPr>
        <w:t xml:space="preserve"> cca</w:t>
      </w:r>
      <w:r w:rsidR="003464DE" w:rsidRPr="00020C88">
        <w:rPr>
          <w:rFonts w:ascii="Times New Roman" w:hAnsi="Times New Roman"/>
          <w:sz w:val="20"/>
          <w:szCs w:val="20"/>
        </w:rPr>
        <w:t xml:space="preserve"> </w:t>
      </w:r>
      <w:r w:rsidR="004418D6" w:rsidRPr="00020C88">
        <w:rPr>
          <w:rFonts w:ascii="Times New Roman" w:hAnsi="Times New Roman"/>
          <w:sz w:val="20"/>
          <w:szCs w:val="20"/>
        </w:rPr>
        <w:t>13,3</w:t>
      </w:r>
      <w:r w:rsidR="002674E3" w:rsidRPr="00020C88">
        <w:rPr>
          <w:rFonts w:ascii="Times New Roman" w:hAnsi="Times New Roman"/>
          <w:sz w:val="20"/>
          <w:szCs w:val="20"/>
        </w:rPr>
        <w:t xml:space="preserve"> mil</w:t>
      </w:r>
      <w:r w:rsidR="001173DB" w:rsidRPr="00020C88">
        <w:rPr>
          <w:rFonts w:ascii="Times New Roman" w:hAnsi="Times New Roman"/>
          <w:sz w:val="20"/>
          <w:szCs w:val="20"/>
        </w:rPr>
        <w:t>. eur</w:t>
      </w:r>
      <w:r w:rsidR="00605468" w:rsidRPr="00020C88">
        <w:rPr>
          <w:rFonts w:ascii="Times New Roman" w:hAnsi="Times New Roman"/>
          <w:sz w:val="20"/>
          <w:szCs w:val="20"/>
        </w:rPr>
        <w:t xml:space="preserve"> a v roku 2022 na úrovni cca </w:t>
      </w:r>
      <w:r w:rsidR="004418D6" w:rsidRPr="00020C88">
        <w:rPr>
          <w:rFonts w:ascii="Times New Roman" w:hAnsi="Times New Roman"/>
          <w:sz w:val="20"/>
          <w:szCs w:val="20"/>
        </w:rPr>
        <w:t>14,6</w:t>
      </w:r>
      <w:r w:rsidR="00605468" w:rsidRPr="00020C88">
        <w:rPr>
          <w:rFonts w:ascii="Times New Roman" w:hAnsi="Times New Roman"/>
          <w:sz w:val="20"/>
          <w:szCs w:val="20"/>
        </w:rPr>
        <w:t xml:space="preserve"> mil. eur.</w:t>
      </w:r>
    </w:p>
    <w:p w14:paraId="03C04633" w14:textId="77777777" w:rsidR="004445AD" w:rsidRPr="00020C88" w:rsidRDefault="004445AD" w:rsidP="00CB750F">
      <w:pPr>
        <w:spacing w:after="0" w:line="240" w:lineRule="auto"/>
        <w:jc w:val="both"/>
        <w:rPr>
          <w:rFonts w:ascii="Times New Roman" w:hAnsi="Times New Roman"/>
          <w:color w:val="000000" w:themeColor="text1"/>
          <w:sz w:val="20"/>
          <w:szCs w:val="20"/>
        </w:rPr>
      </w:pPr>
    </w:p>
    <w:p w14:paraId="0251CC87" w14:textId="77777777" w:rsidR="00631D94" w:rsidRPr="00020C88" w:rsidRDefault="00631D94" w:rsidP="00CB750F">
      <w:pPr>
        <w:spacing w:after="0" w:line="240" w:lineRule="auto"/>
        <w:jc w:val="both"/>
        <w:rPr>
          <w:rFonts w:ascii="Times New Roman" w:hAnsi="Times New Roman"/>
          <w:b/>
          <w:bCs/>
          <w:iCs/>
          <w:sz w:val="20"/>
          <w:szCs w:val="20"/>
        </w:rPr>
      </w:pPr>
      <w:r w:rsidRPr="00020C88">
        <w:rPr>
          <w:rFonts w:ascii="Times New Roman" w:hAnsi="Times New Roman"/>
          <w:b/>
          <w:bCs/>
          <w:iCs/>
          <w:sz w:val="20"/>
          <w:szCs w:val="20"/>
        </w:rPr>
        <w:t>2.2.4.1 Kvantifikácia príjmov</w:t>
      </w:r>
      <w:r w:rsidR="00312AAC" w:rsidRPr="00020C88">
        <w:rPr>
          <w:rFonts w:ascii="Times New Roman" w:hAnsi="Times New Roman"/>
          <w:b/>
          <w:bCs/>
          <w:iCs/>
          <w:sz w:val="20"/>
          <w:szCs w:val="20"/>
        </w:rPr>
        <w:t xml:space="preserve"> Sociálnej poisťovne</w:t>
      </w:r>
    </w:p>
    <w:p w14:paraId="171FFAC9" w14:textId="77777777" w:rsidR="00DB1C7D" w:rsidRPr="00020C88" w:rsidRDefault="00DB1C7D" w:rsidP="00CB750F">
      <w:pPr>
        <w:spacing w:after="0" w:line="240" w:lineRule="auto"/>
        <w:jc w:val="both"/>
        <w:rPr>
          <w:rFonts w:ascii="Times New Roman" w:hAnsi="Times New Roman"/>
          <w:sz w:val="20"/>
          <w:szCs w:val="20"/>
          <w:lang w:eastAsia="sk-SK"/>
        </w:rPr>
      </w:pPr>
    </w:p>
    <w:p w14:paraId="40E4BD26" w14:textId="77777777" w:rsidR="008E6C99" w:rsidRPr="00020C88" w:rsidRDefault="00643592" w:rsidP="00CB750F">
      <w:pPr>
        <w:spacing w:after="0" w:line="240" w:lineRule="auto"/>
        <w:jc w:val="both"/>
        <w:rPr>
          <w:rFonts w:ascii="Times New Roman" w:hAnsi="Times New Roman"/>
          <w:color w:val="000000"/>
          <w:sz w:val="20"/>
          <w:szCs w:val="20"/>
        </w:rPr>
      </w:pPr>
      <w:r w:rsidRPr="00020C88">
        <w:rPr>
          <w:rFonts w:ascii="Times New Roman" w:hAnsi="Times New Roman"/>
          <w:color w:val="000000"/>
          <w:sz w:val="20"/>
          <w:szCs w:val="20"/>
        </w:rPr>
        <w:t>Uvedená právna úprava nezakladá vplyv</w:t>
      </w:r>
      <w:r w:rsidR="00605468" w:rsidRPr="00020C88">
        <w:rPr>
          <w:rFonts w:ascii="Times New Roman" w:hAnsi="Times New Roman"/>
          <w:color w:val="000000"/>
          <w:sz w:val="20"/>
          <w:szCs w:val="20"/>
        </w:rPr>
        <w:t>y</w:t>
      </w:r>
      <w:r w:rsidRPr="00020C88">
        <w:rPr>
          <w:rFonts w:ascii="Times New Roman" w:hAnsi="Times New Roman"/>
          <w:color w:val="000000"/>
          <w:sz w:val="20"/>
          <w:szCs w:val="20"/>
        </w:rPr>
        <w:t xml:space="preserve"> na príjmy verejnej správy</w:t>
      </w:r>
      <w:r w:rsidR="00605468" w:rsidRPr="00020C88">
        <w:rPr>
          <w:rFonts w:ascii="Times New Roman" w:hAnsi="Times New Roman"/>
          <w:color w:val="000000"/>
          <w:sz w:val="20"/>
          <w:szCs w:val="20"/>
        </w:rPr>
        <w:t>, t. j. nezvyšuje ich ale ani ich neznižuje.</w:t>
      </w:r>
      <w:r w:rsidR="00634A13" w:rsidRPr="00020C88">
        <w:rPr>
          <w:rFonts w:ascii="Times New Roman" w:hAnsi="Times New Roman"/>
          <w:color w:val="000000"/>
          <w:sz w:val="20"/>
          <w:szCs w:val="20"/>
        </w:rPr>
        <w:t xml:space="preserve"> </w:t>
      </w:r>
    </w:p>
    <w:p w14:paraId="22393A44" w14:textId="77777777" w:rsidR="0040650B" w:rsidRPr="00020C88" w:rsidRDefault="0040650B" w:rsidP="00CB750F">
      <w:pPr>
        <w:spacing w:after="0" w:line="240" w:lineRule="auto"/>
        <w:jc w:val="both"/>
        <w:rPr>
          <w:rFonts w:ascii="Times New Roman" w:hAnsi="Times New Roman"/>
          <w:sz w:val="20"/>
          <w:szCs w:val="20"/>
          <w:lang w:eastAsia="sk-SK"/>
        </w:rPr>
      </w:pPr>
    </w:p>
    <w:p w14:paraId="087D05EB" w14:textId="77777777" w:rsidR="009C4678" w:rsidRPr="00020C88" w:rsidRDefault="009C6B26" w:rsidP="00CB750F">
      <w:pPr>
        <w:spacing w:after="0" w:line="240" w:lineRule="auto"/>
        <w:ind w:left="7080" w:firstLine="708"/>
        <w:jc w:val="both"/>
        <w:rPr>
          <w:rFonts w:ascii="Times New Roman" w:hAnsi="Times New Roman"/>
          <w:sz w:val="20"/>
          <w:szCs w:val="20"/>
          <w:lang w:eastAsia="sk-SK"/>
        </w:rPr>
      </w:pPr>
      <w:r w:rsidRPr="00020C88">
        <w:rPr>
          <w:rFonts w:ascii="Times New Roman" w:hAnsi="Times New Roman"/>
          <w:sz w:val="20"/>
          <w:szCs w:val="20"/>
          <w:lang w:eastAsia="sk-SK"/>
        </w:rPr>
        <w:t>Tabuľka č. 3</w:t>
      </w:r>
    </w:p>
    <w:tbl>
      <w:tblPr>
        <w:tblW w:w="9774" w:type="dxa"/>
        <w:jc w:val="center"/>
        <w:tblCellMar>
          <w:left w:w="70" w:type="dxa"/>
          <w:right w:w="70" w:type="dxa"/>
        </w:tblCellMar>
        <w:tblLook w:val="04A0" w:firstRow="1" w:lastRow="0" w:firstColumn="1" w:lastColumn="0" w:noHBand="0" w:noVBand="1"/>
      </w:tblPr>
      <w:tblGrid>
        <w:gridCol w:w="4799"/>
        <w:gridCol w:w="986"/>
        <w:gridCol w:w="987"/>
        <w:gridCol w:w="986"/>
        <w:gridCol w:w="986"/>
        <w:gridCol w:w="1030"/>
      </w:tblGrid>
      <w:tr w:rsidR="00643592" w:rsidRPr="00020C88" w14:paraId="721677BD" w14:textId="77777777" w:rsidTr="00047B8F">
        <w:trPr>
          <w:trHeight w:val="270"/>
          <w:jc w:val="center"/>
        </w:trPr>
        <w:tc>
          <w:tcPr>
            <w:tcW w:w="484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F58B93A"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Príjmy (v eurách)</w:t>
            </w:r>
          </w:p>
        </w:tc>
        <w:tc>
          <w:tcPr>
            <w:tcW w:w="3969" w:type="dxa"/>
            <w:gridSpan w:val="4"/>
            <w:tcBorders>
              <w:top w:val="single" w:sz="8" w:space="0" w:color="auto"/>
              <w:left w:val="nil"/>
              <w:bottom w:val="single" w:sz="8" w:space="0" w:color="auto"/>
              <w:right w:val="single" w:sz="8" w:space="0" w:color="000000"/>
            </w:tcBorders>
            <w:shd w:val="clear" w:color="000000" w:fill="BFBFBF"/>
            <w:vAlign w:val="center"/>
            <w:hideMark/>
          </w:tcPr>
          <w:p w14:paraId="49C6AA08"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Vplyv na rozpočet verejnej správy</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6575C514"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poznámka</w:t>
            </w:r>
          </w:p>
        </w:tc>
      </w:tr>
      <w:tr w:rsidR="00643592" w:rsidRPr="00020C88" w14:paraId="5E2A26A0" w14:textId="77777777" w:rsidTr="00047B8F">
        <w:trPr>
          <w:trHeight w:val="270"/>
          <w:jc w:val="center"/>
        </w:trPr>
        <w:tc>
          <w:tcPr>
            <w:tcW w:w="4845" w:type="dxa"/>
            <w:vMerge/>
            <w:tcBorders>
              <w:top w:val="single" w:sz="8" w:space="0" w:color="auto"/>
              <w:left w:val="single" w:sz="8" w:space="0" w:color="auto"/>
              <w:bottom w:val="single" w:sz="8" w:space="0" w:color="000000"/>
              <w:right w:val="single" w:sz="8" w:space="0" w:color="auto"/>
            </w:tcBorders>
            <w:vAlign w:val="center"/>
            <w:hideMark/>
          </w:tcPr>
          <w:p w14:paraId="62FC87F1" w14:textId="77777777" w:rsidR="00643592" w:rsidRPr="00020C88" w:rsidRDefault="00643592" w:rsidP="00CB750F">
            <w:pPr>
              <w:spacing w:after="0" w:line="240" w:lineRule="auto"/>
              <w:jc w:val="both"/>
              <w:rPr>
                <w:rFonts w:ascii="Times New Roman" w:hAnsi="Times New Roman"/>
                <w:b/>
                <w:bCs/>
                <w:sz w:val="20"/>
                <w:szCs w:val="20"/>
                <w:lang w:eastAsia="sk-SK"/>
              </w:rPr>
            </w:pPr>
          </w:p>
        </w:tc>
        <w:tc>
          <w:tcPr>
            <w:tcW w:w="992" w:type="dxa"/>
            <w:tcBorders>
              <w:top w:val="nil"/>
              <w:left w:val="nil"/>
              <w:bottom w:val="single" w:sz="8" w:space="0" w:color="auto"/>
              <w:right w:val="single" w:sz="8" w:space="0" w:color="auto"/>
            </w:tcBorders>
            <w:shd w:val="clear" w:color="000000" w:fill="BFBFBF"/>
            <w:vAlign w:val="center"/>
            <w:hideMark/>
          </w:tcPr>
          <w:p w14:paraId="0CF8132D" w14:textId="77777777" w:rsidR="00643592" w:rsidRPr="00020C88" w:rsidRDefault="00CA068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2019</w:t>
            </w:r>
          </w:p>
        </w:tc>
        <w:tc>
          <w:tcPr>
            <w:tcW w:w="993" w:type="dxa"/>
            <w:tcBorders>
              <w:top w:val="nil"/>
              <w:left w:val="nil"/>
              <w:bottom w:val="single" w:sz="8" w:space="0" w:color="auto"/>
              <w:right w:val="single" w:sz="8" w:space="0" w:color="auto"/>
            </w:tcBorders>
            <w:shd w:val="clear" w:color="000000" w:fill="BFBFBF"/>
            <w:vAlign w:val="center"/>
            <w:hideMark/>
          </w:tcPr>
          <w:p w14:paraId="24046B08" w14:textId="77777777" w:rsidR="00643592" w:rsidRPr="00020C88" w:rsidRDefault="00CA068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2020</w:t>
            </w:r>
          </w:p>
        </w:tc>
        <w:tc>
          <w:tcPr>
            <w:tcW w:w="992" w:type="dxa"/>
            <w:tcBorders>
              <w:top w:val="nil"/>
              <w:left w:val="nil"/>
              <w:bottom w:val="single" w:sz="8" w:space="0" w:color="auto"/>
              <w:right w:val="single" w:sz="8" w:space="0" w:color="auto"/>
            </w:tcBorders>
            <w:shd w:val="clear" w:color="000000" w:fill="BFBFBF"/>
            <w:vAlign w:val="center"/>
            <w:hideMark/>
          </w:tcPr>
          <w:p w14:paraId="588AE8E6" w14:textId="77777777" w:rsidR="00643592" w:rsidRPr="00020C88" w:rsidRDefault="00CA068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2021</w:t>
            </w:r>
          </w:p>
        </w:tc>
        <w:tc>
          <w:tcPr>
            <w:tcW w:w="992" w:type="dxa"/>
            <w:tcBorders>
              <w:top w:val="nil"/>
              <w:left w:val="nil"/>
              <w:bottom w:val="single" w:sz="8" w:space="0" w:color="auto"/>
              <w:right w:val="single" w:sz="8" w:space="0" w:color="auto"/>
            </w:tcBorders>
            <w:shd w:val="clear" w:color="000000" w:fill="BFBFBF"/>
            <w:vAlign w:val="center"/>
            <w:hideMark/>
          </w:tcPr>
          <w:p w14:paraId="641594F9" w14:textId="77777777" w:rsidR="00643592" w:rsidRPr="00020C88" w:rsidRDefault="00CA068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2022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B00F0FF" w14:textId="77777777" w:rsidR="00643592" w:rsidRPr="00020C88" w:rsidRDefault="00643592" w:rsidP="00CB750F">
            <w:pPr>
              <w:spacing w:after="0" w:line="240" w:lineRule="auto"/>
              <w:jc w:val="both"/>
              <w:rPr>
                <w:rFonts w:ascii="Times New Roman" w:hAnsi="Times New Roman"/>
                <w:b/>
                <w:bCs/>
                <w:sz w:val="20"/>
                <w:szCs w:val="20"/>
                <w:lang w:eastAsia="sk-SK"/>
              </w:rPr>
            </w:pPr>
          </w:p>
        </w:tc>
      </w:tr>
      <w:tr w:rsidR="00643592" w:rsidRPr="00020C88" w14:paraId="3C2D12F2" w14:textId="77777777" w:rsidTr="00047B8F">
        <w:trPr>
          <w:trHeight w:val="315"/>
          <w:jc w:val="center"/>
        </w:trPr>
        <w:tc>
          <w:tcPr>
            <w:tcW w:w="4845" w:type="dxa"/>
            <w:tcBorders>
              <w:top w:val="nil"/>
              <w:left w:val="single" w:sz="8" w:space="0" w:color="auto"/>
              <w:bottom w:val="single" w:sz="8" w:space="0" w:color="auto"/>
              <w:right w:val="single" w:sz="8" w:space="0" w:color="auto"/>
            </w:tcBorders>
            <w:vAlign w:val="center"/>
            <w:hideMark/>
          </w:tcPr>
          <w:p w14:paraId="1218A69D"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Daňové príjmy (100)</w:t>
            </w:r>
            <w:r w:rsidRPr="00020C88">
              <w:rPr>
                <w:rFonts w:ascii="Times New Roman" w:hAnsi="Times New Roman"/>
                <w:b/>
                <w:bCs/>
                <w:sz w:val="20"/>
                <w:szCs w:val="20"/>
                <w:vertAlign w:val="superscript"/>
                <w:lang w:eastAsia="sk-SK"/>
              </w:rPr>
              <w:t>1</w:t>
            </w:r>
          </w:p>
        </w:tc>
        <w:tc>
          <w:tcPr>
            <w:tcW w:w="992" w:type="dxa"/>
            <w:tcBorders>
              <w:top w:val="nil"/>
              <w:left w:val="nil"/>
              <w:bottom w:val="single" w:sz="8" w:space="0" w:color="auto"/>
              <w:right w:val="single" w:sz="8" w:space="0" w:color="auto"/>
            </w:tcBorders>
            <w:vAlign w:val="center"/>
            <w:hideMark/>
          </w:tcPr>
          <w:p w14:paraId="56BC8A62"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1A15B808"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4E41C9FF"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4CEF133A"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0AC17EE0" w14:textId="77777777" w:rsidR="00643592" w:rsidRPr="00020C88" w:rsidRDefault="0064359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643592" w:rsidRPr="00020C88" w14:paraId="31984B0F" w14:textId="77777777" w:rsidTr="00047B8F">
        <w:trPr>
          <w:trHeight w:val="315"/>
          <w:jc w:val="center"/>
        </w:trPr>
        <w:tc>
          <w:tcPr>
            <w:tcW w:w="4845" w:type="dxa"/>
            <w:tcBorders>
              <w:top w:val="nil"/>
              <w:left w:val="single" w:sz="8" w:space="0" w:color="auto"/>
              <w:bottom w:val="single" w:sz="8" w:space="0" w:color="auto"/>
              <w:right w:val="single" w:sz="8" w:space="0" w:color="auto"/>
            </w:tcBorders>
            <w:vAlign w:val="center"/>
            <w:hideMark/>
          </w:tcPr>
          <w:p w14:paraId="283C90E7"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Nedaňové príjmy (200)</w:t>
            </w:r>
            <w:r w:rsidRPr="00020C88">
              <w:rPr>
                <w:rFonts w:ascii="Times New Roman" w:hAnsi="Times New Roman"/>
                <w:b/>
                <w:bCs/>
                <w:sz w:val="20"/>
                <w:szCs w:val="20"/>
                <w:vertAlign w:val="superscript"/>
                <w:lang w:eastAsia="sk-SK"/>
              </w:rPr>
              <w:t>1</w:t>
            </w:r>
          </w:p>
        </w:tc>
        <w:tc>
          <w:tcPr>
            <w:tcW w:w="992" w:type="dxa"/>
            <w:tcBorders>
              <w:top w:val="nil"/>
              <w:left w:val="nil"/>
              <w:bottom w:val="single" w:sz="8" w:space="0" w:color="auto"/>
              <w:right w:val="single" w:sz="8" w:space="0" w:color="auto"/>
            </w:tcBorders>
            <w:vAlign w:val="center"/>
            <w:hideMark/>
          </w:tcPr>
          <w:p w14:paraId="368FB03B"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416897C2"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6492BC86"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6C5752B8"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6D0D4837" w14:textId="77777777" w:rsidR="00643592" w:rsidRPr="00020C88" w:rsidRDefault="0064359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643592" w:rsidRPr="00020C88" w14:paraId="26D446B0" w14:textId="77777777" w:rsidTr="00047B8F">
        <w:trPr>
          <w:trHeight w:val="315"/>
          <w:jc w:val="center"/>
        </w:trPr>
        <w:tc>
          <w:tcPr>
            <w:tcW w:w="4845" w:type="dxa"/>
            <w:tcBorders>
              <w:top w:val="nil"/>
              <w:left w:val="single" w:sz="8" w:space="0" w:color="auto"/>
              <w:bottom w:val="single" w:sz="8" w:space="0" w:color="auto"/>
              <w:right w:val="single" w:sz="8" w:space="0" w:color="auto"/>
            </w:tcBorders>
            <w:vAlign w:val="center"/>
            <w:hideMark/>
          </w:tcPr>
          <w:p w14:paraId="3A8459A3"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Granty a transfery (300)</w:t>
            </w:r>
            <w:r w:rsidRPr="00020C88">
              <w:rPr>
                <w:rFonts w:ascii="Times New Roman" w:hAnsi="Times New Roman"/>
                <w:b/>
                <w:bCs/>
                <w:sz w:val="20"/>
                <w:szCs w:val="20"/>
                <w:vertAlign w:val="superscript"/>
                <w:lang w:eastAsia="sk-SK"/>
              </w:rPr>
              <w:t>1</w:t>
            </w:r>
          </w:p>
        </w:tc>
        <w:tc>
          <w:tcPr>
            <w:tcW w:w="992" w:type="dxa"/>
            <w:tcBorders>
              <w:top w:val="nil"/>
              <w:left w:val="nil"/>
              <w:bottom w:val="single" w:sz="8" w:space="0" w:color="auto"/>
              <w:right w:val="single" w:sz="8" w:space="0" w:color="auto"/>
            </w:tcBorders>
            <w:vAlign w:val="center"/>
            <w:hideMark/>
          </w:tcPr>
          <w:p w14:paraId="026F9E3B"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0F15F303"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581868B2"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3B7564C2"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21A73621" w14:textId="77777777" w:rsidR="00643592" w:rsidRPr="00020C88" w:rsidRDefault="0064359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643592" w:rsidRPr="00020C88" w14:paraId="704D7ADC" w14:textId="77777777" w:rsidTr="00047B8F">
        <w:trPr>
          <w:trHeight w:val="525"/>
          <w:jc w:val="center"/>
        </w:trPr>
        <w:tc>
          <w:tcPr>
            <w:tcW w:w="4845" w:type="dxa"/>
            <w:tcBorders>
              <w:top w:val="nil"/>
              <w:left w:val="single" w:sz="8" w:space="0" w:color="auto"/>
              <w:bottom w:val="single" w:sz="8" w:space="0" w:color="auto"/>
              <w:right w:val="single" w:sz="8" w:space="0" w:color="auto"/>
            </w:tcBorders>
            <w:vAlign w:val="center"/>
            <w:hideMark/>
          </w:tcPr>
          <w:p w14:paraId="38A89858"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Príjmy z transakcií s finančnými aktívami a finančnými pasívami (400)</w:t>
            </w:r>
          </w:p>
        </w:tc>
        <w:tc>
          <w:tcPr>
            <w:tcW w:w="992" w:type="dxa"/>
            <w:tcBorders>
              <w:top w:val="nil"/>
              <w:left w:val="nil"/>
              <w:bottom w:val="single" w:sz="8" w:space="0" w:color="auto"/>
              <w:right w:val="single" w:sz="8" w:space="0" w:color="auto"/>
            </w:tcBorders>
            <w:vAlign w:val="center"/>
            <w:hideMark/>
          </w:tcPr>
          <w:p w14:paraId="36E9299B"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29EDFDA5"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2A2870B8"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6C790B26"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7AAD9581" w14:textId="77777777" w:rsidR="00643592" w:rsidRPr="00020C88" w:rsidRDefault="0064359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643592" w:rsidRPr="00020C88" w14:paraId="40A05A04" w14:textId="77777777" w:rsidTr="00047B8F">
        <w:trPr>
          <w:trHeight w:val="270"/>
          <w:jc w:val="center"/>
        </w:trPr>
        <w:tc>
          <w:tcPr>
            <w:tcW w:w="4845" w:type="dxa"/>
            <w:tcBorders>
              <w:top w:val="nil"/>
              <w:left w:val="single" w:sz="8" w:space="0" w:color="auto"/>
              <w:bottom w:val="single" w:sz="8" w:space="0" w:color="auto"/>
              <w:right w:val="single" w:sz="8" w:space="0" w:color="auto"/>
            </w:tcBorders>
            <w:vAlign w:val="center"/>
            <w:hideMark/>
          </w:tcPr>
          <w:p w14:paraId="676F33A5"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Prijaté úvery, pôžičky a návratné finančné výpomoci (500)</w:t>
            </w:r>
          </w:p>
        </w:tc>
        <w:tc>
          <w:tcPr>
            <w:tcW w:w="992" w:type="dxa"/>
            <w:tcBorders>
              <w:top w:val="nil"/>
              <w:left w:val="nil"/>
              <w:bottom w:val="single" w:sz="8" w:space="0" w:color="auto"/>
              <w:right w:val="single" w:sz="8" w:space="0" w:color="auto"/>
            </w:tcBorders>
            <w:vAlign w:val="center"/>
            <w:hideMark/>
          </w:tcPr>
          <w:p w14:paraId="301D262C"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694E28AB"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767B1B48"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6BD2A053"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0A5D8412" w14:textId="77777777" w:rsidR="00643592" w:rsidRPr="00020C88" w:rsidRDefault="0064359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643592" w:rsidRPr="00020C88" w14:paraId="48DECBBC" w14:textId="77777777" w:rsidTr="00047B8F">
        <w:trPr>
          <w:trHeight w:val="270"/>
          <w:jc w:val="center"/>
        </w:trPr>
        <w:tc>
          <w:tcPr>
            <w:tcW w:w="4845" w:type="dxa"/>
            <w:tcBorders>
              <w:top w:val="nil"/>
              <w:left w:val="single" w:sz="8" w:space="0" w:color="auto"/>
              <w:bottom w:val="single" w:sz="8" w:space="0" w:color="auto"/>
              <w:right w:val="single" w:sz="8" w:space="0" w:color="auto"/>
            </w:tcBorders>
            <w:shd w:val="clear" w:color="000000" w:fill="BFBFBF"/>
            <w:vAlign w:val="center"/>
            <w:hideMark/>
          </w:tcPr>
          <w:p w14:paraId="62AA1D20"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Dopad na príjmy verejnej správy celkom</w:t>
            </w:r>
          </w:p>
        </w:tc>
        <w:tc>
          <w:tcPr>
            <w:tcW w:w="992" w:type="dxa"/>
            <w:tcBorders>
              <w:top w:val="nil"/>
              <w:left w:val="nil"/>
              <w:bottom w:val="single" w:sz="8" w:space="0" w:color="auto"/>
              <w:right w:val="single" w:sz="8" w:space="0" w:color="auto"/>
            </w:tcBorders>
            <w:shd w:val="clear" w:color="000000" w:fill="BFBFBF"/>
            <w:vAlign w:val="center"/>
            <w:hideMark/>
          </w:tcPr>
          <w:p w14:paraId="332C2E04"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3" w:type="dxa"/>
            <w:tcBorders>
              <w:top w:val="nil"/>
              <w:left w:val="nil"/>
              <w:bottom w:val="single" w:sz="8" w:space="0" w:color="auto"/>
              <w:right w:val="single" w:sz="8" w:space="0" w:color="auto"/>
            </w:tcBorders>
            <w:shd w:val="clear" w:color="000000" w:fill="BFBFBF"/>
            <w:vAlign w:val="center"/>
            <w:hideMark/>
          </w:tcPr>
          <w:p w14:paraId="40EE1DAE"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shd w:val="clear" w:color="000000" w:fill="BFBFBF"/>
            <w:vAlign w:val="center"/>
            <w:hideMark/>
          </w:tcPr>
          <w:p w14:paraId="09F567F8"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shd w:val="clear" w:color="000000" w:fill="BFBFBF"/>
            <w:vAlign w:val="center"/>
            <w:hideMark/>
          </w:tcPr>
          <w:p w14:paraId="26A23AB6" w14:textId="77777777" w:rsidR="00643592" w:rsidRPr="00020C88" w:rsidRDefault="00643592"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60" w:type="dxa"/>
            <w:tcBorders>
              <w:top w:val="nil"/>
              <w:left w:val="nil"/>
              <w:bottom w:val="single" w:sz="8" w:space="0" w:color="auto"/>
              <w:right w:val="single" w:sz="8" w:space="0" w:color="auto"/>
            </w:tcBorders>
            <w:shd w:val="clear" w:color="000000" w:fill="BFBFBF"/>
            <w:noWrap/>
            <w:vAlign w:val="center"/>
            <w:hideMark/>
          </w:tcPr>
          <w:p w14:paraId="38B312A3" w14:textId="77777777" w:rsidR="00643592" w:rsidRPr="00020C88" w:rsidRDefault="0064359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bl>
    <w:p w14:paraId="263AC0F1" w14:textId="77777777" w:rsidR="003D6E48" w:rsidRPr="00020C88" w:rsidRDefault="003D6E48" w:rsidP="00CB750F">
      <w:pPr>
        <w:spacing w:after="0" w:line="240" w:lineRule="auto"/>
        <w:jc w:val="both"/>
        <w:rPr>
          <w:rFonts w:ascii="Times New Roman" w:hAnsi="Times New Roman"/>
          <w:sz w:val="20"/>
          <w:szCs w:val="20"/>
          <w:lang w:eastAsia="sk-SK"/>
        </w:rPr>
      </w:pPr>
    </w:p>
    <w:p w14:paraId="3708A8A1" w14:textId="60AA199B" w:rsidR="004F27BE" w:rsidRDefault="004F27BE" w:rsidP="00CB750F">
      <w:pPr>
        <w:spacing w:after="0" w:line="240" w:lineRule="auto"/>
        <w:jc w:val="both"/>
        <w:rPr>
          <w:rFonts w:ascii="Times New Roman" w:hAnsi="Times New Roman"/>
          <w:sz w:val="20"/>
          <w:szCs w:val="20"/>
          <w:lang w:eastAsia="sk-SK"/>
        </w:rPr>
      </w:pPr>
    </w:p>
    <w:p w14:paraId="78A53A1E" w14:textId="2D1F62CB" w:rsidR="00043791" w:rsidRDefault="00043791" w:rsidP="00CB750F">
      <w:pPr>
        <w:spacing w:after="0" w:line="240" w:lineRule="auto"/>
        <w:jc w:val="both"/>
        <w:rPr>
          <w:rFonts w:ascii="Times New Roman" w:hAnsi="Times New Roman"/>
          <w:sz w:val="20"/>
          <w:szCs w:val="20"/>
          <w:lang w:eastAsia="sk-SK"/>
        </w:rPr>
      </w:pPr>
    </w:p>
    <w:p w14:paraId="281DD52C" w14:textId="56D8B499" w:rsidR="00043791" w:rsidRDefault="00043791" w:rsidP="00CB750F">
      <w:pPr>
        <w:spacing w:after="0" w:line="240" w:lineRule="auto"/>
        <w:jc w:val="both"/>
        <w:rPr>
          <w:rFonts w:ascii="Times New Roman" w:hAnsi="Times New Roman"/>
          <w:sz w:val="20"/>
          <w:szCs w:val="20"/>
          <w:lang w:eastAsia="sk-SK"/>
        </w:rPr>
      </w:pPr>
    </w:p>
    <w:p w14:paraId="529540DA" w14:textId="77777777" w:rsidR="00043791" w:rsidRPr="00020C88" w:rsidRDefault="00043791" w:rsidP="00CB750F">
      <w:pPr>
        <w:spacing w:after="0" w:line="240" w:lineRule="auto"/>
        <w:jc w:val="both"/>
        <w:rPr>
          <w:rFonts w:ascii="Times New Roman" w:hAnsi="Times New Roman"/>
          <w:sz w:val="20"/>
          <w:szCs w:val="20"/>
          <w:lang w:eastAsia="sk-SK"/>
        </w:rPr>
      </w:pPr>
    </w:p>
    <w:p w14:paraId="623A027A" w14:textId="627F2F18" w:rsidR="00631D94" w:rsidRPr="00020C88" w:rsidRDefault="00631D94" w:rsidP="00CB750F">
      <w:pPr>
        <w:spacing w:after="0" w:line="240" w:lineRule="auto"/>
        <w:jc w:val="both"/>
        <w:rPr>
          <w:rFonts w:ascii="Times New Roman" w:hAnsi="Times New Roman"/>
          <w:b/>
          <w:bCs/>
          <w:iCs/>
          <w:sz w:val="20"/>
          <w:szCs w:val="20"/>
        </w:rPr>
      </w:pPr>
      <w:r w:rsidRPr="00020C88">
        <w:rPr>
          <w:rFonts w:ascii="Times New Roman" w:hAnsi="Times New Roman"/>
          <w:b/>
          <w:bCs/>
          <w:iCs/>
          <w:sz w:val="20"/>
          <w:szCs w:val="20"/>
        </w:rPr>
        <w:lastRenderedPageBreak/>
        <w:t>2.2.4.2 Kvantifikácia výdavkov</w:t>
      </w:r>
      <w:r w:rsidR="00312AAC" w:rsidRPr="00020C88">
        <w:rPr>
          <w:rFonts w:ascii="Times New Roman" w:hAnsi="Times New Roman"/>
          <w:b/>
          <w:bCs/>
          <w:iCs/>
          <w:sz w:val="20"/>
          <w:szCs w:val="20"/>
        </w:rPr>
        <w:t xml:space="preserve"> Sociáln</w:t>
      </w:r>
      <w:r w:rsidR="00F615D8" w:rsidRPr="00020C88">
        <w:rPr>
          <w:rFonts w:ascii="Times New Roman" w:hAnsi="Times New Roman"/>
          <w:b/>
          <w:bCs/>
          <w:iCs/>
          <w:sz w:val="20"/>
          <w:szCs w:val="20"/>
        </w:rPr>
        <w:t>ej</w:t>
      </w:r>
      <w:r w:rsidR="00312AAC" w:rsidRPr="00020C88">
        <w:rPr>
          <w:rFonts w:ascii="Times New Roman" w:hAnsi="Times New Roman"/>
          <w:b/>
          <w:bCs/>
          <w:iCs/>
          <w:sz w:val="20"/>
          <w:szCs w:val="20"/>
        </w:rPr>
        <w:t xml:space="preserve"> poisťov</w:t>
      </w:r>
      <w:r w:rsidR="00F615D8" w:rsidRPr="00020C88">
        <w:rPr>
          <w:rFonts w:ascii="Times New Roman" w:hAnsi="Times New Roman"/>
          <w:b/>
          <w:bCs/>
          <w:iCs/>
          <w:sz w:val="20"/>
          <w:szCs w:val="20"/>
        </w:rPr>
        <w:t>ne</w:t>
      </w:r>
    </w:p>
    <w:p w14:paraId="08095668" w14:textId="77777777" w:rsidR="00043791" w:rsidRPr="00020C88" w:rsidRDefault="00043791" w:rsidP="00CB750F">
      <w:pPr>
        <w:spacing w:after="0" w:line="240" w:lineRule="auto"/>
        <w:jc w:val="both"/>
        <w:rPr>
          <w:rFonts w:ascii="Times New Roman" w:hAnsi="Times New Roman"/>
          <w:sz w:val="20"/>
          <w:szCs w:val="20"/>
        </w:rPr>
      </w:pPr>
    </w:p>
    <w:p w14:paraId="0651389D" w14:textId="43E3805F" w:rsidR="009C576C" w:rsidRPr="00020C88" w:rsidRDefault="009C576C" w:rsidP="00CB750F">
      <w:pPr>
        <w:spacing w:after="0" w:line="240" w:lineRule="auto"/>
        <w:jc w:val="both"/>
        <w:rPr>
          <w:rFonts w:ascii="Times New Roman" w:hAnsi="Times New Roman"/>
          <w:sz w:val="20"/>
          <w:szCs w:val="20"/>
        </w:rPr>
      </w:pPr>
      <w:r w:rsidRPr="00020C88">
        <w:rPr>
          <w:rFonts w:ascii="Times New Roman" w:hAnsi="Times New Roman"/>
          <w:b/>
          <w:color w:val="000000"/>
          <w:sz w:val="20"/>
          <w:szCs w:val="20"/>
        </w:rPr>
        <w:t>A)</w:t>
      </w:r>
      <w:r w:rsidRPr="00020C88">
        <w:rPr>
          <w:rFonts w:ascii="Times New Roman" w:hAnsi="Times New Roman"/>
          <w:color w:val="000000"/>
          <w:sz w:val="20"/>
          <w:szCs w:val="20"/>
        </w:rPr>
        <w:t xml:space="preserve"> </w:t>
      </w:r>
      <w:r w:rsidRPr="00020C88">
        <w:rPr>
          <w:rFonts w:ascii="Times New Roman" w:hAnsi="Times New Roman"/>
          <w:i/>
          <w:color w:val="000000"/>
          <w:sz w:val="20"/>
          <w:szCs w:val="20"/>
        </w:rPr>
        <w:t xml:space="preserve"> </w:t>
      </w:r>
      <w:r w:rsidRPr="00020C88">
        <w:rPr>
          <w:rFonts w:ascii="Times New Roman" w:hAnsi="Times New Roman"/>
          <w:b/>
          <w:color w:val="000000"/>
          <w:sz w:val="20"/>
          <w:szCs w:val="20"/>
        </w:rPr>
        <w:t xml:space="preserve">Zavedenie možnosti čerpania ošetrovného z dôvodu </w:t>
      </w:r>
      <w:r w:rsidR="00FD3D16" w:rsidRPr="00020C88">
        <w:rPr>
          <w:rFonts w:ascii="Times New Roman" w:hAnsi="Times New Roman"/>
          <w:b/>
          <w:color w:val="000000"/>
          <w:sz w:val="20"/>
          <w:szCs w:val="20"/>
        </w:rPr>
        <w:t xml:space="preserve">tzv. </w:t>
      </w:r>
      <w:r w:rsidR="00043791">
        <w:rPr>
          <w:rFonts w:ascii="Times New Roman" w:hAnsi="Times New Roman"/>
          <w:b/>
          <w:color w:val="000000"/>
          <w:sz w:val="20"/>
          <w:szCs w:val="20"/>
        </w:rPr>
        <w:t xml:space="preserve">osobnej </w:t>
      </w:r>
      <w:r w:rsidRPr="00020C88">
        <w:rPr>
          <w:rFonts w:ascii="Times New Roman" w:hAnsi="Times New Roman"/>
          <w:b/>
          <w:color w:val="000000"/>
          <w:sz w:val="20"/>
          <w:szCs w:val="20"/>
        </w:rPr>
        <w:t>starostlivosti</w:t>
      </w:r>
      <w:r w:rsidR="00043791">
        <w:rPr>
          <w:rFonts w:ascii="Times New Roman" w:hAnsi="Times New Roman"/>
          <w:b/>
          <w:color w:val="000000"/>
          <w:sz w:val="20"/>
          <w:szCs w:val="20"/>
        </w:rPr>
        <w:t xml:space="preserve"> v prirodzenom prostredí osoby</w:t>
      </w:r>
    </w:p>
    <w:p w14:paraId="0A61B004" w14:textId="5DA537C2" w:rsidR="001D1883" w:rsidRPr="00020C88" w:rsidRDefault="007364F5" w:rsidP="00765DB2">
      <w:pPr>
        <w:spacing w:after="0" w:line="240" w:lineRule="auto"/>
        <w:jc w:val="both"/>
        <w:rPr>
          <w:rFonts w:ascii="Times New Roman" w:hAnsi="Times New Roman"/>
          <w:sz w:val="20"/>
          <w:szCs w:val="20"/>
        </w:rPr>
      </w:pPr>
      <w:r w:rsidRPr="00020C88">
        <w:rPr>
          <w:rFonts w:ascii="Times New Roman" w:hAnsi="Times New Roman"/>
          <w:sz w:val="20"/>
          <w:szCs w:val="20"/>
        </w:rPr>
        <w:t>Priemerný denný vymeriavací základ na určeni</w:t>
      </w:r>
      <w:r w:rsidR="00605468" w:rsidRPr="00020C88">
        <w:rPr>
          <w:rFonts w:ascii="Times New Roman" w:hAnsi="Times New Roman"/>
          <w:sz w:val="20"/>
          <w:szCs w:val="20"/>
        </w:rPr>
        <w:t>e dávky ošetrovné sa v roku 20</w:t>
      </w:r>
      <w:r w:rsidR="00785D60" w:rsidRPr="00020C88">
        <w:rPr>
          <w:rFonts w:ascii="Times New Roman" w:hAnsi="Times New Roman"/>
          <w:sz w:val="20"/>
          <w:szCs w:val="20"/>
        </w:rPr>
        <w:t>20</w:t>
      </w:r>
      <w:r w:rsidRPr="00020C88">
        <w:rPr>
          <w:rFonts w:ascii="Times New Roman" w:hAnsi="Times New Roman"/>
          <w:sz w:val="20"/>
          <w:szCs w:val="20"/>
        </w:rPr>
        <w:t xml:space="preserve"> odhaduje na ú</w:t>
      </w:r>
      <w:r w:rsidR="00605468" w:rsidRPr="00020C88">
        <w:rPr>
          <w:rFonts w:ascii="Times New Roman" w:hAnsi="Times New Roman"/>
          <w:sz w:val="20"/>
          <w:szCs w:val="20"/>
        </w:rPr>
        <w:t>rovni približne 2</w:t>
      </w:r>
      <w:r w:rsidR="00785D60" w:rsidRPr="00020C88">
        <w:rPr>
          <w:rFonts w:ascii="Times New Roman" w:hAnsi="Times New Roman"/>
          <w:sz w:val="20"/>
          <w:szCs w:val="20"/>
        </w:rPr>
        <w:t>7</w:t>
      </w:r>
      <w:r w:rsidR="00605468" w:rsidRPr="00020C88">
        <w:rPr>
          <w:rFonts w:ascii="Times New Roman" w:hAnsi="Times New Roman"/>
          <w:sz w:val="20"/>
          <w:szCs w:val="20"/>
        </w:rPr>
        <w:t>,</w:t>
      </w:r>
      <w:r w:rsidR="00785D60" w:rsidRPr="00020C88">
        <w:rPr>
          <w:rFonts w:ascii="Times New Roman" w:hAnsi="Times New Roman"/>
          <w:sz w:val="20"/>
          <w:szCs w:val="20"/>
        </w:rPr>
        <w:t>9</w:t>
      </w:r>
      <w:r w:rsidRPr="00020C88">
        <w:rPr>
          <w:rFonts w:ascii="Times New Roman" w:hAnsi="Times New Roman"/>
          <w:sz w:val="20"/>
          <w:szCs w:val="20"/>
        </w:rPr>
        <w:t xml:space="preserve"> eura</w:t>
      </w:r>
      <w:r w:rsidR="001869E5" w:rsidRPr="00020C88">
        <w:rPr>
          <w:rFonts w:ascii="Times New Roman" w:hAnsi="Times New Roman"/>
          <w:sz w:val="20"/>
          <w:szCs w:val="20"/>
        </w:rPr>
        <w:t xml:space="preserve"> (</w:t>
      </w:r>
      <w:r w:rsidR="00785D60" w:rsidRPr="00020C88">
        <w:rPr>
          <w:rFonts w:ascii="Times New Roman" w:hAnsi="Times New Roman"/>
          <w:sz w:val="20"/>
          <w:szCs w:val="20"/>
        </w:rPr>
        <w:t>odhad priemerného vymeriavacieho základu na roky 2020 až 2</w:t>
      </w:r>
      <w:r w:rsidR="00F05B78" w:rsidRPr="00020C88">
        <w:rPr>
          <w:rFonts w:ascii="Times New Roman" w:hAnsi="Times New Roman"/>
          <w:sz w:val="20"/>
          <w:szCs w:val="20"/>
        </w:rPr>
        <w:t xml:space="preserve">022 bol kvantifikovaný </w:t>
      </w:r>
      <w:r w:rsidR="001869E5" w:rsidRPr="00020C88">
        <w:rPr>
          <w:rFonts w:ascii="Times New Roman" w:hAnsi="Times New Roman"/>
          <w:sz w:val="20"/>
          <w:szCs w:val="20"/>
        </w:rPr>
        <w:t xml:space="preserve">vzhľadom na rast miezd podľa makroekonomickej </w:t>
      </w:r>
      <w:r w:rsidR="00605468" w:rsidRPr="00020C88">
        <w:rPr>
          <w:rFonts w:ascii="Times New Roman" w:hAnsi="Times New Roman"/>
          <w:sz w:val="20"/>
          <w:szCs w:val="20"/>
        </w:rPr>
        <w:t>prognózy z februára 2019</w:t>
      </w:r>
      <w:r w:rsidR="00D42070" w:rsidRPr="00020C88">
        <w:rPr>
          <w:rFonts w:ascii="Times New Roman" w:hAnsi="Times New Roman"/>
          <w:sz w:val="20"/>
          <w:szCs w:val="20"/>
        </w:rPr>
        <w:t>)</w:t>
      </w:r>
      <w:r w:rsidRPr="00020C88">
        <w:rPr>
          <w:rFonts w:ascii="Times New Roman" w:hAnsi="Times New Roman"/>
          <w:sz w:val="20"/>
          <w:szCs w:val="20"/>
        </w:rPr>
        <w:t>.</w:t>
      </w:r>
      <w:r w:rsidR="009F645D" w:rsidRPr="00020C88">
        <w:rPr>
          <w:rFonts w:ascii="Times New Roman" w:hAnsi="Times New Roman"/>
          <w:sz w:val="20"/>
          <w:szCs w:val="20"/>
        </w:rPr>
        <w:t xml:space="preserve"> </w:t>
      </w:r>
      <w:r w:rsidR="008A1967" w:rsidRPr="00020C88">
        <w:rPr>
          <w:rFonts w:ascii="Times New Roman" w:hAnsi="Times New Roman"/>
          <w:sz w:val="20"/>
          <w:szCs w:val="20"/>
        </w:rPr>
        <w:t>Priemerná denná výška ošetrovné</w:t>
      </w:r>
      <w:r w:rsidR="00634A13" w:rsidRPr="00020C88">
        <w:rPr>
          <w:rFonts w:ascii="Times New Roman" w:hAnsi="Times New Roman"/>
          <w:sz w:val="20"/>
          <w:szCs w:val="20"/>
        </w:rPr>
        <w:t xml:space="preserve">ho v prípade </w:t>
      </w:r>
      <w:r w:rsidR="00FD3D16" w:rsidRPr="00020C88">
        <w:rPr>
          <w:rFonts w:ascii="Times New Roman" w:hAnsi="Times New Roman"/>
          <w:sz w:val="20"/>
          <w:szCs w:val="20"/>
        </w:rPr>
        <w:t>domácej</w:t>
      </w:r>
      <w:r w:rsidR="00634A13" w:rsidRPr="00020C88">
        <w:rPr>
          <w:rFonts w:ascii="Times New Roman" w:hAnsi="Times New Roman"/>
          <w:sz w:val="20"/>
          <w:szCs w:val="20"/>
        </w:rPr>
        <w:t xml:space="preserve"> starostlivosti</w:t>
      </w:r>
      <w:r w:rsidR="008A1967" w:rsidRPr="00020C88">
        <w:rPr>
          <w:rFonts w:ascii="Times New Roman" w:hAnsi="Times New Roman"/>
          <w:sz w:val="20"/>
          <w:szCs w:val="20"/>
        </w:rPr>
        <w:t xml:space="preserve"> bola vypočítaná ako súčin priemerného denného vymeriavacieho základu dotknutej skupiny osôb a </w:t>
      </w:r>
      <w:r w:rsidR="001100EC" w:rsidRPr="00020C88">
        <w:rPr>
          <w:rFonts w:ascii="Times New Roman" w:hAnsi="Times New Roman"/>
          <w:sz w:val="20"/>
          <w:szCs w:val="20"/>
        </w:rPr>
        <w:t xml:space="preserve"> sadzby na určenie dávky</w:t>
      </w:r>
      <w:r w:rsidR="00310F27" w:rsidRPr="00020C88">
        <w:rPr>
          <w:rFonts w:ascii="Times New Roman" w:hAnsi="Times New Roman"/>
          <w:sz w:val="20"/>
          <w:szCs w:val="20"/>
        </w:rPr>
        <w:t xml:space="preserve"> ošetrovné</w:t>
      </w:r>
      <w:r w:rsidR="001100EC" w:rsidRPr="00020C88">
        <w:rPr>
          <w:rFonts w:ascii="Times New Roman" w:hAnsi="Times New Roman"/>
          <w:sz w:val="20"/>
          <w:szCs w:val="20"/>
        </w:rPr>
        <w:t xml:space="preserve"> na úrovni </w:t>
      </w:r>
      <w:r w:rsidR="008A1967" w:rsidRPr="00020C88">
        <w:rPr>
          <w:rFonts w:ascii="Times New Roman" w:hAnsi="Times New Roman"/>
          <w:sz w:val="20"/>
          <w:szCs w:val="20"/>
        </w:rPr>
        <w:t>55</w:t>
      </w:r>
      <w:r w:rsidR="001100EC" w:rsidRPr="00020C88">
        <w:rPr>
          <w:rFonts w:ascii="Times New Roman" w:hAnsi="Times New Roman"/>
          <w:sz w:val="20"/>
          <w:szCs w:val="20"/>
        </w:rPr>
        <w:t xml:space="preserve"> %</w:t>
      </w:r>
      <w:r w:rsidRPr="00020C88">
        <w:rPr>
          <w:rFonts w:ascii="Times New Roman" w:hAnsi="Times New Roman"/>
          <w:sz w:val="20"/>
          <w:szCs w:val="20"/>
        </w:rPr>
        <w:t xml:space="preserve">. Na základe uvedeného sa </w:t>
      </w:r>
      <w:r w:rsidR="008A1967" w:rsidRPr="00020C88">
        <w:rPr>
          <w:rFonts w:ascii="Times New Roman" w:hAnsi="Times New Roman"/>
          <w:sz w:val="20"/>
          <w:szCs w:val="20"/>
        </w:rPr>
        <w:t>v roku 20</w:t>
      </w:r>
      <w:r w:rsidR="00785D60" w:rsidRPr="00020C88">
        <w:rPr>
          <w:rFonts w:ascii="Times New Roman" w:hAnsi="Times New Roman"/>
          <w:sz w:val="20"/>
          <w:szCs w:val="20"/>
        </w:rPr>
        <w:t>20</w:t>
      </w:r>
      <w:r w:rsidR="008A1967" w:rsidRPr="00020C88">
        <w:rPr>
          <w:rFonts w:ascii="Times New Roman" w:hAnsi="Times New Roman"/>
          <w:sz w:val="20"/>
          <w:szCs w:val="20"/>
        </w:rPr>
        <w:t xml:space="preserve"> odhaduje </w:t>
      </w:r>
      <w:r w:rsidR="00310F27" w:rsidRPr="00020C88">
        <w:rPr>
          <w:rFonts w:ascii="Times New Roman" w:hAnsi="Times New Roman"/>
          <w:sz w:val="20"/>
          <w:szCs w:val="20"/>
        </w:rPr>
        <w:t xml:space="preserve">priemerná </w:t>
      </w:r>
      <w:r w:rsidR="00FD6DCE" w:rsidRPr="00020C88">
        <w:rPr>
          <w:rFonts w:ascii="Times New Roman" w:hAnsi="Times New Roman"/>
          <w:sz w:val="20"/>
          <w:szCs w:val="20"/>
        </w:rPr>
        <w:t xml:space="preserve">mesačná </w:t>
      </w:r>
      <w:r w:rsidRPr="00020C88">
        <w:rPr>
          <w:rFonts w:ascii="Times New Roman" w:hAnsi="Times New Roman"/>
          <w:sz w:val="20"/>
          <w:szCs w:val="20"/>
        </w:rPr>
        <w:t xml:space="preserve">výška dávky ošetrovné </w:t>
      </w:r>
      <w:r w:rsidR="00310F27" w:rsidRPr="00020C88">
        <w:rPr>
          <w:rFonts w:ascii="Times New Roman" w:hAnsi="Times New Roman"/>
          <w:sz w:val="20"/>
          <w:szCs w:val="20"/>
        </w:rPr>
        <w:t xml:space="preserve">v prípade dotknutej skupiny osôb </w:t>
      </w:r>
      <w:r w:rsidR="008A1967" w:rsidRPr="00020C88">
        <w:rPr>
          <w:rFonts w:ascii="Times New Roman" w:hAnsi="Times New Roman"/>
          <w:sz w:val="20"/>
          <w:szCs w:val="20"/>
        </w:rPr>
        <w:t xml:space="preserve">na úrovni </w:t>
      </w:r>
      <w:r w:rsidR="00310F27" w:rsidRPr="00020C88">
        <w:rPr>
          <w:rFonts w:ascii="Times New Roman" w:hAnsi="Times New Roman"/>
          <w:sz w:val="20"/>
          <w:szCs w:val="20"/>
        </w:rPr>
        <w:t>približne 4</w:t>
      </w:r>
      <w:r w:rsidR="00785D60" w:rsidRPr="00020C88">
        <w:rPr>
          <w:rFonts w:ascii="Times New Roman" w:hAnsi="Times New Roman"/>
          <w:sz w:val="20"/>
          <w:szCs w:val="20"/>
        </w:rPr>
        <w:t>66</w:t>
      </w:r>
      <w:r w:rsidR="00310F27" w:rsidRPr="00020C88">
        <w:rPr>
          <w:rFonts w:ascii="Times New Roman" w:hAnsi="Times New Roman"/>
          <w:sz w:val="20"/>
          <w:szCs w:val="20"/>
        </w:rPr>
        <w:t xml:space="preserve"> eur</w:t>
      </w:r>
      <w:r w:rsidR="0040650B" w:rsidRPr="00020C88">
        <w:rPr>
          <w:rFonts w:ascii="Times New Roman" w:hAnsi="Times New Roman"/>
          <w:sz w:val="20"/>
          <w:szCs w:val="20"/>
        </w:rPr>
        <w:t>; v roku 202</w:t>
      </w:r>
      <w:r w:rsidR="00785D60" w:rsidRPr="00020C88">
        <w:rPr>
          <w:rFonts w:ascii="Times New Roman" w:hAnsi="Times New Roman"/>
          <w:sz w:val="20"/>
          <w:szCs w:val="20"/>
        </w:rPr>
        <w:t>1</w:t>
      </w:r>
      <w:r w:rsidR="0040650B" w:rsidRPr="00020C88">
        <w:rPr>
          <w:rFonts w:ascii="Times New Roman" w:hAnsi="Times New Roman"/>
          <w:sz w:val="20"/>
          <w:szCs w:val="20"/>
        </w:rPr>
        <w:t xml:space="preserve"> na úrovni 4</w:t>
      </w:r>
      <w:r w:rsidR="00785D60" w:rsidRPr="00020C88">
        <w:rPr>
          <w:rFonts w:ascii="Times New Roman" w:hAnsi="Times New Roman"/>
          <w:sz w:val="20"/>
          <w:szCs w:val="20"/>
        </w:rPr>
        <w:t>96</w:t>
      </w:r>
      <w:r w:rsidR="0040650B" w:rsidRPr="00020C88">
        <w:rPr>
          <w:rFonts w:ascii="Times New Roman" w:hAnsi="Times New Roman"/>
          <w:sz w:val="20"/>
          <w:szCs w:val="20"/>
        </w:rPr>
        <w:t xml:space="preserve"> eur</w:t>
      </w:r>
      <w:r w:rsidR="00310F27" w:rsidRPr="00020C88">
        <w:rPr>
          <w:rFonts w:ascii="Times New Roman" w:hAnsi="Times New Roman"/>
          <w:sz w:val="20"/>
          <w:szCs w:val="20"/>
        </w:rPr>
        <w:t xml:space="preserve"> a v roku 2022 na úrovni približne 522 eur</w:t>
      </w:r>
      <w:r w:rsidR="008A1967" w:rsidRPr="00020C88">
        <w:rPr>
          <w:rFonts w:ascii="Times New Roman" w:hAnsi="Times New Roman"/>
          <w:sz w:val="20"/>
          <w:szCs w:val="20"/>
        </w:rPr>
        <w:t xml:space="preserve">. </w:t>
      </w:r>
      <w:r w:rsidR="009F645D" w:rsidRPr="00020C88">
        <w:rPr>
          <w:rFonts w:ascii="Times New Roman" w:hAnsi="Times New Roman"/>
          <w:sz w:val="20"/>
          <w:szCs w:val="20"/>
        </w:rPr>
        <w:t>Počet vyplatených dávok sa odhaduje na ročnej</w:t>
      </w:r>
      <w:r w:rsidR="00310F27" w:rsidRPr="00020C88">
        <w:rPr>
          <w:rFonts w:ascii="Times New Roman" w:hAnsi="Times New Roman"/>
          <w:sz w:val="20"/>
          <w:szCs w:val="20"/>
        </w:rPr>
        <w:t xml:space="preserve"> úrovni</w:t>
      </w:r>
      <w:r w:rsidR="008A1967" w:rsidRPr="00020C88">
        <w:rPr>
          <w:rFonts w:ascii="Times New Roman" w:hAnsi="Times New Roman"/>
          <w:sz w:val="20"/>
          <w:szCs w:val="20"/>
        </w:rPr>
        <w:t xml:space="preserve"> </w:t>
      </w:r>
      <w:r w:rsidR="00310F27" w:rsidRPr="00020C88">
        <w:rPr>
          <w:rFonts w:ascii="Times New Roman" w:hAnsi="Times New Roman"/>
          <w:sz w:val="20"/>
          <w:szCs w:val="20"/>
        </w:rPr>
        <w:t>4 8</w:t>
      </w:r>
      <w:r w:rsidR="008A1967" w:rsidRPr="00020C88">
        <w:rPr>
          <w:rFonts w:ascii="Times New Roman" w:hAnsi="Times New Roman"/>
          <w:sz w:val="20"/>
          <w:szCs w:val="20"/>
        </w:rPr>
        <w:t>00</w:t>
      </w:r>
      <w:r w:rsidR="00310F27" w:rsidRPr="00020C88">
        <w:rPr>
          <w:rFonts w:ascii="Times New Roman" w:hAnsi="Times New Roman"/>
          <w:sz w:val="20"/>
          <w:szCs w:val="20"/>
        </w:rPr>
        <w:t xml:space="preserve"> s priemerným mesačným počtom dotknutých osôb na úrovni 400 osôb</w:t>
      </w:r>
      <w:r w:rsidR="0040650B" w:rsidRPr="00020C88">
        <w:rPr>
          <w:rFonts w:ascii="Times New Roman" w:hAnsi="Times New Roman"/>
          <w:sz w:val="20"/>
          <w:szCs w:val="20"/>
        </w:rPr>
        <w:t xml:space="preserve"> (predmetný predpoklad vychádza z reálneho nábehu obdobnej právnej úpravy v Českej republike)</w:t>
      </w:r>
      <w:r w:rsidR="00310F27" w:rsidRPr="00020C88">
        <w:rPr>
          <w:rFonts w:ascii="Times New Roman" w:hAnsi="Times New Roman"/>
          <w:sz w:val="20"/>
          <w:szCs w:val="20"/>
        </w:rPr>
        <w:t>.</w:t>
      </w:r>
      <w:r w:rsidR="001869E5" w:rsidRPr="00020C88">
        <w:rPr>
          <w:rFonts w:ascii="Times New Roman" w:hAnsi="Times New Roman"/>
          <w:sz w:val="20"/>
          <w:szCs w:val="20"/>
        </w:rPr>
        <w:t xml:space="preserve"> </w:t>
      </w:r>
      <w:r w:rsidR="008A1967" w:rsidRPr="00020C88">
        <w:rPr>
          <w:rFonts w:ascii="Times New Roman" w:hAnsi="Times New Roman"/>
          <w:sz w:val="20"/>
          <w:szCs w:val="20"/>
        </w:rPr>
        <w:t>Na základe uvedených predpokladov sa odhaduje</w:t>
      </w:r>
      <w:r w:rsidR="001D1883" w:rsidRPr="00020C88">
        <w:rPr>
          <w:rFonts w:ascii="Times New Roman" w:hAnsi="Times New Roman"/>
          <w:sz w:val="20"/>
          <w:szCs w:val="20"/>
        </w:rPr>
        <w:t xml:space="preserve"> </w:t>
      </w:r>
      <w:r w:rsidR="008A1967" w:rsidRPr="00020C88">
        <w:rPr>
          <w:rFonts w:ascii="Times New Roman" w:hAnsi="Times New Roman"/>
          <w:sz w:val="20"/>
          <w:szCs w:val="20"/>
        </w:rPr>
        <w:t>vplyv</w:t>
      </w:r>
      <w:r w:rsidR="0028536C" w:rsidRPr="00020C88">
        <w:rPr>
          <w:rFonts w:ascii="Times New Roman" w:hAnsi="Times New Roman"/>
          <w:sz w:val="20"/>
          <w:szCs w:val="20"/>
        </w:rPr>
        <w:t xml:space="preserve"> tohto opatrenia</w:t>
      </w:r>
      <w:r w:rsidR="008A1967" w:rsidRPr="00020C88">
        <w:rPr>
          <w:rFonts w:ascii="Times New Roman" w:hAnsi="Times New Roman"/>
          <w:sz w:val="20"/>
          <w:szCs w:val="20"/>
        </w:rPr>
        <w:t xml:space="preserve"> na Sociálnu poisťovň</w:t>
      </w:r>
      <w:r w:rsidR="00310F27" w:rsidRPr="00020C88">
        <w:rPr>
          <w:rFonts w:ascii="Times New Roman" w:hAnsi="Times New Roman"/>
          <w:sz w:val="20"/>
          <w:szCs w:val="20"/>
        </w:rPr>
        <w:t xml:space="preserve">u </w:t>
      </w:r>
      <w:r w:rsidR="008A1967" w:rsidRPr="00020C88">
        <w:rPr>
          <w:rFonts w:ascii="Times New Roman" w:hAnsi="Times New Roman"/>
          <w:sz w:val="20"/>
          <w:szCs w:val="20"/>
        </w:rPr>
        <w:t>v </w:t>
      </w:r>
      <w:r w:rsidR="00310F27" w:rsidRPr="00020C88">
        <w:rPr>
          <w:rFonts w:ascii="Times New Roman" w:hAnsi="Times New Roman"/>
          <w:sz w:val="20"/>
          <w:szCs w:val="20"/>
        </w:rPr>
        <w:t xml:space="preserve">roku 2020 na úrovni cca </w:t>
      </w:r>
      <w:r w:rsidR="00FD3D16" w:rsidRPr="00020C88">
        <w:rPr>
          <w:rFonts w:ascii="Times New Roman" w:hAnsi="Times New Roman"/>
          <w:sz w:val="20"/>
          <w:szCs w:val="20"/>
        </w:rPr>
        <w:t>1,5</w:t>
      </w:r>
      <w:r w:rsidR="00310F27" w:rsidRPr="00020C88">
        <w:rPr>
          <w:rFonts w:ascii="Times New Roman" w:hAnsi="Times New Roman"/>
          <w:sz w:val="20"/>
          <w:szCs w:val="20"/>
        </w:rPr>
        <w:t xml:space="preserve"> mil. eur</w:t>
      </w:r>
      <w:r w:rsidR="00554D42" w:rsidRPr="00020C88">
        <w:rPr>
          <w:rFonts w:ascii="Times New Roman" w:hAnsi="Times New Roman"/>
          <w:sz w:val="20"/>
          <w:szCs w:val="20"/>
        </w:rPr>
        <w:t>;</w:t>
      </w:r>
      <w:r w:rsidR="00077B21" w:rsidRPr="00020C88">
        <w:rPr>
          <w:rFonts w:ascii="Times New Roman" w:hAnsi="Times New Roman"/>
          <w:sz w:val="20"/>
          <w:szCs w:val="20"/>
        </w:rPr>
        <w:t> v roku 2021 na úrovni cca 2,4 mil. eur a v roku 2022 na úrovni cca 2,5 mil. eur.</w:t>
      </w:r>
      <w:r w:rsidR="008A1967" w:rsidRPr="00020C88">
        <w:rPr>
          <w:rFonts w:ascii="Times New Roman" w:hAnsi="Times New Roman"/>
          <w:sz w:val="20"/>
          <w:szCs w:val="20"/>
        </w:rPr>
        <w:t xml:space="preserve"> </w:t>
      </w:r>
    </w:p>
    <w:p w14:paraId="6F8DCD62" w14:textId="77777777" w:rsidR="00765DB2" w:rsidRPr="00020C88" w:rsidRDefault="00765DB2" w:rsidP="00CB750F">
      <w:pPr>
        <w:spacing w:after="0" w:line="240" w:lineRule="auto"/>
        <w:jc w:val="both"/>
        <w:rPr>
          <w:rFonts w:ascii="Times New Roman" w:hAnsi="Times New Roman"/>
          <w:b/>
          <w:color w:val="000000"/>
          <w:sz w:val="20"/>
          <w:szCs w:val="20"/>
        </w:rPr>
      </w:pPr>
    </w:p>
    <w:p w14:paraId="0131E2A2" w14:textId="569A1112" w:rsidR="009C576C" w:rsidRPr="00020C88" w:rsidRDefault="009C576C" w:rsidP="00CB750F">
      <w:pPr>
        <w:spacing w:after="0" w:line="240" w:lineRule="auto"/>
        <w:jc w:val="both"/>
        <w:rPr>
          <w:rFonts w:ascii="Times New Roman" w:hAnsi="Times New Roman"/>
          <w:sz w:val="20"/>
          <w:szCs w:val="20"/>
        </w:rPr>
      </w:pPr>
      <w:r w:rsidRPr="00020C88">
        <w:rPr>
          <w:rFonts w:ascii="Times New Roman" w:hAnsi="Times New Roman"/>
          <w:b/>
          <w:color w:val="000000"/>
          <w:sz w:val="20"/>
          <w:szCs w:val="20"/>
        </w:rPr>
        <w:t>B) Rozšírenie</w:t>
      </w:r>
      <w:r w:rsidRPr="00020C88">
        <w:rPr>
          <w:rFonts w:ascii="Times New Roman" w:hAnsi="Times New Roman"/>
          <w:b/>
          <w:i/>
          <w:color w:val="000000"/>
          <w:sz w:val="20"/>
          <w:szCs w:val="20"/>
        </w:rPr>
        <w:t xml:space="preserve"> </w:t>
      </w:r>
      <w:r w:rsidRPr="00020C88">
        <w:rPr>
          <w:rFonts w:ascii="Times New Roman" w:hAnsi="Times New Roman"/>
          <w:b/>
          <w:sz w:val="20"/>
          <w:szCs w:val="20"/>
        </w:rPr>
        <w:t>okruhu oprávnených osôb na ošetrovné</w:t>
      </w:r>
    </w:p>
    <w:p w14:paraId="08712F74" w14:textId="2658F0C2" w:rsidR="00263FD1" w:rsidRPr="00020C88" w:rsidRDefault="00F615D8"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 xml:space="preserve">Odhaduje sa, že uvedená právna úprava bude predstavovať zvýšenie priemerného mesačného počtu vyplatených dávok ošetrovné o cca 700 dávok, pričom priemerný mesačný počet </w:t>
      </w:r>
      <w:r w:rsidR="00712ED7" w:rsidRPr="00020C88">
        <w:rPr>
          <w:rFonts w:ascii="Times New Roman" w:hAnsi="Times New Roman"/>
          <w:sz w:val="20"/>
          <w:szCs w:val="20"/>
        </w:rPr>
        <w:t>vyplatených dávok</w:t>
      </w:r>
      <w:r w:rsidRPr="00020C88">
        <w:rPr>
          <w:rFonts w:ascii="Times New Roman" w:hAnsi="Times New Roman"/>
          <w:sz w:val="20"/>
          <w:szCs w:val="20"/>
        </w:rPr>
        <w:t xml:space="preserve"> ošetrovné bol v roku 2018 na úrovni 14 041. Vzhľadom k tomu, že z údajov Sociálnej poisťovne nebolo možné vyčísliť cieľovú skupinu poistencov, bol zvolený kvalifikovaný</w:t>
      </w:r>
      <w:r w:rsidR="00F05B78" w:rsidRPr="00020C88">
        <w:rPr>
          <w:rFonts w:ascii="Times New Roman" w:hAnsi="Times New Roman"/>
          <w:sz w:val="20"/>
          <w:szCs w:val="20"/>
        </w:rPr>
        <w:t>/expertný</w:t>
      </w:r>
      <w:r w:rsidRPr="00020C88">
        <w:rPr>
          <w:rFonts w:ascii="Times New Roman" w:hAnsi="Times New Roman"/>
          <w:sz w:val="20"/>
          <w:szCs w:val="20"/>
        </w:rPr>
        <w:t xml:space="preserve"> odhad zvýšenia výdavkov na dávku ošetrovné. Kvalifikovaný odhad predstavuje stredný scenár zvýšenia výdavkov, kde maximalistický scenár predstavoval zvýšenie výdavkov o 10 % a minimalistický scenár predstavoval zanedbateľné zvýšenie výdavkov, t. j. vplyvom uvedeného opatrenia sa predpokladá zvýšenie výdavkov n</w:t>
      </w:r>
      <w:r w:rsidR="00F05B78" w:rsidRPr="00020C88">
        <w:rPr>
          <w:rFonts w:ascii="Times New Roman" w:hAnsi="Times New Roman"/>
          <w:sz w:val="20"/>
          <w:szCs w:val="20"/>
        </w:rPr>
        <w:t>a dávku ošetrovné  v rokoch 2020</w:t>
      </w:r>
      <w:r w:rsidRPr="00020C88">
        <w:rPr>
          <w:rFonts w:ascii="Times New Roman" w:hAnsi="Times New Roman"/>
          <w:sz w:val="20"/>
          <w:szCs w:val="20"/>
        </w:rPr>
        <w:t xml:space="preserve"> až 2022 približne o 5 %.  Počet dotknutých osôb sa odhaduje v rokoch 2020 až  2022 na úrovni približne 4 550 osôb ročne (výpočet predpokladá, že poistenec môže čerpať dávku ošetrovné </w:t>
      </w:r>
      <w:r w:rsidR="0087431E" w:rsidRPr="00020C88">
        <w:rPr>
          <w:rFonts w:ascii="Times New Roman" w:hAnsi="Times New Roman"/>
          <w:sz w:val="20"/>
          <w:szCs w:val="20"/>
        </w:rPr>
        <w:t xml:space="preserve">raz </w:t>
      </w:r>
      <w:r w:rsidRPr="00020C88">
        <w:rPr>
          <w:rFonts w:ascii="Times New Roman" w:hAnsi="Times New Roman"/>
          <w:sz w:val="20"/>
          <w:szCs w:val="20"/>
        </w:rPr>
        <w:t>za rok). Z</w:t>
      </w:r>
      <w:r w:rsidR="0028536C" w:rsidRPr="00020C88">
        <w:rPr>
          <w:rFonts w:ascii="Times New Roman" w:hAnsi="Times New Roman"/>
          <w:sz w:val="20"/>
          <w:szCs w:val="20"/>
        </w:rPr>
        <w:t>vý</w:t>
      </w:r>
      <w:r w:rsidR="0059299E" w:rsidRPr="00020C88">
        <w:rPr>
          <w:rFonts w:ascii="Times New Roman" w:hAnsi="Times New Roman"/>
          <w:sz w:val="20"/>
          <w:szCs w:val="20"/>
        </w:rPr>
        <w:t>šenie výdavkov verejnej správy</w:t>
      </w:r>
      <w:r w:rsidRPr="00020C88">
        <w:rPr>
          <w:rFonts w:ascii="Times New Roman" w:hAnsi="Times New Roman"/>
          <w:sz w:val="20"/>
          <w:szCs w:val="20"/>
        </w:rPr>
        <w:t xml:space="preserve"> sa predpokladá</w:t>
      </w:r>
      <w:r w:rsidR="0059299E" w:rsidRPr="00020C88">
        <w:rPr>
          <w:rFonts w:ascii="Times New Roman" w:hAnsi="Times New Roman"/>
          <w:sz w:val="20"/>
          <w:szCs w:val="20"/>
        </w:rPr>
        <w:t xml:space="preserve"> </w:t>
      </w:r>
      <w:r w:rsidR="0028536C" w:rsidRPr="00020C88">
        <w:rPr>
          <w:rFonts w:ascii="Times New Roman" w:hAnsi="Times New Roman"/>
          <w:sz w:val="20"/>
          <w:szCs w:val="20"/>
        </w:rPr>
        <w:t>cca</w:t>
      </w:r>
      <w:r w:rsidR="0040650B" w:rsidRPr="00020C88">
        <w:rPr>
          <w:rFonts w:ascii="Times New Roman" w:hAnsi="Times New Roman"/>
          <w:sz w:val="20"/>
          <w:szCs w:val="20"/>
        </w:rPr>
        <w:t xml:space="preserve"> o</w:t>
      </w:r>
      <w:r w:rsidR="00344928" w:rsidRPr="00020C88">
        <w:rPr>
          <w:rFonts w:ascii="Times New Roman" w:hAnsi="Times New Roman"/>
          <w:sz w:val="20"/>
          <w:szCs w:val="20"/>
        </w:rPr>
        <w:t> 0,</w:t>
      </w:r>
      <w:r w:rsidR="00825F73" w:rsidRPr="00020C88">
        <w:rPr>
          <w:rFonts w:ascii="Times New Roman" w:hAnsi="Times New Roman"/>
          <w:sz w:val="20"/>
          <w:szCs w:val="20"/>
        </w:rPr>
        <w:t>7</w:t>
      </w:r>
      <w:r w:rsidR="0040650B" w:rsidRPr="00020C88">
        <w:rPr>
          <w:rFonts w:ascii="Times New Roman" w:hAnsi="Times New Roman"/>
          <w:sz w:val="20"/>
          <w:szCs w:val="20"/>
        </w:rPr>
        <w:t xml:space="preserve"> mil. eur v roku 2020;</w:t>
      </w:r>
      <w:r w:rsidR="0059299E" w:rsidRPr="00020C88">
        <w:rPr>
          <w:rFonts w:ascii="Times New Roman" w:hAnsi="Times New Roman"/>
          <w:sz w:val="20"/>
          <w:szCs w:val="20"/>
        </w:rPr>
        <w:t> </w:t>
      </w:r>
      <w:r w:rsidR="0028536C" w:rsidRPr="00020C88">
        <w:rPr>
          <w:rFonts w:ascii="Times New Roman" w:hAnsi="Times New Roman"/>
          <w:sz w:val="20"/>
          <w:szCs w:val="20"/>
        </w:rPr>
        <w:t>cca</w:t>
      </w:r>
      <w:r w:rsidR="0059299E" w:rsidRPr="00020C88">
        <w:rPr>
          <w:rFonts w:ascii="Times New Roman" w:hAnsi="Times New Roman"/>
          <w:sz w:val="20"/>
          <w:szCs w:val="20"/>
        </w:rPr>
        <w:t xml:space="preserve"> o</w:t>
      </w:r>
      <w:r w:rsidR="00077B21" w:rsidRPr="00020C88">
        <w:rPr>
          <w:rFonts w:ascii="Times New Roman" w:hAnsi="Times New Roman"/>
          <w:sz w:val="20"/>
          <w:szCs w:val="20"/>
        </w:rPr>
        <w:t> 1,2 mil. eur v roku 2021 a cca o 1,3 mil. eur v roku 2022.</w:t>
      </w:r>
      <w:r w:rsidR="00C45A01" w:rsidRPr="00020C88">
        <w:rPr>
          <w:rFonts w:ascii="Times New Roman" w:hAnsi="Times New Roman"/>
          <w:sz w:val="20"/>
          <w:szCs w:val="20"/>
        </w:rPr>
        <w:t xml:space="preserve"> </w:t>
      </w:r>
      <w:r w:rsidR="00263FD1" w:rsidRPr="00020C88">
        <w:rPr>
          <w:rFonts w:ascii="Times New Roman" w:hAnsi="Times New Roman"/>
          <w:sz w:val="20"/>
          <w:szCs w:val="20"/>
          <w:lang w:eastAsia="sk-SK"/>
        </w:rPr>
        <w:t xml:space="preserve">Nemožno očakávať úsporu v zariadeniach následnej zdravotnej starostlivosti, nakoľko existujú dlhé zoznamy čakateľov na tieto služby.  Z tohto dôvodu nemožno realisticky predpokladať, že by celý zoznam čakateľov bol vyriešený domácou starostlivosťou, a preto nie je možné očakávať úsporu výdavkov na zariadeniach ústavnej starostlivosti ani v zariadeniach sociálnych služieb. Zvýšené výdavky na ošetrovné budú hradené z vyššieho výberu poistného, to neznamená, že tieto príjmy prináša predkladaná novela. Predkladateľ mal skôr na mysli skutočnosť, že príjmy na sociálne poistenie sú pri tvorbe rozpočtu pravidelne podhodnocované napr. v roku 2018 Sociálna poisťovňa vybrala na poistnom od ekonomicky aktívneho obyvateľstva cca o 192 mil. eur viac v porovnaní  so schváleným rozpočtom. Nie je možné vypustiť vplyvy na ošetrovné, nakoľko je žiaduce, aby boli zmeny v oblasti ošetrovného súčasťou predkladaného materiálu.  </w:t>
      </w:r>
    </w:p>
    <w:p w14:paraId="55B7370D" w14:textId="7378B3CE" w:rsidR="00D018A5" w:rsidRPr="00020C88" w:rsidRDefault="00D018A5" w:rsidP="00CB750F">
      <w:pPr>
        <w:spacing w:after="0" w:line="240" w:lineRule="auto"/>
        <w:ind w:firstLine="708"/>
        <w:jc w:val="both"/>
        <w:rPr>
          <w:rFonts w:ascii="Times New Roman" w:hAnsi="Times New Roman"/>
          <w:sz w:val="20"/>
          <w:szCs w:val="20"/>
        </w:rPr>
      </w:pPr>
    </w:p>
    <w:p w14:paraId="3D0B9C4B" w14:textId="77777777" w:rsidR="00C45A01" w:rsidRPr="00020C88" w:rsidRDefault="00C45A01" w:rsidP="00CB750F">
      <w:pPr>
        <w:spacing w:after="0" w:line="240" w:lineRule="auto"/>
        <w:jc w:val="both"/>
        <w:rPr>
          <w:rFonts w:ascii="Times New Roman" w:hAnsi="Times New Roman"/>
          <w:b/>
          <w:sz w:val="20"/>
          <w:szCs w:val="20"/>
        </w:rPr>
      </w:pPr>
      <w:r w:rsidRPr="00020C88">
        <w:rPr>
          <w:rFonts w:ascii="Times New Roman" w:hAnsi="Times New Roman"/>
          <w:b/>
          <w:sz w:val="20"/>
          <w:szCs w:val="20"/>
        </w:rPr>
        <w:t xml:space="preserve">C) </w:t>
      </w:r>
      <w:r w:rsidR="00213282" w:rsidRPr="00020C88">
        <w:rPr>
          <w:rFonts w:ascii="Times New Roman" w:hAnsi="Times New Roman"/>
          <w:b/>
          <w:sz w:val="20"/>
          <w:szCs w:val="20"/>
        </w:rPr>
        <w:t>Predĺženie obdobia poskytovania</w:t>
      </w:r>
      <w:r w:rsidRPr="00020C88">
        <w:rPr>
          <w:rFonts w:ascii="Times New Roman" w:hAnsi="Times New Roman"/>
          <w:b/>
          <w:sz w:val="20"/>
          <w:szCs w:val="20"/>
        </w:rPr>
        <w:t xml:space="preserve"> dávky ošetrovné zo súčasných 10 dní na 14 dní.</w:t>
      </w:r>
    </w:p>
    <w:p w14:paraId="69648198" w14:textId="218627E4" w:rsidR="00C45A01" w:rsidRPr="00020C88" w:rsidRDefault="00091240" w:rsidP="00CB750F">
      <w:pPr>
        <w:spacing w:after="0" w:line="240" w:lineRule="auto"/>
        <w:jc w:val="both"/>
        <w:rPr>
          <w:rFonts w:ascii="Times New Roman" w:hAnsi="Times New Roman"/>
          <w:sz w:val="20"/>
          <w:szCs w:val="20"/>
        </w:rPr>
      </w:pPr>
      <w:r w:rsidRPr="00020C88">
        <w:rPr>
          <w:rFonts w:ascii="Times New Roman" w:hAnsi="Times New Roman"/>
          <w:sz w:val="20"/>
          <w:szCs w:val="20"/>
        </w:rPr>
        <w:t>V súčasnosti sa priemerné obdobie poberania dávky ošetrovné blíži k 10 dňom. Vzhľadom k tomu, že nedokážeme spoľahlivo odhadnúť priemerné obdobie poberania dávky ošetrovné po zvýšení maximálnej doby</w:t>
      </w:r>
      <w:r w:rsidR="002B33DB" w:rsidRPr="00020C88">
        <w:rPr>
          <w:rFonts w:ascii="Times New Roman" w:hAnsi="Times New Roman"/>
          <w:sz w:val="20"/>
          <w:szCs w:val="20"/>
        </w:rPr>
        <w:t xml:space="preserve"> poberania</w:t>
      </w:r>
      <w:r w:rsidR="00FE3A12" w:rsidRPr="00020C88">
        <w:rPr>
          <w:rFonts w:ascii="Times New Roman" w:hAnsi="Times New Roman"/>
          <w:sz w:val="20"/>
          <w:szCs w:val="20"/>
        </w:rPr>
        <w:t xml:space="preserve"> ošetrovného</w:t>
      </w:r>
      <w:r w:rsidRPr="00020C88">
        <w:rPr>
          <w:rFonts w:ascii="Times New Roman" w:hAnsi="Times New Roman"/>
          <w:sz w:val="20"/>
          <w:szCs w:val="20"/>
        </w:rPr>
        <w:t xml:space="preserve"> zo súčasných 10 dní na 14 dní, boli p</w:t>
      </w:r>
      <w:r w:rsidR="00C45A01" w:rsidRPr="00020C88">
        <w:rPr>
          <w:rFonts w:ascii="Times New Roman" w:hAnsi="Times New Roman"/>
          <w:sz w:val="20"/>
          <w:szCs w:val="20"/>
        </w:rPr>
        <w:t>ri kvantifikácii</w:t>
      </w:r>
      <w:r w:rsidRPr="00020C88">
        <w:rPr>
          <w:rFonts w:ascii="Times New Roman" w:hAnsi="Times New Roman"/>
          <w:sz w:val="20"/>
          <w:szCs w:val="20"/>
        </w:rPr>
        <w:t xml:space="preserve"> zvýšených výdavkov</w:t>
      </w:r>
      <w:r w:rsidR="004418D6" w:rsidRPr="00020C88">
        <w:rPr>
          <w:rFonts w:ascii="Times New Roman" w:hAnsi="Times New Roman"/>
          <w:sz w:val="20"/>
          <w:szCs w:val="20"/>
        </w:rPr>
        <w:t xml:space="preserve"> navýšené odhadované</w:t>
      </w:r>
      <w:r w:rsidRPr="00020C88">
        <w:rPr>
          <w:rFonts w:ascii="Times New Roman" w:hAnsi="Times New Roman"/>
          <w:sz w:val="20"/>
          <w:szCs w:val="20"/>
        </w:rPr>
        <w:t xml:space="preserve"> výdavky na dávku</w:t>
      </w:r>
      <w:r w:rsidR="00C45A01" w:rsidRPr="00020C88">
        <w:rPr>
          <w:rFonts w:ascii="Times New Roman" w:hAnsi="Times New Roman"/>
          <w:sz w:val="20"/>
          <w:szCs w:val="20"/>
        </w:rPr>
        <w:t xml:space="preserve"> ošetrovné</w:t>
      </w:r>
      <w:r w:rsidRPr="00020C88">
        <w:rPr>
          <w:rFonts w:ascii="Times New Roman" w:hAnsi="Times New Roman"/>
          <w:sz w:val="20"/>
          <w:szCs w:val="20"/>
        </w:rPr>
        <w:t xml:space="preserve"> v rokoch 2020 až 2022</w:t>
      </w:r>
      <w:r w:rsidR="00C45A01" w:rsidRPr="00020C88">
        <w:rPr>
          <w:rFonts w:ascii="Times New Roman" w:hAnsi="Times New Roman"/>
          <w:sz w:val="20"/>
          <w:szCs w:val="20"/>
        </w:rPr>
        <w:t xml:space="preserve"> o 40 </w:t>
      </w:r>
      <w:r w:rsidRPr="00020C88">
        <w:rPr>
          <w:rFonts w:ascii="Times New Roman" w:hAnsi="Times New Roman"/>
          <w:sz w:val="20"/>
          <w:szCs w:val="20"/>
        </w:rPr>
        <w:t xml:space="preserve">%, t. j. kvantifikácia predstavuje maximálne zvýšenie výdavkov, ktoré je možné očakávať pri navrhovanej právnej úprave. Očakávané </w:t>
      </w:r>
      <w:r w:rsidR="00DF688B" w:rsidRPr="00020C88">
        <w:rPr>
          <w:rFonts w:ascii="Times New Roman" w:hAnsi="Times New Roman"/>
          <w:sz w:val="20"/>
          <w:szCs w:val="20"/>
        </w:rPr>
        <w:t xml:space="preserve">zvýšené </w:t>
      </w:r>
      <w:r w:rsidRPr="00020C88">
        <w:rPr>
          <w:rFonts w:ascii="Times New Roman" w:hAnsi="Times New Roman"/>
          <w:sz w:val="20"/>
          <w:szCs w:val="20"/>
        </w:rPr>
        <w:t>výdavky na dávku ošetrovné boli v</w:t>
      </w:r>
      <w:r w:rsidR="00DF688B" w:rsidRPr="00020C88">
        <w:rPr>
          <w:rFonts w:ascii="Times New Roman" w:hAnsi="Times New Roman"/>
          <w:sz w:val="20"/>
          <w:szCs w:val="20"/>
        </w:rPr>
        <w:t>ypočítané na základe</w:t>
      </w:r>
      <w:r w:rsidRPr="00020C88">
        <w:rPr>
          <w:rFonts w:ascii="Times New Roman" w:hAnsi="Times New Roman"/>
          <w:sz w:val="20"/>
          <w:szCs w:val="20"/>
        </w:rPr>
        <w:t xml:space="preserve"> výdavkov </w:t>
      </w:r>
      <w:r w:rsidR="00DF688B" w:rsidRPr="00020C88">
        <w:rPr>
          <w:rFonts w:ascii="Times New Roman" w:hAnsi="Times New Roman"/>
          <w:sz w:val="20"/>
          <w:szCs w:val="20"/>
        </w:rPr>
        <w:t xml:space="preserve">základného fondu nemocenského poistenia a očakávaných výdavkov na dávku ošetrovné </w:t>
      </w:r>
      <w:r w:rsidRPr="00020C88">
        <w:rPr>
          <w:rFonts w:ascii="Times New Roman" w:hAnsi="Times New Roman"/>
          <w:sz w:val="20"/>
          <w:szCs w:val="20"/>
        </w:rPr>
        <w:t>v</w:t>
      </w:r>
      <w:r w:rsidR="004418D6" w:rsidRPr="00020C88">
        <w:rPr>
          <w:rFonts w:ascii="Times New Roman" w:hAnsi="Times New Roman"/>
          <w:sz w:val="20"/>
          <w:szCs w:val="20"/>
        </w:rPr>
        <w:t> rokoch 2020 až 2022.</w:t>
      </w:r>
      <w:r w:rsidRPr="00020C88">
        <w:rPr>
          <w:rFonts w:ascii="Times New Roman" w:hAnsi="Times New Roman"/>
          <w:sz w:val="20"/>
          <w:szCs w:val="20"/>
        </w:rPr>
        <w:t xml:space="preserve"> </w:t>
      </w:r>
      <w:r w:rsidR="00CB6A72" w:rsidRPr="00020C88">
        <w:rPr>
          <w:rFonts w:ascii="Times New Roman" w:hAnsi="Times New Roman"/>
          <w:sz w:val="20"/>
          <w:szCs w:val="20"/>
        </w:rPr>
        <w:t>Vplyvom predĺženia podporného obdobia z 10 dní na 14 dní sa očakáva zvýšenie výdavkov Sociáln</w:t>
      </w:r>
      <w:r w:rsidR="004418D6" w:rsidRPr="00020C88">
        <w:rPr>
          <w:rFonts w:ascii="Times New Roman" w:hAnsi="Times New Roman"/>
          <w:sz w:val="20"/>
          <w:szCs w:val="20"/>
        </w:rPr>
        <w:t xml:space="preserve">ej poisťovne v roku 2020 o cca </w:t>
      </w:r>
      <w:r w:rsidR="00344928" w:rsidRPr="00020C88">
        <w:rPr>
          <w:rFonts w:ascii="Times New Roman" w:hAnsi="Times New Roman"/>
          <w:sz w:val="20"/>
          <w:szCs w:val="20"/>
        </w:rPr>
        <w:t>6,</w:t>
      </w:r>
      <w:r w:rsidR="00825F73" w:rsidRPr="00020C88">
        <w:rPr>
          <w:rFonts w:ascii="Times New Roman" w:hAnsi="Times New Roman"/>
          <w:sz w:val="20"/>
          <w:szCs w:val="20"/>
        </w:rPr>
        <w:t>5</w:t>
      </w:r>
      <w:r w:rsidR="0010124B" w:rsidRPr="00020C88">
        <w:rPr>
          <w:rFonts w:ascii="Times New Roman" w:hAnsi="Times New Roman"/>
          <w:sz w:val="20"/>
          <w:szCs w:val="20"/>
        </w:rPr>
        <w:t xml:space="preserve"> mil. eur, v roku 2021 o cca 9,7</w:t>
      </w:r>
      <w:r w:rsidR="00CB6A72" w:rsidRPr="00020C88">
        <w:rPr>
          <w:rFonts w:ascii="Times New Roman" w:hAnsi="Times New Roman"/>
          <w:sz w:val="20"/>
          <w:szCs w:val="20"/>
        </w:rPr>
        <w:t xml:space="preserve"> mil. eur a v roku 2022 cca o</w:t>
      </w:r>
      <w:r w:rsidR="0010124B" w:rsidRPr="00020C88">
        <w:rPr>
          <w:rFonts w:ascii="Times New Roman" w:hAnsi="Times New Roman"/>
          <w:sz w:val="20"/>
          <w:szCs w:val="20"/>
        </w:rPr>
        <w:t> 10,7</w:t>
      </w:r>
      <w:r w:rsidR="00CB6A72" w:rsidRPr="00020C88">
        <w:rPr>
          <w:rFonts w:ascii="Times New Roman" w:hAnsi="Times New Roman"/>
          <w:sz w:val="20"/>
          <w:szCs w:val="20"/>
        </w:rPr>
        <w:t xml:space="preserve"> mil. eur.</w:t>
      </w:r>
    </w:p>
    <w:p w14:paraId="4FCC9A15" w14:textId="77777777" w:rsidR="006D5C1D" w:rsidRPr="00020C88" w:rsidRDefault="006D5C1D" w:rsidP="00CB750F">
      <w:pPr>
        <w:spacing w:after="0" w:line="240" w:lineRule="auto"/>
        <w:jc w:val="both"/>
        <w:rPr>
          <w:rFonts w:ascii="Times New Roman" w:hAnsi="Times New Roman"/>
          <w:sz w:val="20"/>
          <w:szCs w:val="20"/>
          <w:lang w:eastAsia="sk-SK"/>
        </w:rPr>
      </w:pPr>
    </w:p>
    <w:p w14:paraId="773FF237" w14:textId="77777777" w:rsidR="00785D60" w:rsidRPr="00020C88" w:rsidRDefault="0029720E" w:rsidP="00CB750F">
      <w:pPr>
        <w:spacing w:after="0" w:line="240" w:lineRule="auto"/>
        <w:jc w:val="both"/>
        <w:rPr>
          <w:rFonts w:ascii="Times New Roman" w:hAnsi="Times New Roman"/>
          <w:sz w:val="20"/>
          <w:szCs w:val="20"/>
        </w:rPr>
      </w:pPr>
      <w:r w:rsidRPr="00020C88">
        <w:rPr>
          <w:rFonts w:ascii="Times New Roman" w:hAnsi="Times New Roman"/>
          <w:sz w:val="20"/>
          <w:szCs w:val="20"/>
          <w:lang w:eastAsia="sk-SK"/>
        </w:rPr>
        <w:t xml:space="preserve">                   </w:t>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Pr="00020C88">
        <w:rPr>
          <w:rFonts w:ascii="Times New Roman" w:hAnsi="Times New Roman"/>
          <w:sz w:val="20"/>
          <w:szCs w:val="20"/>
          <w:lang w:eastAsia="sk-SK"/>
        </w:rPr>
        <w:tab/>
      </w:r>
      <w:r w:rsidR="00F14687" w:rsidRPr="00020C88">
        <w:rPr>
          <w:rFonts w:ascii="Times New Roman" w:hAnsi="Times New Roman"/>
          <w:sz w:val="20"/>
          <w:szCs w:val="20"/>
          <w:lang w:eastAsia="sk-SK"/>
        </w:rPr>
        <w:t>Tabuľka č. 4</w:t>
      </w:r>
      <w:r w:rsidR="00D018A5" w:rsidRPr="00020C88">
        <w:rPr>
          <w:rFonts w:ascii="Times New Roman" w:hAnsi="Times New Roman"/>
          <w:sz w:val="20"/>
          <w:szCs w:val="20"/>
        </w:rPr>
        <w:t>A</w:t>
      </w:r>
    </w:p>
    <w:tbl>
      <w:tblPr>
        <w:tblW w:w="10490" w:type="dxa"/>
        <w:tblInd w:w="-294" w:type="dxa"/>
        <w:tblCellMar>
          <w:left w:w="70" w:type="dxa"/>
          <w:right w:w="70" w:type="dxa"/>
        </w:tblCellMar>
        <w:tblLook w:val="04A0" w:firstRow="1" w:lastRow="0" w:firstColumn="1" w:lastColumn="0" w:noHBand="0" w:noVBand="1"/>
      </w:tblPr>
      <w:tblGrid>
        <w:gridCol w:w="4962"/>
        <w:gridCol w:w="1134"/>
        <w:gridCol w:w="1134"/>
        <w:gridCol w:w="1134"/>
        <w:gridCol w:w="1134"/>
        <w:gridCol w:w="992"/>
      </w:tblGrid>
      <w:tr w:rsidR="00825F73" w:rsidRPr="00020C88" w14:paraId="394ED3F0" w14:textId="77777777" w:rsidTr="00043791">
        <w:trPr>
          <w:trHeight w:val="750"/>
        </w:trPr>
        <w:tc>
          <w:tcPr>
            <w:tcW w:w="4962" w:type="dxa"/>
            <w:vMerge w:val="restart"/>
            <w:tcBorders>
              <w:top w:val="single" w:sz="8" w:space="0" w:color="auto"/>
              <w:left w:val="single" w:sz="8" w:space="0" w:color="auto"/>
              <w:bottom w:val="nil"/>
              <w:right w:val="single" w:sz="8" w:space="0" w:color="auto"/>
            </w:tcBorders>
            <w:shd w:val="clear" w:color="000000" w:fill="BFBFBF"/>
            <w:vAlign w:val="center"/>
            <w:hideMark/>
          </w:tcPr>
          <w:p w14:paraId="387DA700"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Výdavky Sociálnej poisťovne (v eurách)</w:t>
            </w:r>
          </w:p>
        </w:tc>
        <w:tc>
          <w:tcPr>
            <w:tcW w:w="4536" w:type="dxa"/>
            <w:gridSpan w:val="4"/>
            <w:tcBorders>
              <w:top w:val="single" w:sz="8" w:space="0" w:color="auto"/>
              <w:left w:val="nil"/>
              <w:bottom w:val="single" w:sz="8" w:space="0" w:color="auto"/>
              <w:right w:val="single" w:sz="8" w:space="0" w:color="000000"/>
            </w:tcBorders>
            <w:shd w:val="clear" w:color="000000" w:fill="BFBFBF"/>
            <w:vAlign w:val="center"/>
            <w:hideMark/>
          </w:tcPr>
          <w:p w14:paraId="477C8C69"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 xml:space="preserve">Vplyv na rozpočet Sociálnej poisťovne           </w:t>
            </w:r>
          </w:p>
        </w:tc>
        <w:tc>
          <w:tcPr>
            <w:tcW w:w="992" w:type="dxa"/>
            <w:vMerge w:val="restart"/>
            <w:tcBorders>
              <w:top w:val="single" w:sz="8" w:space="0" w:color="auto"/>
              <w:left w:val="single" w:sz="8" w:space="0" w:color="auto"/>
              <w:bottom w:val="nil"/>
              <w:right w:val="single" w:sz="8" w:space="0" w:color="auto"/>
            </w:tcBorders>
            <w:shd w:val="clear" w:color="000000" w:fill="BFBFBF"/>
            <w:noWrap/>
            <w:vAlign w:val="center"/>
            <w:hideMark/>
          </w:tcPr>
          <w:p w14:paraId="102367B9"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poznámka</w:t>
            </w:r>
          </w:p>
        </w:tc>
      </w:tr>
      <w:tr w:rsidR="00825F73" w:rsidRPr="00020C88" w14:paraId="1767199C" w14:textId="77777777" w:rsidTr="00043791">
        <w:trPr>
          <w:trHeight w:val="270"/>
        </w:trPr>
        <w:tc>
          <w:tcPr>
            <w:tcW w:w="4962" w:type="dxa"/>
            <w:vMerge/>
            <w:tcBorders>
              <w:top w:val="single" w:sz="8" w:space="0" w:color="auto"/>
              <w:left w:val="single" w:sz="8" w:space="0" w:color="auto"/>
              <w:bottom w:val="nil"/>
              <w:right w:val="single" w:sz="8" w:space="0" w:color="auto"/>
            </w:tcBorders>
            <w:vAlign w:val="center"/>
            <w:hideMark/>
          </w:tcPr>
          <w:p w14:paraId="20256CB7" w14:textId="77777777" w:rsidR="00825F73" w:rsidRPr="00020C88" w:rsidRDefault="00825F73" w:rsidP="00CB750F">
            <w:pPr>
              <w:spacing w:after="0" w:line="240" w:lineRule="auto"/>
              <w:jc w:val="both"/>
              <w:rPr>
                <w:rFonts w:ascii="Times New Roman" w:hAnsi="Times New Roman"/>
                <w:b/>
                <w:bCs/>
                <w:sz w:val="20"/>
                <w:szCs w:val="20"/>
                <w:lang w:eastAsia="sk-SK"/>
              </w:rPr>
            </w:pPr>
          </w:p>
        </w:tc>
        <w:tc>
          <w:tcPr>
            <w:tcW w:w="1134" w:type="dxa"/>
            <w:tcBorders>
              <w:top w:val="nil"/>
              <w:left w:val="nil"/>
              <w:bottom w:val="single" w:sz="8" w:space="0" w:color="auto"/>
              <w:right w:val="single" w:sz="8" w:space="0" w:color="auto"/>
            </w:tcBorders>
            <w:shd w:val="clear" w:color="000000" w:fill="BFBFBF"/>
            <w:vAlign w:val="center"/>
            <w:hideMark/>
          </w:tcPr>
          <w:p w14:paraId="56C869BE"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2019</w:t>
            </w:r>
          </w:p>
        </w:tc>
        <w:tc>
          <w:tcPr>
            <w:tcW w:w="1134" w:type="dxa"/>
            <w:tcBorders>
              <w:top w:val="nil"/>
              <w:left w:val="nil"/>
              <w:bottom w:val="single" w:sz="8" w:space="0" w:color="auto"/>
              <w:right w:val="single" w:sz="8" w:space="0" w:color="auto"/>
            </w:tcBorders>
            <w:shd w:val="clear" w:color="000000" w:fill="BFBFBF"/>
            <w:vAlign w:val="center"/>
            <w:hideMark/>
          </w:tcPr>
          <w:p w14:paraId="618D7FE1"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2020</w:t>
            </w:r>
          </w:p>
        </w:tc>
        <w:tc>
          <w:tcPr>
            <w:tcW w:w="1134" w:type="dxa"/>
            <w:tcBorders>
              <w:top w:val="nil"/>
              <w:left w:val="nil"/>
              <w:bottom w:val="single" w:sz="8" w:space="0" w:color="auto"/>
              <w:right w:val="single" w:sz="8" w:space="0" w:color="auto"/>
            </w:tcBorders>
            <w:shd w:val="clear" w:color="000000" w:fill="BFBFBF"/>
            <w:vAlign w:val="center"/>
            <w:hideMark/>
          </w:tcPr>
          <w:p w14:paraId="0C6FBD1F"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2021</w:t>
            </w:r>
          </w:p>
        </w:tc>
        <w:tc>
          <w:tcPr>
            <w:tcW w:w="1134" w:type="dxa"/>
            <w:tcBorders>
              <w:top w:val="nil"/>
              <w:left w:val="nil"/>
              <w:bottom w:val="single" w:sz="8" w:space="0" w:color="auto"/>
              <w:right w:val="single" w:sz="8" w:space="0" w:color="auto"/>
            </w:tcBorders>
            <w:shd w:val="clear" w:color="000000" w:fill="BFBFBF"/>
            <w:vAlign w:val="center"/>
            <w:hideMark/>
          </w:tcPr>
          <w:p w14:paraId="35B714B2"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2022</w:t>
            </w:r>
          </w:p>
        </w:tc>
        <w:tc>
          <w:tcPr>
            <w:tcW w:w="992" w:type="dxa"/>
            <w:vMerge/>
            <w:tcBorders>
              <w:top w:val="single" w:sz="8" w:space="0" w:color="auto"/>
              <w:left w:val="single" w:sz="8" w:space="0" w:color="auto"/>
              <w:bottom w:val="nil"/>
              <w:right w:val="single" w:sz="8" w:space="0" w:color="auto"/>
            </w:tcBorders>
            <w:vAlign w:val="center"/>
            <w:hideMark/>
          </w:tcPr>
          <w:p w14:paraId="4BA1C09D" w14:textId="77777777" w:rsidR="00825F73" w:rsidRPr="00020C88" w:rsidRDefault="00825F73" w:rsidP="00CB750F">
            <w:pPr>
              <w:spacing w:after="0" w:line="240" w:lineRule="auto"/>
              <w:jc w:val="both"/>
              <w:rPr>
                <w:rFonts w:ascii="Times New Roman" w:hAnsi="Times New Roman"/>
                <w:sz w:val="20"/>
                <w:szCs w:val="20"/>
                <w:lang w:eastAsia="sk-SK"/>
              </w:rPr>
            </w:pPr>
          </w:p>
        </w:tc>
      </w:tr>
      <w:tr w:rsidR="00825F73" w:rsidRPr="00020C88" w14:paraId="7AE6CA70"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694E2F97"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Bežné výdavky (600)</w:t>
            </w:r>
          </w:p>
        </w:tc>
        <w:tc>
          <w:tcPr>
            <w:tcW w:w="1134" w:type="dxa"/>
            <w:tcBorders>
              <w:top w:val="nil"/>
              <w:left w:val="nil"/>
              <w:bottom w:val="single" w:sz="8" w:space="0" w:color="auto"/>
              <w:right w:val="single" w:sz="8" w:space="0" w:color="auto"/>
            </w:tcBorders>
            <w:shd w:val="clear" w:color="auto" w:fill="auto"/>
            <w:vAlign w:val="center"/>
            <w:hideMark/>
          </w:tcPr>
          <w:p w14:paraId="77849D5A"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1 200 000</w:t>
            </w:r>
          </w:p>
        </w:tc>
        <w:tc>
          <w:tcPr>
            <w:tcW w:w="1134" w:type="dxa"/>
            <w:tcBorders>
              <w:top w:val="nil"/>
              <w:left w:val="nil"/>
              <w:bottom w:val="single" w:sz="8" w:space="0" w:color="auto"/>
              <w:right w:val="single" w:sz="8" w:space="0" w:color="auto"/>
            </w:tcBorders>
            <w:shd w:val="clear" w:color="auto" w:fill="auto"/>
            <w:vAlign w:val="center"/>
            <w:hideMark/>
          </w:tcPr>
          <w:p w14:paraId="35957C4F"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8 725 608</w:t>
            </w:r>
          </w:p>
        </w:tc>
        <w:tc>
          <w:tcPr>
            <w:tcW w:w="1134" w:type="dxa"/>
            <w:tcBorders>
              <w:top w:val="nil"/>
              <w:left w:val="nil"/>
              <w:bottom w:val="single" w:sz="8" w:space="0" w:color="auto"/>
              <w:right w:val="single" w:sz="8" w:space="0" w:color="auto"/>
            </w:tcBorders>
            <w:shd w:val="clear" w:color="auto" w:fill="auto"/>
            <w:vAlign w:val="center"/>
            <w:hideMark/>
          </w:tcPr>
          <w:p w14:paraId="42CEAADB"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13 276 699</w:t>
            </w:r>
          </w:p>
        </w:tc>
        <w:tc>
          <w:tcPr>
            <w:tcW w:w="1134" w:type="dxa"/>
            <w:tcBorders>
              <w:top w:val="nil"/>
              <w:left w:val="nil"/>
              <w:bottom w:val="single" w:sz="8" w:space="0" w:color="auto"/>
              <w:right w:val="single" w:sz="8" w:space="0" w:color="auto"/>
            </w:tcBorders>
            <w:shd w:val="clear" w:color="auto" w:fill="auto"/>
            <w:vAlign w:val="center"/>
            <w:hideMark/>
          </w:tcPr>
          <w:p w14:paraId="0D7D6A54"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1F64D908"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35365159"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02F13648"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xml:space="preserve">  Bežné transfery (640)</w:t>
            </w:r>
          </w:p>
        </w:tc>
        <w:tc>
          <w:tcPr>
            <w:tcW w:w="1134" w:type="dxa"/>
            <w:tcBorders>
              <w:top w:val="nil"/>
              <w:left w:val="nil"/>
              <w:bottom w:val="single" w:sz="8" w:space="0" w:color="auto"/>
              <w:right w:val="single" w:sz="8" w:space="0" w:color="auto"/>
            </w:tcBorders>
            <w:shd w:val="clear" w:color="auto" w:fill="auto"/>
            <w:vAlign w:val="center"/>
            <w:hideMark/>
          </w:tcPr>
          <w:p w14:paraId="7ABC2AEA"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1FC74D25"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8 725 608</w:t>
            </w:r>
          </w:p>
        </w:tc>
        <w:tc>
          <w:tcPr>
            <w:tcW w:w="1134" w:type="dxa"/>
            <w:tcBorders>
              <w:top w:val="nil"/>
              <w:left w:val="nil"/>
              <w:bottom w:val="single" w:sz="8" w:space="0" w:color="auto"/>
              <w:right w:val="single" w:sz="8" w:space="0" w:color="auto"/>
            </w:tcBorders>
            <w:shd w:val="clear" w:color="auto" w:fill="auto"/>
            <w:vAlign w:val="center"/>
            <w:hideMark/>
          </w:tcPr>
          <w:p w14:paraId="3BE751D8"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13 276 699</w:t>
            </w:r>
          </w:p>
        </w:tc>
        <w:tc>
          <w:tcPr>
            <w:tcW w:w="1134" w:type="dxa"/>
            <w:tcBorders>
              <w:top w:val="nil"/>
              <w:left w:val="nil"/>
              <w:bottom w:val="single" w:sz="8" w:space="0" w:color="auto"/>
              <w:right w:val="single" w:sz="8" w:space="0" w:color="auto"/>
            </w:tcBorders>
            <w:shd w:val="clear" w:color="auto" w:fill="auto"/>
            <w:vAlign w:val="center"/>
            <w:hideMark/>
          </w:tcPr>
          <w:p w14:paraId="343B974C"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6D28118D"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17E6C666" w14:textId="77777777" w:rsidTr="00043791">
        <w:trPr>
          <w:trHeight w:val="525"/>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FDB985F"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Transfery jednotlivcom a neziskovým právnickým osobám (642)</w:t>
            </w:r>
          </w:p>
        </w:tc>
        <w:tc>
          <w:tcPr>
            <w:tcW w:w="1134" w:type="dxa"/>
            <w:tcBorders>
              <w:top w:val="nil"/>
              <w:left w:val="nil"/>
              <w:bottom w:val="single" w:sz="8" w:space="0" w:color="auto"/>
              <w:right w:val="single" w:sz="8" w:space="0" w:color="auto"/>
            </w:tcBorders>
            <w:shd w:val="clear" w:color="auto" w:fill="auto"/>
            <w:vAlign w:val="center"/>
            <w:hideMark/>
          </w:tcPr>
          <w:p w14:paraId="26717AEF"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6A85F791"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8 725 608</w:t>
            </w:r>
          </w:p>
        </w:tc>
        <w:tc>
          <w:tcPr>
            <w:tcW w:w="1134" w:type="dxa"/>
            <w:tcBorders>
              <w:top w:val="nil"/>
              <w:left w:val="nil"/>
              <w:bottom w:val="single" w:sz="8" w:space="0" w:color="auto"/>
              <w:right w:val="single" w:sz="8" w:space="0" w:color="auto"/>
            </w:tcBorders>
            <w:shd w:val="clear" w:color="auto" w:fill="auto"/>
            <w:vAlign w:val="center"/>
            <w:hideMark/>
          </w:tcPr>
          <w:p w14:paraId="3077603A"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13 276 699</w:t>
            </w:r>
          </w:p>
        </w:tc>
        <w:tc>
          <w:tcPr>
            <w:tcW w:w="1134" w:type="dxa"/>
            <w:tcBorders>
              <w:top w:val="nil"/>
              <w:left w:val="nil"/>
              <w:bottom w:val="single" w:sz="8" w:space="0" w:color="auto"/>
              <w:right w:val="single" w:sz="8" w:space="0" w:color="auto"/>
            </w:tcBorders>
            <w:shd w:val="clear" w:color="auto" w:fill="auto"/>
            <w:vAlign w:val="center"/>
            <w:hideMark/>
          </w:tcPr>
          <w:p w14:paraId="6EB34FC8"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7008AD21"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22D2168B" w14:textId="77777777" w:rsidTr="00043791">
        <w:trPr>
          <w:trHeight w:val="855"/>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0B55F0D4"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xml:space="preserve">  Splácanie úrokov a ostatné platby súvisiace s  úverom, pôžičkou, návratnou finančnou výpomocou a finančným prenájmom (650)</w:t>
            </w:r>
          </w:p>
        </w:tc>
        <w:tc>
          <w:tcPr>
            <w:tcW w:w="1134" w:type="dxa"/>
            <w:tcBorders>
              <w:top w:val="nil"/>
              <w:left w:val="nil"/>
              <w:bottom w:val="single" w:sz="8" w:space="0" w:color="auto"/>
              <w:right w:val="single" w:sz="8" w:space="0" w:color="auto"/>
            </w:tcBorders>
            <w:shd w:val="clear" w:color="auto" w:fill="auto"/>
            <w:vAlign w:val="center"/>
            <w:hideMark/>
          </w:tcPr>
          <w:p w14:paraId="7B04AA36"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D02D878"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137615C"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49F0AAB"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146932E4"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6700FC82"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0B7916F"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xml:space="preserve">  Tovary a služby (630)</w:t>
            </w:r>
          </w:p>
        </w:tc>
        <w:tc>
          <w:tcPr>
            <w:tcW w:w="1134" w:type="dxa"/>
            <w:tcBorders>
              <w:top w:val="nil"/>
              <w:left w:val="nil"/>
              <w:bottom w:val="single" w:sz="8" w:space="0" w:color="auto"/>
              <w:right w:val="single" w:sz="8" w:space="0" w:color="auto"/>
            </w:tcBorders>
            <w:shd w:val="clear" w:color="auto" w:fill="auto"/>
            <w:vAlign w:val="center"/>
            <w:hideMark/>
          </w:tcPr>
          <w:p w14:paraId="4D533F57"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1 200 000</w:t>
            </w:r>
          </w:p>
        </w:tc>
        <w:tc>
          <w:tcPr>
            <w:tcW w:w="1134" w:type="dxa"/>
            <w:tcBorders>
              <w:top w:val="nil"/>
              <w:left w:val="nil"/>
              <w:bottom w:val="single" w:sz="8" w:space="0" w:color="auto"/>
              <w:right w:val="single" w:sz="8" w:space="0" w:color="auto"/>
            </w:tcBorders>
            <w:shd w:val="clear" w:color="auto" w:fill="auto"/>
            <w:vAlign w:val="center"/>
            <w:hideMark/>
          </w:tcPr>
          <w:p w14:paraId="0DB1DBBA"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B47305B"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516FF54"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0E4E257E"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5FFDA0A7"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2BE3E7BC"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lastRenderedPageBreak/>
              <w:t>Rutinná a štandardná údržba (635)</w:t>
            </w:r>
          </w:p>
        </w:tc>
        <w:tc>
          <w:tcPr>
            <w:tcW w:w="1134" w:type="dxa"/>
            <w:tcBorders>
              <w:top w:val="nil"/>
              <w:left w:val="nil"/>
              <w:bottom w:val="single" w:sz="8" w:space="0" w:color="auto"/>
              <w:right w:val="single" w:sz="8" w:space="0" w:color="auto"/>
            </w:tcBorders>
            <w:shd w:val="clear" w:color="auto" w:fill="auto"/>
            <w:vAlign w:val="center"/>
            <w:hideMark/>
          </w:tcPr>
          <w:p w14:paraId="613DEF56"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1 200 000</w:t>
            </w:r>
          </w:p>
        </w:tc>
        <w:tc>
          <w:tcPr>
            <w:tcW w:w="1134" w:type="dxa"/>
            <w:tcBorders>
              <w:top w:val="nil"/>
              <w:left w:val="nil"/>
              <w:bottom w:val="single" w:sz="8" w:space="0" w:color="auto"/>
              <w:right w:val="single" w:sz="8" w:space="0" w:color="auto"/>
            </w:tcBorders>
            <w:shd w:val="clear" w:color="auto" w:fill="auto"/>
            <w:vAlign w:val="center"/>
            <w:hideMark/>
          </w:tcPr>
          <w:p w14:paraId="2013A07E"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hideMark/>
          </w:tcPr>
          <w:p w14:paraId="2C00CAFB"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hideMark/>
          </w:tcPr>
          <w:p w14:paraId="3577C46B"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c>
          <w:tcPr>
            <w:tcW w:w="992" w:type="dxa"/>
            <w:tcBorders>
              <w:top w:val="nil"/>
              <w:left w:val="nil"/>
              <w:bottom w:val="single" w:sz="8" w:space="0" w:color="auto"/>
              <w:right w:val="single" w:sz="8" w:space="0" w:color="auto"/>
            </w:tcBorders>
            <w:shd w:val="clear" w:color="auto" w:fill="auto"/>
            <w:noWrap/>
            <w:vAlign w:val="center"/>
            <w:hideMark/>
          </w:tcPr>
          <w:p w14:paraId="4EB7106A"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5B2435DE"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200900F5"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Kapitálové výdavky (700)</w:t>
            </w:r>
          </w:p>
        </w:tc>
        <w:tc>
          <w:tcPr>
            <w:tcW w:w="1134" w:type="dxa"/>
            <w:tcBorders>
              <w:top w:val="nil"/>
              <w:left w:val="nil"/>
              <w:bottom w:val="single" w:sz="8" w:space="0" w:color="auto"/>
              <w:right w:val="single" w:sz="8" w:space="0" w:color="auto"/>
            </w:tcBorders>
            <w:shd w:val="clear" w:color="auto" w:fill="auto"/>
            <w:vAlign w:val="center"/>
            <w:hideMark/>
          </w:tcPr>
          <w:p w14:paraId="14768C20"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22EA684A"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15AFAF5C"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0FE7130C"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2ED276CC"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56D333F2" w14:textId="77777777" w:rsidTr="00043791">
        <w:trPr>
          <w:trHeight w:val="525"/>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1733639D"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Výdavky z transakcií s finančnými aktívami a finančnými pasívami (800)</w:t>
            </w:r>
          </w:p>
        </w:tc>
        <w:tc>
          <w:tcPr>
            <w:tcW w:w="1134" w:type="dxa"/>
            <w:tcBorders>
              <w:top w:val="nil"/>
              <w:left w:val="nil"/>
              <w:bottom w:val="single" w:sz="8" w:space="0" w:color="auto"/>
              <w:right w:val="single" w:sz="8" w:space="0" w:color="auto"/>
            </w:tcBorders>
            <w:shd w:val="clear" w:color="000000" w:fill="FFFF99"/>
            <w:vAlign w:val="center"/>
            <w:hideMark/>
          </w:tcPr>
          <w:p w14:paraId="298128F9"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14:paraId="5B0D8F01"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14:paraId="3233FC32"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14:paraId="0F5ED40C"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43F98795"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474C1EEB" w14:textId="77777777" w:rsidTr="00043791">
        <w:trPr>
          <w:trHeight w:val="330"/>
        </w:trPr>
        <w:tc>
          <w:tcPr>
            <w:tcW w:w="4962" w:type="dxa"/>
            <w:tcBorders>
              <w:top w:val="nil"/>
              <w:left w:val="single" w:sz="8" w:space="0" w:color="auto"/>
              <w:bottom w:val="single" w:sz="8" w:space="0" w:color="auto"/>
              <w:right w:val="single" w:sz="8" w:space="0" w:color="auto"/>
            </w:tcBorders>
            <w:shd w:val="clear" w:color="000000" w:fill="BFBFBF"/>
            <w:vAlign w:val="center"/>
            <w:hideMark/>
          </w:tcPr>
          <w:p w14:paraId="7F7CBC6D"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Dopad na výdavky Sociálnej poisťovne celkom</w:t>
            </w:r>
          </w:p>
        </w:tc>
        <w:tc>
          <w:tcPr>
            <w:tcW w:w="1134" w:type="dxa"/>
            <w:tcBorders>
              <w:top w:val="nil"/>
              <w:left w:val="nil"/>
              <w:bottom w:val="single" w:sz="8" w:space="0" w:color="auto"/>
              <w:right w:val="single" w:sz="8" w:space="0" w:color="auto"/>
            </w:tcBorders>
            <w:shd w:val="clear" w:color="000000" w:fill="BFBFBF"/>
            <w:vAlign w:val="center"/>
            <w:hideMark/>
          </w:tcPr>
          <w:p w14:paraId="6F55A8EA"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1 200 000</w:t>
            </w:r>
          </w:p>
        </w:tc>
        <w:tc>
          <w:tcPr>
            <w:tcW w:w="1134" w:type="dxa"/>
            <w:tcBorders>
              <w:top w:val="nil"/>
              <w:left w:val="nil"/>
              <w:bottom w:val="single" w:sz="8" w:space="0" w:color="auto"/>
              <w:right w:val="single" w:sz="8" w:space="0" w:color="auto"/>
            </w:tcBorders>
            <w:shd w:val="clear" w:color="000000" w:fill="BFBFBF"/>
            <w:vAlign w:val="center"/>
            <w:hideMark/>
          </w:tcPr>
          <w:p w14:paraId="443E1B02"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8 725 608</w:t>
            </w:r>
          </w:p>
        </w:tc>
        <w:tc>
          <w:tcPr>
            <w:tcW w:w="1134" w:type="dxa"/>
            <w:tcBorders>
              <w:top w:val="nil"/>
              <w:left w:val="nil"/>
              <w:bottom w:val="single" w:sz="8" w:space="0" w:color="auto"/>
              <w:right w:val="single" w:sz="8" w:space="0" w:color="auto"/>
            </w:tcBorders>
            <w:shd w:val="clear" w:color="000000" w:fill="BFBFBF"/>
            <w:vAlign w:val="center"/>
            <w:hideMark/>
          </w:tcPr>
          <w:p w14:paraId="1D9EFB43"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13 276 699</w:t>
            </w:r>
          </w:p>
        </w:tc>
        <w:tc>
          <w:tcPr>
            <w:tcW w:w="1134" w:type="dxa"/>
            <w:tcBorders>
              <w:top w:val="nil"/>
              <w:left w:val="nil"/>
              <w:bottom w:val="single" w:sz="8" w:space="0" w:color="auto"/>
              <w:right w:val="single" w:sz="8" w:space="0" w:color="auto"/>
            </w:tcBorders>
            <w:shd w:val="clear" w:color="000000" w:fill="BFBFBF"/>
            <w:vAlign w:val="center"/>
            <w:hideMark/>
          </w:tcPr>
          <w:p w14:paraId="771A0384"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14 554 744</w:t>
            </w:r>
          </w:p>
        </w:tc>
        <w:tc>
          <w:tcPr>
            <w:tcW w:w="992" w:type="dxa"/>
            <w:tcBorders>
              <w:top w:val="nil"/>
              <w:left w:val="nil"/>
              <w:bottom w:val="single" w:sz="8" w:space="0" w:color="auto"/>
              <w:right w:val="single" w:sz="8" w:space="0" w:color="auto"/>
            </w:tcBorders>
            <w:shd w:val="clear" w:color="000000" w:fill="BFBFBF"/>
            <w:noWrap/>
            <w:vAlign w:val="center"/>
            <w:hideMark/>
          </w:tcPr>
          <w:p w14:paraId="3C05D86A"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bl>
    <w:p w14:paraId="1958F7A1" w14:textId="77777777" w:rsidR="00CA73EF" w:rsidRPr="00020C88" w:rsidRDefault="00CA73EF" w:rsidP="00CB750F">
      <w:pPr>
        <w:spacing w:after="0" w:line="240" w:lineRule="auto"/>
        <w:jc w:val="both"/>
        <w:rPr>
          <w:rFonts w:ascii="Times New Roman" w:hAnsi="Times New Roman"/>
          <w:sz w:val="20"/>
          <w:szCs w:val="20"/>
          <w:lang w:eastAsia="sk-SK"/>
        </w:rPr>
      </w:pPr>
    </w:p>
    <w:p w14:paraId="0959D8F4" w14:textId="79D70542" w:rsidR="00532C3C" w:rsidRPr="00020C88" w:rsidRDefault="004E3BD9" w:rsidP="00CB750F">
      <w:pPr>
        <w:spacing w:after="0" w:line="240" w:lineRule="auto"/>
        <w:jc w:val="both"/>
        <w:rPr>
          <w:rFonts w:ascii="Times New Roman" w:hAnsi="Times New Roman"/>
          <w:sz w:val="20"/>
          <w:szCs w:val="20"/>
        </w:rPr>
      </w:pPr>
      <w:r w:rsidRPr="00020C88">
        <w:rPr>
          <w:rFonts w:ascii="Times New Roman" w:hAnsi="Times New Roman"/>
          <w:sz w:val="20"/>
          <w:szCs w:val="20"/>
        </w:rPr>
        <w:t>Celkové výdavky verejnej správy sa predpokladajú</w:t>
      </w:r>
      <w:r w:rsidR="00241646" w:rsidRPr="00020C88">
        <w:rPr>
          <w:rFonts w:ascii="Times New Roman" w:hAnsi="Times New Roman"/>
          <w:sz w:val="20"/>
          <w:szCs w:val="20"/>
        </w:rPr>
        <w:t xml:space="preserve"> </w:t>
      </w:r>
      <w:r w:rsidR="00270824" w:rsidRPr="00020C88">
        <w:rPr>
          <w:rFonts w:ascii="Times New Roman" w:hAnsi="Times New Roman"/>
          <w:sz w:val="20"/>
          <w:szCs w:val="20"/>
        </w:rPr>
        <w:t>v roku 201</w:t>
      </w:r>
      <w:r w:rsidR="00D57052" w:rsidRPr="00020C88">
        <w:rPr>
          <w:rFonts w:ascii="Times New Roman" w:hAnsi="Times New Roman"/>
          <w:sz w:val="20"/>
          <w:szCs w:val="20"/>
        </w:rPr>
        <w:t>9</w:t>
      </w:r>
      <w:r w:rsidR="00270824" w:rsidRPr="00020C88">
        <w:rPr>
          <w:rFonts w:ascii="Times New Roman" w:hAnsi="Times New Roman"/>
          <w:sz w:val="20"/>
          <w:szCs w:val="20"/>
        </w:rPr>
        <w:t xml:space="preserve"> na úrovni </w:t>
      </w:r>
      <w:r w:rsidR="00EF58F5" w:rsidRPr="00020C88">
        <w:rPr>
          <w:rFonts w:ascii="Times New Roman" w:hAnsi="Times New Roman"/>
          <w:sz w:val="20"/>
          <w:szCs w:val="20"/>
        </w:rPr>
        <w:t xml:space="preserve">cca </w:t>
      </w:r>
      <w:r w:rsidR="00712ED7" w:rsidRPr="00020C88">
        <w:rPr>
          <w:rFonts w:ascii="Times New Roman" w:hAnsi="Times New Roman"/>
          <w:sz w:val="20"/>
          <w:szCs w:val="20"/>
        </w:rPr>
        <w:t>1,2</w:t>
      </w:r>
      <w:r w:rsidR="008E6C99" w:rsidRPr="00020C88">
        <w:rPr>
          <w:rFonts w:ascii="Times New Roman" w:hAnsi="Times New Roman"/>
          <w:sz w:val="20"/>
          <w:szCs w:val="20"/>
        </w:rPr>
        <w:t xml:space="preserve"> </w:t>
      </w:r>
      <w:r w:rsidR="00EF58F5" w:rsidRPr="00020C88">
        <w:rPr>
          <w:rFonts w:ascii="Times New Roman" w:hAnsi="Times New Roman"/>
          <w:sz w:val="20"/>
          <w:szCs w:val="20"/>
        </w:rPr>
        <w:t xml:space="preserve">mil. eur, </w:t>
      </w:r>
      <w:r w:rsidR="00241646" w:rsidRPr="00020C88">
        <w:rPr>
          <w:rFonts w:ascii="Times New Roman" w:hAnsi="Times New Roman"/>
          <w:sz w:val="20"/>
          <w:szCs w:val="20"/>
        </w:rPr>
        <w:t>v roku 20</w:t>
      </w:r>
      <w:r w:rsidR="00D57052" w:rsidRPr="00020C88">
        <w:rPr>
          <w:rFonts w:ascii="Times New Roman" w:hAnsi="Times New Roman"/>
          <w:sz w:val="20"/>
          <w:szCs w:val="20"/>
        </w:rPr>
        <w:t>20</w:t>
      </w:r>
      <w:r w:rsidR="00241646" w:rsidRPr="00020C88">
        <w:rPr>
          <w:rFonts w:ascii="Times New Roman" w:hAnsi="Times New Roman"/>
          <w:sz w:val="20"/>
          <w:szCs w:val="20"/>
        </w:rPr>
        <w:t xml:space="preserve"> na úrovni</w:t>
      </w:r>
      <w:r w:rsidR="00EF58F5" w:rsidRPr="00020C88">
        <w:rPr>
          <w:rFonts w:ascii="Times New Roman" w:hAnsi="Times New Roman"/>
          <w:sz w:val="20"/>
          <w:szCs w:val="20"/>
        </w:rPr>
        <w:t xml:space="preserve"> cca</w:t>
      </w:r>
      <w:r w:rsidR="00241646" w:rsidRPr="00020C88">
        <w:rPr>
          <w:rFonts w:ascii="Times New Roman" w:hAnsi="Times New Roman"/>
          <w:sz w:val="20"/>
          <w:szCs w:val="20"/>
        </w:rPr>
        <w:t xml:space="preserve"> </w:t>
      </w:r>
      <w:r w:rsidR="00825F73" w:rsidRPr="00020C88">
        <w:rPr>
          <w:rFonts w:ascii="Times New Roman" w:hAnsi="Times New Roman"/>
          <w:sz w:val="20"/>
          <w:szCs w:val="20"/>
        </w:rPr>
        <w:t>8,7</w:t>
      </w:r>
      <w:r w:rsidR="00D275C8" w:rsidRPr="00020C88">
        <w:rPr>
          <w:rFonts w:ascii="Times New Roman" w:hAnsi="Times New Roman"/>
          <w:sz w:val="20"/>
          <w:szCs w:val="20"/>
        </w:rPr>
        <w:t xml:space="preserve"> mil. eur</w:t>
      </w:r>
      <w:r w:rsidR="00077B21" w:rsidRPr="00020C88">
        <w:rPr>
          <w:rFonts w:ascii="Times New Roman" w:hAnsi="Times New Roman"/>
          <w:sz w:val="20"/>
          <w:szCs w:val="20"/>
        </w:rPr>
        <w:t xml:space="preserve">, </w:t>
      </w:r>
      <w:r w:rsidR="00241646" w:rsidRPr="00020C88">
        <w:rPr>
          <w:rFonts w:ascii="Times New Roman" w:hAnsi="Times New Roman"/>
          <w:sz w:val="20"/>
          <w:szCs w:val="20"/>
        </w:rPr>
        <w:t>v roku 20</w:t>
      </w:r>
      <w:r w:rsidR="00142FE3" w:rsidRPr="00020C88">
        <w:rPr>
          <w:rFonts w:ascii="Times New Roman" w:hAnsi="Times New Roman"/>
          <w:sz w:val="20"/>
          <w:szCs w:val="20"/>
        </w:rPr>
        <w:t>2</w:t>
      </w:r>
      <w:r w:rsidR="00D57052" w:rsidRPr="00020C88">
        <w:rPr>
          <w:rFonts w:ascii="Times New Roman" w:hAnsi="Times New Roman"/>
          <w:sz w:val="20"/>
          <w:szCs w:val="20"/>
        </w:rPr>
        <w:t>1</w:t>
      </w:r>
      <w:r w:rsidR="00241646" w:rsidRPr="00020C88">
        <w:rPr>
          <w:rFonts w:ascii="Times New Roman" w:hAnsi="Times New Roman"/>
          <w:sz w:val="20"/>
          <w:szCs w:val="20"/>
        </w:rPr>
        <w:t xml:space="preserve"> </w:t>
      </w:r>
      <w:r w:rsidRPr="00020C88">
        <w:rPr>
          <w:rFonts w:ascii="Times New Roman" w:hAnsi="Times New Roman"/>
          <w:sz w:val="20"/>
          <w:szCs w:val="20"/>
        </w:rPr>
        <w:t>na úrovni</w:t>
      </w:r>
      <w:r w:rsidR="00EF58F5" w:rsidRPr="00020C88">
        <w:rPr>
          <w:rFonts w:ascii="Times New Roman" w:hAnsi="Times New Roman"/>
          <w:sz w:val="20"/>
          <w:szCs w:val="20"/>
        </w:rPr>
        <w:t xml:space="preserve"> cca</w:t>
      </w:r>
      <w:r w:rsidRPr="00020C88">
        <w:rPr>
          <w:rFonts w:ascii="Times New Roman" w:hAnsi="Times New Roman"/>
          <w:sz w:val="20"/>
          <w:szCs w:val="20"/>
        </w:rPr>
        <w:t xml:space="preserve"> </w:t>
      </w:r>
      <w:r w:rsidR="00712ED7" w:rsidRPr="00020C88">
        <w:rPr>
          <w:rFonts w:ascii="Times New Roman" w:hAnsi="Times New Roman"/>
          <w:sz w:val="20"/>
          <w:szCs w:val="20"/>
        </w:rPr>
        <w:t>13,3</w:t>
      </w:r>
      <w:r w:rsidR="008E6C99" w:rsidRPr="00020C88">
        <w:rPr>
          <w:rFonts w:ascii="Times New Roman" w:hAnsi="Times New Roman"/>
          <w:sz w:val="20"/>
          <w:szCs w:val="20"/>
        </w:rPr>
        <w:t xml:space="preserve"> </w:t>
      </w:r>
      <w:r w:rsidRPr="00020C88">
        <w:rPr>
          <w:rFonts w:ascii="Times New Roman" w:hAnsi="Times New Roman"/>
          <w:sz w:val="20"/>
          <w:szCs w:val="20"/>
        </w:rPr>
        <w:t>mil. eur</w:t>
      </w:r>
      <w:r w:rsidR="00077B21" w:rsidRPr="00020C88">
        <w:rPr>
          <w:rFonts w:ascii="Times New Roman" w:hAnsi="Times New Roman"/>
          <w:sz w:val="20"/>
          <w:szCs w:val="20"/>
        </w:rPr>
        <w:t xml:space="preserve"> a v roku 2022 na úrovni </w:t>
      </w:r>
      <w:r w:rsidR="00CA73EF" w:rsidRPr="00020C88">
        <w:rPr>
          <w:rFonts w:ascii="Times New Roman" w:hAnsi="Times New Roman"/>
          <w:sz w:val="20"/>
          <w:szCs w:val="20"/>
        </w:rPr>
        <w:t xml:space="preserve">cca </w:t>
      </w:r>
      <w:r w:rsidR="00712ED7" w:rsidRPr="00020C88">
        <w:rPr>
          <w:rFonts w:ascii="Times New Roman" w:hAnsi="Times New Roman"/>
          <w:sz w:val="20"/>
          <w:szCs w:val="20"/>
        </w:rPr>
        <w:t>14,6</w:t>
      </w:r>
      <w:r w:rsidR="00077B21" w:rsidRPr="00020C88">
        <w:rPr>
          <w:rFonts w:ascii="Times New Roman" w:hAnsi="Times New Roman"/>
          <w:sz w:val="20"/>
          <w:szCs w:val="20"/>
        </w:rPr>
        <w:t xml:space="preserve"> mil. eur.</w:t>
      </w:r>
    </w:p>
    <w:p w14:paraId="1E0922AB" w14:textId="77777777" w:rsidR="008459FC" w:rsidRPr="00020C88" w:rsidRDefault="008459FC" w:rsidP="00CB750F">
      <w:pPr>
        <w:spacing w:after="0" w:line="240" w:lineRule="auto"/>
        <w:jc w:val="both"/>
        <w:rPr>
          <w:rFonts w:ascii="Times New Roman" w:hAnsi="Times New Roman"/>
          <w:sz w:val="20"/>
          <w:szCs w:val="20"/>
        </w:rPr>
      </w:pPr>
    </w:p>
    <w:p w14:paraId="1DE3F5A9" w14:textId="77777777" w:rsidR="00AC7B0A" w:rsidRPr="00020C88" w:rsidRDefault="007273C7" w:rsidP="00CB750F">
      <w:pPr>
        <w:spacing w:after="0" w:line="240" w:lineRule="auto"/>
        <w:ind w:left="7080" w:firstLine="708"/>
        <w:jc w:val="both"/>
        <w:rPr>
          <w:rFonts w:ascii="Times New Roman" w:hAnsi="Times New Roman"/>
          <w:sz w:val="20"/>
          <w:szCs w:val="20"/>
        </w:rPr>
      </w:pPr>
      <w:r w:rsidRPr="00020C88">
        <w:rPr>
          <w:rFonts w:ascii="Times New Roman" w:hAnsi="Times New Roman"/>
          <w:sz w:val="20"/>
          <w:szCs w:val="20"/>
          <w:lang w:eastAsia="sk-SK"/>
        </w:rPr>
        <w:t>Tabuľka č. 4</w:t>
      </w:r>
      <w:r w:rsidR="00D018A5" w:rsidRPr="00020C88">
        <w:rPr>
          <w:rFonts w:ascii="Times New Roman" w:hAnsi="Times New Roman"/>
          <w:sz w:val="20"/>
          <w:szCs w:val="20"/>
        </w:rPr>
        <w:t>B</w:t>
      </w:r>
    </w:p>
    <w:tbl>
      <w:tblPr>
        <w:tblW w:w="10503" w:type="dxa"/>
        <w:tblInd w:w="-294" w:type="dxa"/>
        <w:tblCellMar>
          <w:left w:w="70" w:type="dxa"/>
          <w:right w:w="70" w:type="dxa"/>
        </w:tblCellMar>
        <w:tblLook w:val="04A0" w:firstRow="1" w:lastRow="0" w:firstColumn="1" w:lastColumn="0" w:noHBand="0" w:noVBand="1"/>
      </w:tblPr>
      <w:tblGrid>
        <w:gridCol w:w="4962"/>
        <w:gridCol w:w="1134"/>
        <w:gridCol w:w="1134"/>
        <w:gridCol w:w="1134"/>
        <w:gridCol w:w="1147"/>
        <w:gridCol w:w="992"/>
      </w:tblGrid>
      <w:tr w:rsidR="00825F73" w:rsidRPr="00020C88" w14:paraId="415C7413" w14:textId="77777777" w:rsidTr="00043791">
        <w:trPr>
          <w:trHeight w:val="270"/>
        </w:trPr>
        <w:tc>
          <w:tcPr>
            <w:tcW w:w="496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E98E0B8"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Výdavky rozpočet verejnej správy (v eurách)</w:t>
            </w:r>
          </w:p>
        </w:tc>
        <w:tc>
          <w:tcPr>
            <w:tcW w:w="4549" w:type="dxa"/>
            <w:gridSpan w:val="4"/>
            <w:tcBorders>
              <w:top w:val="single" w:sz="8" w:space="0" w:color="auto"/>
              <w:left w:val="nil"/>
              <w:bottom w:val="single" w:sz="8" w:space="0" w:color="auto"/>
              <w:right w:val="single" w:sz="8" w:space="0" w:color="000000"/>
            </w:tcBorders>
            <w:shd w:val="clear" w:color="000000" w:fill="BFBFBF"/>
            <w:vAlign w:val="center"/>
            <w:hideMark/>
          </w:tcPr>
          <w:p w14:paraId="79F1EFD2"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 xml:space="preserve">Vplyv na rozpočet verejnej správy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18A4A97"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poznámka</w:t>
            </w:r>
          </w:p>
        </w:tc>
      </w:tr>
      <w:tr w:rsidR="00825F73" w:rsidRPr="00020C88" w14:paraId="0D397605" w14:textId="77777777" w:rsidTr="00043791">
        <w:trPr>
          <w:trHeight w:val="270"/>
        </w:trPr>
        <w:tc>
          <w:tcPr>
            <w:tcW w:w="4962" w:type="dxa"/>
            <w:vMerge/>
            <w:tcBorders>
              <w:top w:val="single" w:sz="8" w:space="0" w:color="auto"/>
              <w:left w:val="single" w:sz="8" w:space="0" w:color="auto"/>
              <w:bottom w:val="single" w:sz="8" w:space="0" w:color="000000"/>
              <w:right w:val="single" w:sz="8" w:space="0" w:color="auto"/>
            </w:tcBorders>
            <w:vAlign w:val="center"/>
            <w:hideMark/>
          </w:tcPr>
          <w:p w14:paraId="12DDC1FD" w14:textId="77777777" w:rsidR="00825F73" w:rsidRPr="00020C88" w:rsidRDefault="00825F73" w:rsidP="00CB750F">
            <w:pPr>
              <w:spacing w:after="0" w:line="240" w:lineRule="auto"/>
              <w:jc w:val="both"/>
              <w:rPr>
                <w:rFonts w:ascii="Times New Roman" w:hAnsi="Times New Roman"/>
                <w:b/>
                <w:bCs/>
                <w:sz w:val="20"/>
                <w:szCs w:val="20"/>
                <w:lang w:eastAsia="sk-SK"/>
              </w:rPr>
            </w:pPr>
          </w:p>
        </w:tc>
        <w:tc>
          <w:tcPr>
            <w:tcW w:w="1134" w:type="dxa"/>
            <w:tcBorders>
              <w:top w:val="nil"/>
              <w:left w:val="nil"/>
              <w:bottom w:val="single" w:sz="8" w:space="0" w:color="auto"/>
              <w:right w:val="single" w:sz="8" w:space="0" w:color="auto"/>
            </w:tcBorders>
            <w:shd w:val="clear" w:color="000000" w:fill="BFBFBF"/>
            <w:vAlign w:val="center"/>
            <w:hideMark/>
          </w:tcPr>
          <w:p w14:paraId="6067CC84"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2019</w:t>
            </w:r>
          </w:p>
        </w:tc>
        <w:tc>
          <w:tcPr>
            <w:tcW w:w="1134" w:type="dxa"/>
            <w:tcBorders>
              <w:top w:val="nil"/>
              <w:left w:val="nil"/>
              <w:bottom w:val="single" w:sz="8" w:space="0" w:color="auto"/>
              <w:right w:val="single" w:sz="8" w:space="0" w:color="auto"/>
            </w:tcBorders>
            <w:shd w:val="clear" w:color="000000" w:fill="BFBFBF"/>
            <w:vAlign w:val="center"/>
            <w:hideMark/>
          </w:tcPr>
          <w:p w14:paraId="091DDA58"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2020</w:t>
            </w:r>
          </w:p>
        </w:tc>
        <w:tc>
          <w:tcPr>
            <w:tcW w:w="1134" w:type="dxa"/>
            <w:tcBorders>
              <w:top w:val="nil"/>
              <w:left w:val="nil"/>
              <w:bottom w:val="single" w:sz="8" w:space="0" w:color="auto"/>
              <w:right w:val="single" w:sz="8" w:space="0" w:color="auto"/>
            </w:tcBorders>
            <w:shd w:val="clear" w:color="000000" w:fill="BFBFBF"/>
            <w:vAlign w:val="center"/>
            <w:hideMark/>
          </w:tcPr>
          <w:p w14:paraId="594E1525"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2021</w:t>
            </w:r>
          </w:p>
        </w:tc>
        <w:tc>
          <w:tcPr>
            <w:tcW w:w="1147" w:type="dxa"/>
            <w:tcBorders>
              <w:top w:val="nil"/>
              <w:left w:val="nil"/>
              <w:bottom w:val="single" w:sz="8" w:space="0" w:color="auto"/>
              <w:right w:val="single" w:sz="8" w:space="0" w:color="auto"/>
            </w:tcBorders>
            <w:shd w:val="clear" w:color="000000" w:fill="BFBFBF"/>
            <w:vAlign w:val="center"/>
            <w:hideMark/>
          </w:tcPr>
          <w:p w14:paraId="238E089B"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2022</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AECE5D2" w14:textId="77777777" w:rsidR="00825F73" w:rsidRPr="00020C88" w:rsidRDefault="00825F73" w:rsidP="00CB750F">
            <w:pPr>
              <w:spacing w:after="0" w:line="240" w:lineRule="auto"/>
              <w:jc w:val="both"/>
              <w:rPr>
                <w:rFonts w:ascii="Times New Roman" w:hAnsi="Times New Roman"/>
                <w:sz w:val="20"/>
                <w:szCs w:val="20"/>
                <w:lang w:eastAsia="sk-SK"/>
              </w:rPr>
            </w:pPr>
          </w:p>
        </w:tc>
      </w:tr>
      <w:tr w:rsidR="00825F73" w:rsidRPr="00020C88" w14:paraId="4629974F"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071514A"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Bežné výdavky (600)</w:t>
            </w:r>
          </w:p>
        </w:tc>
        <w:tc>
          <w:tcPr>
            <w:tcW w:w="1134" w:type="dxa"/>
            <w:tcBorders>
              <w:top w:val="nil"/>
              <w:left w:val="nil"/>
              <w:bottom w:val="single" w:sz="8" w:space="0" w:color="auto"/>
              <w:right w:val="single" w:sz="8" w:space="0" w:color="auto"/>
            </w:tcBorders>
            <w:shd w:val="clear" w:color="auto" w:fill="auto"/>
            <w:vAlign w:val="center"/>
            <w:hideMark/>
          </w:tcPr>
          <w:p w14:paraId="46487BEB"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1 200 000</w:t>
            </w:r>
          </w:p>
        </w:tc>
        <w:tc>
          <w:tcPr>
            <w:tcW w:w="1134" w:type="dxa"/>
            <w:tcBorders>
              <w:top w:val="nil"/>
              <w:left w:val="nil"/>
              <w:bottom w:val="single" w:sz="8" w:space="0" w:color="auto"/>
              <w:right w:val="single" w:sz="8" w:space="0" w:color="auto"/>
            </w:tcBorders>
            <w:shd w:val="clear" w:color="auto" w:fill="auto"/>
            <w:vAlign w:val="center"/>
            <w:hideMark/>
          </w:tcPr>
          <w:p w14:paraId="65C6BFE9"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8 725 608</w:t>
            </w:r>
          </w:p>
        </w:tc>
        <w:tc>
          <w:tcPr>
            <w:tcW w:w="1134" w:type="dxa"/>
            <w:tcBorders>
              <w:top w:val="nil"/>
              <w:left w:val="nil"/>
              <w:bottom w:val="single" w:sz="8" w:space="0" w:color="auto"/>
              <w:right w:val="single" w:sz="8" w:space="0" w:color="auto"/>
            </w:tcBorders>
            <w:shd w:val="clear" w:color="auto" w:fill="auto"/>
            <w:vAlign w:val="center"/>
            <w:hideMark/>
          </w:tcPr>
          <w:p w14:paraId="14BD29CF"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13 276 699</w:t>
            </w:r>
          </w:p>
        </w:tc>
        <w:tc>
          <w:tcPr>
            <w:tcW w:w="1147" w:type="dxa"/>
            <w:tcBorders>
              <w:top w:val="nil"/>
              <w:left w:val="nil"/>
              <w:bottom w:val="single" w:sz="8" w:space="0" w:color="auto"/>
              <w:right w:val="single" w:sz="8" w:space="0" w:color="auto"/>
            </w:tcBorders>
            <w:shd w:val="clear" w:color="auto" w:fill="auto"/>
            <w:vAlign w:val="center"/>
            <w:hideMark/>
          </w:tcPr>
          <w:p w14:paraId="37F9ADB6"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0089EBD9"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04A8F493"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449E835F"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xml:space="preserve">  Bežné transfery (640)</w:t>
            </w:r>
          </w:p>
        </w:tc>
        <w:tc>
          <w:tcPr>
            <w:tcW w:w="1134" w:type="dxa"/>
            <w:tcBorders>
              <w:top w:val="nil"/>
              <w:left w:val="nil"/>
              <w:bottom w:val="single" w:sz="8" w:space="0" w:color="auto"/>
              <w:right w:val="single" w:sz="8" w:space="0" w:color="auto"/>
            </w:tcBorders>
            <w:shd w:val="clear" w:color="auto" w:fill="auto"/>
            <w:vAlign w:val="center"/>
            <w:hideMark/>
          </w:tcPr>
          <w:p w14:paraId="1022B85E"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1F07B45C"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8 725 608</w:t>
            </w:r>
          </w:p>
        </w:tc>
        <w:tc>
          <w:tcPr>
            <w:tcW w:w="1134" w:type="dxa"/>
            <w:tcBorders>
              <w:top w:val="nil"/>
              <w:left w:val="nil"/>
              <w:bottom w:val="single" w:sz="8" w:space="0" w:color="auto"/>
              <w:right w:val="single" w:sz="8" w:space="0" w:color="auto"/>
            </w:tcBorders>
            <w:shd w:val="clear" w:color="auto" w:fill="auto"/>
            <w:vAlign w:val="center"/>
            <w:hideMark/>
          </w:tcPr>
          <w:p w14:paraId="059EE878"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13 276 699</w:t>
            </w:r>
          </w:p>
        </w:tc>
        <w:tc>
          <w:tcPr>
            <w:tcW w:w="1147" w:type="dxa"/>
            <w:tcBorders>
              <w:top w:val="nil"/>
              <w:left w:val="nil"/>
              <w:bottom w:val="single" w:sz="8" w:space="0" w:color="auto"/>
              <w:right w:val="single" w:sz="8" w:space="0" w:color="auto"/>
            </w:tcBorders>
            <w:shd w:val="clear" w:color="auto" w:fill="auto"/>
            <w:vAlign w:val="center"/>
            <w:hideMark/>
          </w:tcPr>
          <w:p w14:paraId="3C48FC2A"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56FEB66A"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526062AF" w14:textId="77777777" w:rsidTr="00043791">
        <w:trPr>
          <w:trHeight w:val="525"/>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60BB6CBD"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Transfery jednotlivcom a neziskovým právnickým osobám (642)</w:t>
            </w:r>
          </w:p>
        </w:tc>
        <w:tc>
          <w:tcPr>
            <w:tcW w:w="1134" w:type="dxa"/>
            <w:tcBorders>
              <w:top w:val="nil"/>
              <w:left w:val="nil"/>
              <w:bottom w:val="single" w:sz="8" w:space="0" w:color="auto"/>
              <w:right w:val="single" w:sz="8" w:space="0" w:color="auto"/>
            </w:tcBorders>
            <w:shd w:val="clear" w:color="auto" w:fill="auto"/>
            <w:vAlign w:val="center"/>
            <w:hideMark/>
          </w:tcPr>
          <w:p w14:paraId="1147777D"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DBFAE4E"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8 725 608</w:t>
            </w:r>
          </w:p>
        </w:tc>
        <w:tc>
          <w:tcPr>
            <w:tcW w:w="1134" w:type="dxa"/>
            <w:tcBorders>
              <w:top w:val="nil"/>
              <w:left w:val="nil"/>
              <w:bottom w:val="single" w:sz="8" w:space="0" w:color="auto"/>
              <w:right w:val="single" w:sz="8" w:space="0" w:color="auto"/>
            </w:tcBorders>
            <w:shd w:val="clear" w:color="auto" w:fill="auto"/>
            <w:vAlign w:val="center"/>
            <w:hideMark/>
          </w:tcPr>
          <w:p w14:paraId="3D8ED382"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13 276 699</w:t>
            </w:r>
          </w:p>
        </w:tc>
        <w:tc>
          <w:tcPr>
            <w:tcW w:w="1147" w:type="dxa"/>
            <w:tcBorders>
              <w:top w:val="nil"/>
              <w:left w:val="nil"/>
              <w:bottom w:val="single" w:sz="8" w:space="0" w:color="auto"/>
              <w:right w:val="single" w:sz="8" w:space="0" w:color="auto"/>
            </w:tcBorders>
            <w:shd w:val="clear" w:color="auto" w:fill="auto"/>
            <w:vAlign w:val="center"/>
            <w:hideMark/>
          </w:tcPr>
          <w:p w14:paraId="2B54EEBB"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745740DD"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03031483" w14:textId="77777777" w:rsidTr="00043791">
        <w:trPr>
          <w:trHeight w:val="855"/>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56B6ABEA"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xml:space="preserve">  Splácanie úrokov a ostatné platby súvisiace s  úverom, pôžičkou, návratnou finančnou výpomocou a finančným prenájmom (650)</w:t>
            </w:r>
          </w:p>
        </w:tc>
        <w:tc>
          <w:tcPr>
            <w:tcW w:w="1134" w:type="dxa"/>
            <w:tcBorders>
              <w:top w:val="nil"/>
              <w:left w:val="nil"/>
              <w:bottom w:val="single" w:sz="8" w:space="0" w:color="auto"/>
              <w:right w:val="single" w:sz="8" w:space="0" w:color="auto"/>
            </w:tcBorders>
            <w:shd w:val="clear" w:color="auto" w:fill="auto"/>
            <w:vAlign w:val="center"/>
            <w:hideMark/>
          </w:tcPr>
          <w:p w14:paraId="38EE0FC4"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1FDFB14A"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63A12A9D"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14:paraId="38ECB4DC"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6BE31E02"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0E0594AA"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28369AB7"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xml:space="preserve">  Tovary a služby (630)</w:t>
            </w:r>
          </w:p>
        </w:tc>
        <w:tc>
          <w:tcPr>
            <w:tcW w:w="1134" w:type="dxa"/>
            <w:tcBorders>
              <w:top w:val="nil"/>
              <w:left w:val="nil"/>
              <w:bottom w:val="single" w:sz="8" w:space="0" w:color="auto"/>
              <w:right w:val="single" w:sz="8" w:space="0" w:color="auto"/>
            </w:tcBorders>
            <w:shd w:val="clear" w:color="auto" w:fill="auto"/>
            <w:vAlign w:val="center"/>
            <w:hideMark/>
          </w:tcPr>
          <w:p w14:paraId="51DA3001"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1 200 000</w:t>
            </w:r>
          </w:p>
        </w:tc>
        <w:tc>
          <w:tcPr>
            <w:tcW w:w="1134" w:type="dxa"/>
            <w:tcBorders>
              <w:top w:val="nil"/>
              <w:left w:val="nil"/>
              <w:bottom w:val="single" w:sz="8" w:space="0" w:color="auto"/>
              <w:right w:val="single" w:sz="8" w:space="0" w:color="auto"/>
            </w:tcBorders>
            <w:shd w:val="clear" w:color="auto" w:fill="auto"/>
            <w:vAlign w:val="center"/>
            <w:hideMark/>
          </w:tcPr>
          <w:p w14:paraId="3A7078D2"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07D7DDB2"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14:paraId="7F609B20"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382C13EF"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038367A4"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0724F343"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Rutinná a štandardná údržba (635)</w:t>
            </w:r>
          </w:p>
        </w:tc>
        <w:tc>
          <w:tcPr>
            <w:tcW w:w="1134" w:type="dxa"/>
            <w:tcBorders>
              <w:top w:val="nil"/>
              <w:left w:val="nil"/>
              <w:bottom w:val="single" w:sz="8" w:space="0" w:color="auto"/>
              <w:right w:val="single" w:sz="8" w:space="0" w:color="auto"/>
            </w:tcBorders>
            <w:shd w:val="clear" w:color="auto" w:fill="auto"/>
            <w:vAlign w:val="center"/>
            <w:hideMark/>
          </w:tcPr>
          <w:p w14:paraId="2F94F8FA"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1 200 000</w:t>
            </w:r>
          </w:p>
        </w:tc>
        <w:tc>
          <w:tcPr>
            <w:tcW w:w="1134" w:type="dxa"/>
            <w:tcBorders>
              <w:top w:val="nil"/>
              <w:left w:val="nil"/>
              <w:bottom w:val="single" w:sz="8" w:space="0" w:color="auto"/>
              <w:right w:val="single" w:sz="8" w:space="0" w:color="auto"/>
            </w:tcBorders>
            <w:shd w:val="clear" w:color="auto" w:fill="auto"/>
            <w:vAlign w:val="center"/>
            <w:hideMark/>
          </w:tcPr>
          <w:p w14:paraId="01206C09"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53DD473F"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14:paraId="6B031BA5"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7148737D"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1994CAFF" w14:textId="77777777" w:rsidTr="00043791">
        <w:trPr>
          <w:trHeight w:val="330"/>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632BC156"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Kapitálové výdavky (700)</w:t>
            </w:r>
          </w:p>
        </w:tc>
        <w:tc>
          <w:tcPr>
            <w:tcW w:w="1134" w:type="dxa"/>
            <w:tcBorders>
              <w:top w:val="nil"/>
              <w:left w:val="nil"/>
              <w:bottom w:val="single" w:sz="8" w:space="0" w:color="auto"/>
              <w:right w:val="single" w:sz="8" w:space="0" w:color="auto"/>
            </w:tcBorders>
            <w:shd w:val="clear" w:color="auto" w:fill="auto"/>
            <w:vAlign w:val="center"/>
            <w:hideMark/>
          </w:tcPr>
          <w:p w14:paraId="20A4FA61"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426118F"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37C8F3C"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14:paraId="0C8FED68" w14:textId="77777777" w:rsidR="00825F73" w:rsidRPr="00020C88" w:rsidRDefault="00825F73"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089364F5"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1E326470" w14:textId="77777777" w:rsidTr="00043791">
        <w:trPr>
          <w:trHeight w:val="525"/>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C3C50C1"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Výdavky z transakcií s finančnými aktívami a finančnými pasívami (800)</w:t>
            </w:r>
          </w:p>
        </w:tc>
        <w:tc>
          <w:tcPr>
            <w:tcW w:w="1134" w:type="dxa"/>
            <w:tcBorders>
              <w:top w:val="nil"/>
              <w:left w:val="nil"/>
              <w:bottom w:val="single" w:sz="8" w:space="0" w:color="auto"/>
              <w:right w:val="single" w:sz="8" w:space="0" w:color="auto"/>
            </w:tcBorders>
            <w:shd w:val="clear" w:color="000000" w:fill="FFFF99"/>
            <w:vAlign w:val="center"/>
            <w:hideMark/>
          </w:tcPr>
          <w:p w14:paraId="30F2FE31"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14:paraId="750E5DDD"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14:paraId="4333CCBD"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1147" w:type="dxa"/>
            <w:tcBorders>
              <w:top w:val="nil"/>
              <w:left w:val="nil"/>
              <w:bottom w:val="single" w:sz="8" w:space="0" w:color="auto"/>
              <w:right w:val="single" w:sz="8" w:space="0" w:color="auto"/>
            </w:tcBorders>
            <w:shd w:val="clear" w:color="000000" w:fill="FFFF99"/>
            <w:vAlign w:val="center"/>
            <w:hideMark/>
          </w:tcPr>
          <w:p w14:paraId="35424667"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4A93ABCB"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r w:rsidR="00825F73" w:rsidRPr="00020C88" w14:paraId="1BFD5DDE" w14:textId="77777777" w:rsidTr="00043791">
        <w:trPr>
          <w:trHeight w:val="330"/>
        </w:trPr>
        <w:tc>
          <w:tcPr>
            <w:tcW w:w="4962" w:type="dxa"/>
            <w:tcBorders>
              <w:top w:val="nil"/>
              <w:left w:val="single" w:sz="8" w:space="0" w:color="auto"/>
              <w:bottom w:val="single" w:sz="8" w:space="0" w:color="auto"/>
              <w:right w:val="single" w:sz="8" w:space="0" w:color="auto"/>
            </w:tcBorders>
            <w:shd w:val="clear" w:color="000000" w:fill="BFBFBF"/>
            <w:vAlign w:val="center"/>
            <w:hideMark/>
          </w:tcPr>
          <w:p w14:paraId="0E43E06D" w14:textId="77777777" w:rsidR="00825F73" w:rsidRPr="00020C88" w:rsidRDefault="00825F73" w:rsidP="00CB750F">
            <w:pPr>
              <w:spacing w:after="0" w:line="240" w:lineRule="auto"/>
              <w:jc w:val="both"/>
              <w:rPr>
                <w:rFonts w:ascii="Times New Roman" w:hAnsi="Times New Roman"/>
                <w:b/>
                <w:bCs/>
                <w:sz w:val="20"/>
                <w:szCs w:val="20"/>
                <w:lang w:eastAsia="sk-SK"/>
              </w:rPr>
            </w:pPr>
            <w:r w:rsidRPr="00020C88">
              <w:rPr>
                <w:rFonts w:ascii="Times New Roman" w:hAnsi="Times New Roman"/>
                <w:b/>
                <w:bCs/>
                <w:sz w:val="20"/>
                <w:szCs w:val="20"/>
                <w:lang w:eastAsia="sk-SK"/>
              </w:rPr>
              <w:t>Dopad na výdavky verejnej správy celkom</w:t>
            </w:r>
          </w:p>
        </w:tc>
        <w:tc>
          <w:tcPr>
            <w:tcW w:w="1134" w:type="dxa"/>
            <w:tcBorders>
              <w:top w:val="nil"/>
              <w:left w:val="nil"/>
              <w:bottom w:val="single" w:sz="8" w:space="0" w:color="auto"/>
              <w:right w:val="single" w:sz="8" w:space="0" w:color="auto"/>
            </w:tcBorders>
            <w:shd w:val="clear" w:color="000000" w:fill="BFBFBF"/>
            <w:vAlign w:val="center"/>
            <w:hideMark/>
          </w:tcPr>
          <w:p w14:paraId="5D0570DD"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1 200 000</w:t>
            </w:r>
          </w:p>
        </w:tc>
        <w:tc>
          <w:tcPr>
            <w:tcW w:w="1134" w:type="dxa"/>
            <w:tcBorders>
              <w:top w:val="nil"/>
              <w:left w:val="nil"/>
              <w:bottom w:val="single" w:sz="8" w:space="0" w:color="auto"/>
              <w:right w:val="single" w:sz="8" w:space="0" w:color="auto"/>
            </w:tcBorders>
            <w:shd w:val="clear" w:color="000000" w:fill="BFBFBF"/>
            <w:vAlign w:val="center"/>
            <w:hideMark/>
          </w:tcPr>
          <w:p w14:paraId="34C7C220"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8 725 608</w:t>
            </w:r>
          </w:p>
        </w:tc>
        <w:tc>
          <w:tcPr>
            <w:tcW w:w="1134" w:type="dxa"/>
            <w:tcBorders>
              <w:top w:val="nil"/>
              <w:left w:val="nil"/>
              <w:bottom w:val="single" w:sz="8" w:space="0" w:color="auto"/>
              <w:right w:val="single" w:sz="8" w:space="0" w:color="auto"/>
            </w:tcBorders>
            <w:shd w:val="clear" w:color="000000" w:fill="BFBFBF"/>
            <w:vAlign w:val="center"/>
            <w:hideMark/>
          </w:tcPr>
          <w:p w14:paraId="6E6F186B"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13 276 699</w:t>
            </w:r>
          </w:p>
        </w:tc>
        <w:tc>
          <w:tcPr>
            <w:tcW w:w="1147" w:type="dxa"/>
            <w:tcBorders>
              <w:top w:val="nil"/>
              <w:left w:val="nil"/>
              <w:bottom w:val="single" w:sz="8" w:space="0" w:color="auto"/>
              <w:right w:val="single" w:sz="8" w:space="0" w:color="auto"/>
            </w:tcBorders>
            <w:shd w:val="clear" w:color="000000" w:fill="BFBFBF"/>
            <w:vAlign w:val="center"/>
            <w:hideMark/>
          </w:tcPr>
          <w:p w14:paraId="3708B60F" w14:textId="77777777" w:rsidR="00825F73" w:rsidRPr="00020C88" w:rsidRDefault="00825F7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14 554 744</w:t>
            </w:r>
          </w:p>
        </w:tc>
        <w:tc>
          <w:tcPr>
            <w:tcW w:w="992" w:type="dxa"/>
            <w:tcBorders>
              <w:top w:val="nil"/>
              <w:left w:val="nil"/>
              <w:bottom w:val="single" w:sz="8" w:space="0" w:color="auto"/>
              <w:right w:val="single" w:sz="8" w:space="0" w:color="auto"/>
            </w:tcBorders>
            <w:shd w:val="clear" w:color="000000" w:fill="BFBFBF"/>
            <w:noWrap/>
            <w:vAlign w:val="center"/>
            <w:hideMark/>
          </w:tcPr>
          <w:p w14:paraId="643D3A95" w14:textId="77777777" w:rsidR="00825F73" w:rsidRPr="00020C88" w:rsidRDefault="00825F73"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 </w:t>
            </w:r>
          </w:p>
        </w:tc>
      </w:tr>
    </w:tbl>
    <w:p w14:paraId="4B24C667" w14:textId="77777777" w:rsidR="00077B21" w:rsidRPr="00020C88" w:rsidRDefault="00077B21" w:rsidP="00CB750F">
      <w:pPr>
        <w:tabs>
          <w:tab w:val="num" w:pos="1080"/>
        </w:tabs>
        <w:spacing w:after="0" w:line="240" w:lineRule="auto"/>
        <w:jc w:val="both"/>
        <w:rPr>
          <w:rFonts w:ascii="Times New Roman" w:hAnsi="Times New Roman"/>
          <w:sz w:val="20"/>
          <w:szCs w:val="20"/>
        </w:rPr>
      </w:pPr>
    </w:p>
    <w:p w14:paraId="03A764B8" w14:textId="77777777" w:rsidR="002B33DB" w:rsidRPr="00020C88" w:rsidRDefault="002B33DB" w:rsidP="00CB750F">
      <w:pPr>
        <w:tabs>
          <w:tab w:val="num" w:pos="1080"/>
        </w:tabs>
        <w:spacing w:after="0" w:line="240" w:lineRule="auto"/>
        <w:jc w:val="both"/>
        <w:rPr>
          <w:rFonts w:ascii="Times New Roman" w:hAnsi="Times New Roman"/>
          <w:bCs/>
          <w:sz w:val="20"/>
          <w:szCs w:val="20"/>
          <w:lang w:eastAsia="sk-SK"/>
        </w:rPr>
      </w:pPr>
    </w:p>
    <w:p w14:paraId="5CDC4857" w14:textId="48F1A5E5" w:rsidR="00AC7B0A" w:rsidRPr="00020C88" w:rsidRDefault="00F05B78" w:rsidP="00CB750F">
      <w:pPr>
        <w:tabs>
          <w:tab w:val="num" w:pos="1080"/>
        </w:tabs>
        <w:spacing w:after="0" w:line="240" w:lineRule="auto"/>
        <w:jc w:val="both"/>
        <w:rPr>
          <w:rFonts w:ascii="Times New Roman" w:hAnsi="Times New Roman"/>
          <w:bCs/>
          <w:sz w:val="20"/>
          <w:szCs w:val="20"/>
          <w:lang w:eastAsia="sk-SK"/>
        </w:rPr>
      </w:pPr>
      <w:r w:rsidRPr="00020C88">
        <w:rPr>
          <w:rFonts w:ascii="Times New Roman" w:hAnsi="Times New Roman"/>
          <w:bCs/>
          <w:sz w:val="20"/>
          <w:szCs w:val="20"/>
          <w:lang w:eastAsia="sk-SK"/>
        </w:rPr>
        <w:t xml:space="preserve"> </w:t>
      </w:r>
      <w:r w:rsidR="00AC7B0A" w:rsidRPr="00020C88">
        <w:rPr>
          <w:rFonts w:ascii="Times New Roman" w:hAnsi="Times New Roman"/>
          <w:bCs/>
          <w:sz w:val="20"/>
          <w:szCs w:val="20"/>
          <w:lang w:eastAsia="sk-SK"/>
        </w:rPr>
        <w:t>Tabuľka č. 5</w:t>
      </w:r>
    </w:p>
    <w:tbl>
      <w:tblPr>
        <w:tblW w:w="10243" w:type="dxa"/>
        <w:jc w:val="center"/>
        <w:tblCellMar>
          <w:left w:w="70" w:type="dxa"/>
          <w:right w:w="70" w:type="dxa"/>
        </w:tblCellMar>
        <w:tblLook w:val="04A0" w:firstRow="1" w:lastRow="0" w:firstColumn="1" w:lastColumn="0" w:noHBand="0" w:noVBand="1"/>
      </w:tblPr>
      <w:tblGrid>
        <w:gridCol w:w="5123"/>
        <w:gridCol w:w="788"/>
        <w:gridCol w:w="1124"/>
        <w:gridCol w:w="1124"/>
        <w:gridCol w:w="1124"/>
        <w:gridCol w:w="962"/>
      </w:tblGrid>
      <w:tr w:rsidR="00AC7B0A" w:rsidRPr="00020C88" w14:paraId="2AD8C9B7" w14:textId="77777777" w:rsidTr="00047B8F">
        <w:trPr>
          <w:trHeight w:val="255"/>
          <w:jc w:val="center"/>
        </w:trPr>
        <w:tc>
          <w:tcPr>
            <w:tcW w:w="5123"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9D0132A" w14:textId="77777777" w:rsidR="00AC7B0A" w:rsidRPr="00020C88" w:rsidRDefault="00AC7B0A"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Zamestnanosť</w:t>
            </w:r>
          </w:p>
        </w:tc>
        <w:tc>
          <w:tcPr>
            <w:tcW w:w="4160" w:type="dxa"/>
            <w:gridSpan w:val="4"/>
            <w:tcBorders>
              <w:top w:val="single" w:sz="4" w:space="0" w:color="auto"/>
              <w:left w:val="nil"/>
              <w:bottom w:val="single" w:sz="4" w:space="0" w:color="auto"/>
              <w:right w:val="single" w:sz="4" w:space="0" w:color="auto"/>
            </w:tcBorders>
            <w:shd w:val="clear" w:color="000000" w:fill="A6A6A6"/>
            <w:noWrap/>
            <w:vAlign w:val="center"/>
            <w:hideMark/>
          </w:tcPr>
          <w:p w14:paraId="0E7BF8C5" w14:textId="77777777" w:rsidR="00AC7B0A" w:rsidRPr="00020C88" w:rsidRDefault="00AC7B0A"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Vplyv na Sociálnu poisťovňu</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14:paraId="45034E1F" w14:textId="77777777" w:rsidR="00AC7B0A" w:rsidRPr="00020C88" w:rsidRDefault="00AC7B0A"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poznámka</w:t>
            </w:r>
          </w:p>
        </w:tc>
      </w:tr>
      <w:tr w:rsidR="00AC7B0A" w:rsidRPr="00020C88" w14:paraId="5B746C1E" w14:textId="77777777" w:rsidTr="00047B8F">
        <w:trPr>
          <w:trHeight w:val="255"/>
          <w:jc w:val="center"/>
        </w:trPr>
        <w:tc>
          <w:tcPr>
            <w:tcW w:w="5123" w:type="dxa"/>
            <w:vMerge/>
            <w:tcBorders>
              <w:top w:val="single" w:sz="4" w:space="0" w:color="auto"/>
              <w:left w:val="single" w:sz="4" w:space="0" w:color="auto"/>
              <w:bottom w:val="single" w:sz="4" w:space="0" w:color="auto"/>
              <w:right w:val="single" w:sz="4" w:space="0" w:color="auto"/>
            </w:tcBorders>
            <w:vAlign w:val="center"/>
            <w:hideMark/>
          </w:tcPr>
          <w:p w14:paraId="59BF2BC6" w14:textId="77777777" w:rsidR="00AC7B0A" w:rsidRPr="00020C88" w:rsidRDefault="00AC7B0A" w:rsidP="00CB750F">
            <w:pPr>
              <w:spacing w:after="0" w:line="240" w:lineRule="auto"/>
              <w:jc w:val="both"/>
              <w:rPr>
                <w:rFonts w:ascii="Times New Roman" w:hAnsi="Times New Roman"/>
                <w:b/>
                <w:bCs/>
                <w:color w:val="000000"/>
                <w:sz w:val="20"/>
                <w:szCs w:val="20"/>
                <w:lang w:eastAsia="sk-SK"/>
              </w:rPr>
            </w:pPr>
          </w:p>
        </w:tc>
        <w:tc>
          <w:tcPr>
            <w:tcW w:w="788" w:type="dxa"/>
            <w:tcBorders>
              <w:top w:val="nil"/>
              <w:left w:val="nil"/>
              <w:bottom w:val="single" w:sz="4" w:space="0" w:color="auto"/>
              <w:right w:val="single" w:sz="4" w:space="0" w:color="auto"/>
            </w:tcBorders>
            <w:shd w:val="clear" w:color="000000" w:fill="A6A6A6"/>
            <w:noWrap/>
            <w:vAlign w:val="center"/>
            <w:hideMark/>
          </w:tcPr>
          <w:p w14:paraId="15FF30E9" w14:textId="77777777" w:rsidR="00AC7B0A" w:rsidRPr="00020C88" w:rsidRDefault="00CA068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2019</w:t>
            </w:r>
          </w:p>
        </w:tc>
        <w:tc>
          <w:tcPr>
            <w:tcW w:w="1124" w:type="dxa"/>
            <w:tcBorders>
              <w:top w:val="nil"/>
              <w:left w:val="nil"/>
              <w:bottom w:val="single" w:sz="4" w:space="0" w:color="auto"/>
              <w:right w:val="single" w:sz="4" w:space="0" w:color="auto"/>
            </w:tcBorders>
            <w:shd w:val="clear" w:color="000000" w:fill="A6A6A6"/>
            <w:noWrap/>
            <w:vAlign w:val="center"/>
            <w:hideMark/>
          </w:tcPr>
          <w:p w14:paraId="7A041649" w14:textId="77777777" w:rsidR="00AC7B0A" w:rsidRPr="00020C88" w:rsidRDefault="00CA068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2020</w:t>
            </w:r>
          </w:p>
        </w:tc>
        <w:tc>
          <w:tcPr>
            <w:tcW w:w="1124" w:type="dxa"/>
            <w:tcBorders>
              <w:top w:val="nil"/>
              <w:left w:val="nil"/>
              <w:bottom w:val="single" w:sz="4" w:space="0" w:color="auto"/>
              <w:right w:val="single" w:sz="4" w:space="0" w:color="auto"/>
            </w:tcBorders>
            <w:shd w:val="clear" w:color="000000" w:fill="A6A6A6"/>
            <w:noWrap/>
            <w:vAlign w:val="center"/>
            <w:hideMark/>
          </w:tcPr>
          <w:p w14:paraId="09D7DED7" w14:textId="77777777" w:rsidR="00AC7B0A" w:rsidRPr="00020C88" w:rsidRDefault="00CA068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2021</w:t>
            </w:r>
          </w:p>
        </w:tc>
        <w:tc>
          <w:tcPr>
            <w:tcW w:w="1124" w:type="dxa"/>
            <w:tcBorders>
              <w:top w:val="nil"/>
              <w:left w:val="nil"/>
              <w:bottom w:val="single" w:sz="4" w:space="0" w:color="auto"/>
              <w:right w:val="single" w:sz="4" w:space="0" w:color="auto"/>
            </w:tcBorders>
            <w:shd w:val="clear" w:color="000000" w:fill="A6A6A6"/>
            <w:noWrap/>
            <w:vAlign w:val="center"/>
            <w:hideMark/>
          </w:tcPr>
          <w:p w14:paraId="398C9C5F" w14:textId="77777777" w:rsidR="00AC7B0A" w:rsidRPr="00020C88" w:rsidRDefault="00CA0683"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2022</w:t>
            </w:r>
          </w:p>
        </w:tc>
        <w:tc>
          <w:tcPr>
            <w:tcW w:w="960" w:type="dxa"/>
            <w:tcBorders>
              <w:top w:val="nil"/>
              <w:left w:val="nil"/>
              <w:bottom w:val="single" w:sz="4" w:space="0" w:color="auto"/>
              <w:right w:val="single" w:sz="4" w:space="0" w:color="auto"/>
            </w:tcBorders>
            <w:shd w:val="clear" w:color="000000" w:fill="A6A6A6"/>
            <w:noWrap/>
            <w:vAlign w:val="center"/>
            <w:hideMark/>
          </w:tcPr>
          <w:p w14:paraId="6257C02D" w14:textId="77777777" w:rsidR="00AC7B0A" w:rsidRPr="00020C88" w:rsidRDefault="00AC7B0A"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 </w:t>
            </w:r>
          </w:p>
        </w:tc>
      </w:tr>
      <w:tr w:rsidR="00D57052" w:rsidRPr="00020C88" w14:paraId="07FBE6E4" w14:textId="77777777" w:rsidTr="00047B8F">
        <w:trPr>
          <w:trHeight w:val="255"/>
          <w:jc w:val="center"/>
        </w:trPr>
        <w:tc>
          <w:tcPr>
            <w:tcW w:w="5123" w:type="dxa"/>
            <w:tcBorders>
              <w:top w:val="nil"/>
              <w:left w:val="single" w:sz="4" w:space="0" w:color="auto"/>
              <w:bottom w:val="single" w:sz="4" w:space="0" w:color="auto"/>
              <w:right w:val="single" w:sz="4" w:space="0" w:color="auto"/>
            </w:tcBorders>
            <w:noWrap/>
            <w:vAlign w:val="bottom"/>
            <w:hideMark/>
          </w:tcPr>
          <w:p w14:paraId="1C6498B6"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Počet zamestnancov celkom</w:t>
            </w:r>
          </w:p>
        </w:tc>
        <w:tc>
          <w:tcPr>
            <w:tcW w:w="788" w:type="dxa"/>
            <w:tcBorders>
              <w:top w:val="nil"/>
              <w:left w:val="nil"/>
              <w:bottom w:val="single" w:sz="4" w:space="0" w:color="auto"/>
              <w:right w:val="single" w:sz="4" w:space="0" w:color="auto"/>
            </w:tcBorders>
            <w:noWrap/>
            <w:vAlign w:val="bottom"/>
            <w:hideMark/>
          </w:tcPr>
          <w:p w14:paraId="5A43417A"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single" w:sz="4" w:space="0" w:color="auto"/>
              <w:right w:val="single" w:sz="4" w:space="0" w:color="auto"/>
            </w:tcBorders>
            <w:noWrap/>
            <w:vAlign w:val="bottom"/>
            <w:hideMark/>
          </w:tcPr>
          <w:p w14:paraId="6133CA79"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single" w:sz="4" w:space="0" w:color="auto"/>
              <w:right w:val="single" w:sz="4" w:space="0" w:color="auto"/>
            </w:tcBorders>
            <w:noWrap/>
            <w:vAlign w:val="bottom"/>
          </w:tcPr>
          <w:p w14:paraId="1AEB660A" w14:textId="77777777" w:rsidR="00D57052" w:rsidRPr="00020C88" w:rsidRDefault="009F645D"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24" w:type="dxa"/>
            <w:tcBorders>
              <w:top w:val="nil"/>
              <w:left w:val="nil"/>
              <w:bottom w:val="single" w:sz="4" w:space="0" w:color="auto"/>
              <w:right w:val="single" w:sz="4" w:space="0" w:color="auto"/>
            </w:tcBorders>
            <w:noWrap/>
            <w:vAlign w:val="bottom"/>
          </w:tcPr>
          <w:p w14:paraId="53B65E8E" w14:textId="77777777" w:rsidR="00D57052" w:rsidRPr="00020C88" w:rsidRDefault="009F645D"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60" w:type="dxa"/>
            <w:tcBorders>
              <w:top w:val="nil"/>
              <w:left w:val="nil"/>
              <w:bottom w:val="single" w:sz="4" w:space="0" w:color="auto"/>
              <w:right w:val="single" w:sz="4" w:space="0" w:color="auto"/>
            </w:tcBorders>
            <w:noWrap/>
            <w:vAlign w:val="bottom"/>
            <w:hideMark/>
          </w:tcPr>
          <w:p w14:paraId="16564E06"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 </w:t>
            </w:r>
          </w:p>
        </w:tc>
      </w:tr>
      <w:tr w:rsidR="00D57052" w:rsidRPr="00020C88" w14:paraId="2E65A62F" w14:textId="77777777" w:rsidTr="00047B8F">
        <w:trPr>
          <w:trHeight w:val="255"/>
          <w:jc w:val="center"/>
        </w:trPr>
        <w:tc>
          <w:tcPr>
            <w:tcW w:w="5123" w:type="dxa"/>
            <w:tcBorders>
              <w:top w:val="nil"/>
              <w:left w:val="single" w:sz="4" w:space="0" w:color="auto"/>
              <w:bottom w:val="single" w:sz="4" w:space="0" w:color="auto"/>
              <w:right w:val="single" w:sz="4" w:space="0" w:color="auto"/>
            </w:tcBorders>
            <w:noWrap/>
            <w:vAlign w:val="bottom"/>
            <w:hideMark/>
          </w:tcPr>
          <w:p w14:paraId="65D580D5"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Priemerný mzdový výdavkov (v eurách)</w:t>
            </w:r>
          </w:p>
        </w:tc>
        <w:tc>
          <w:tcPr>
            <w:tcW w:w="788" w:type="dxa"/>
            <w:tcBorders>
              <w:top w:val="nil"/>
              <w:left w:val="nil"/>
              <w:bottom w:val="single" w:sz="4" w:space="0" w:color="auto"/>
              <w:right w:val="single" w:sz="4" w:space="0" w:color="auto"/>
            </w:tcBorders>
            <w:noWrap/>
            <w:vAlign w:val="bottom"/>
            <w:hideMark/>
          </w:tcPr>
          <w:p w14:paraId="4ABC5A92"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single" w:sz="4" w:space="0" w:color="auto"/>
              <w:right w:val="single" w:sz="4" w:space="0" w:color="auto"/>
            </w:tcBorders>
            <w:noWrap/>
            <w:vAlign w:val="bottom"/>
            <w:hideMark/>
          </w:tcPr>
          <w:p w14:paraId="36EB8229"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single" w:sz="4" w:space="0" w:color="auto"/>
              <w:right w:val="single" w:sz="4" w:space="0" w:color="auto"/>
            </w:tcBorders>
            <w:noWrap/>
            <w:vAlign w:val="bottom"/>
          </w:tcPr>
          <w:p w14:paraId="03ED20B0" w14:textId="77777777" w:rsidR="00D57052" w:rsidRPr="00020C88" w:rsidRDefault="009F645D"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24" w:type="dxa"/>
            <w:tcBorders>
              <w:top w:val="nil"/>
              <w:left w:val="nil"/>
              <w:bottom w:val="single" w:sz="4" w:space="0" w:color="auto"/>
              <w:right w:val="single" w:sz="4" w:space="0" w:color="auto"/>
            </w:tcBorders>
            <w:noWrap/>
            <w:vAlign w:val="bottom"/>
          </w:tcPr>
          <w:p w14:paraId="3B0B9F7C" w14:textId="77777777" w:rsidR="00D57052" w:rsidRPr="00020C88" w:rsidRDefault="009F645D"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60" w:type="dxa"/>
            <w:tcBorders>
              <w:top w:val="nil"/>
              <w:left w:val="nil"/>
              <w:bottom w:val="single" w:sz="4" w:space="0" w:color="auto"/>
              <w:right w:val="single" w:sz="4" w:space="0" w:color="auto"/>
            </w:tcBorders>
            <w:noWrap/>
            <w:vAlign w:val="bottom"/>
            <w:hideMark/>
          </w:tcPr>
          <w:p w14:paraId="47F21D95"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 </w:t>
            </w:r>
          </w:p>
        </w:tc>
      </w:tr>
      <w:tr w:rsidR="00D57052" w:rsidRPr="00020C88" w14:paraId="1207690D" w14:textId="77777777" w:rsidTr="00047B8F">
        <w:trPr>
          <w:trHeight w:val="255"/>
          <w:jc w:val="center"/>
        </w:trPr>
        <w:tc>
          <w:tcPr>
            <w:tcW w:w="5123" w:type="dxa"/>
            <w:tcBorders>
              <w:top w:val="nil"/>
              <w:left w:val="single" w:sz="4" w:space="0" w:color="auto"/>
              <w:bottom w:val="single" w:sz="4" w:space="0" w:color="auto"/>
              <w:right w:val="single" w:sz="4" w:space="0" w:color="auto"/>
            </w:tcBorders>
            <w:shd w:val="clear" w:color="000000" w:fill="A6A6A6"/>
            <w:noWrap/>
            <w:vAlign w:val="center"/>
            <w:hideMark/>
          </w:tcPr>
          <w:p w14:paraId="0CA536BD" w14:textId="77777777" w:rsidR="00D57052" w:rsidRPr="00020C88" w:rsidRDefault="00D57052" w:rsidP="00CB750F">
            <w:pPr>
              <w:spacing w:after="0" w:line="240" w:lineRule="auto"/>
              <w:jc w:val="both"/>
              <w:rPr>
                <w:rFonts w:ascii="Times New Roman" w:hAnsi="Times New Roman"/>
                <w:b/>
                <w:bCs/>
                <w:color w:val="000000"/>
                <w:sz w:val="20"/>
                <w:szCs w:val="20"/>
                <w:lang w:eastAsia="sk-SK"/>
              </w:rPr>
            </w:pPr>
            <w:r w:rsidRPr="00020C88">
              <w:rPr>
                <w:rFonts w:ascii="Times New Roman" w:hAnsi="Times New Roman"/>
                <w:b/>
                <w:bCs/>
                <w:color w:val="000000"/>
                <w:sz w:val="20"/>
                <w:szCs w:val="20"/>
                <w:lang w:eastAsia="sk-SK"/>
              </w:rPr>
              <w:t>Osobné výdavky celkom (v eurách)</w:t>
            </w:r>
          </w:p>
        </w:tc>
        <w:tc>
          <w:tcPr>
            <w:tcW w:w="788" w:type="dxa"/>
            <w:tcBorders>
              <w:top w:val="nil"/>
              <w:left w:val="nil"/>
              <w:bottom w:val="nil"/>
              <w:right w:val="single" w:sz="4" w:space="0" w:color="auto"/>
            </w:tcBorders>
            <w:shd w:val="clear" w:color="000000" w:fill="A6A6A6"/>
            <w:noWrap/>
            <w:vAlign w:val="bottom"/>
            <w:hideMark/>
          </w:tcPr>
          <w:p w14:paraId="3931A616"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nil"/>
              <w:right w:val="single" w:sz="4" w:space="0" w:color="auto"/>
            </w:tcBorders>
            <w:shd w:val="clear" w:color="000000" w:fill="A6A6A6"/>
            <w:noWrap/>
            <w:vAlign w:val="bottom"/>
            <w:hideMark/>
          </w:tcPr>
          <w:p w14:paraId="40BD6106"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nil"/>
              <w:right w:val="single" w:sz="4" w:space="0" w:color="auto"/>
            </w:tcBorders>
            <w:shd w:val="clear" w:color="000000" w:fill="A6A6A6"/>
            <w:noWrap/>
            <w:vAlign w:val="bottom"/>
          </w:tcPr>
          <w:p w14:paraId="3C400483" w14:textId="77777777" w:rsidR="00D57052" w:rsidRPr="00020C88" w:rsidRDefault="009F645D"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24" w:type="dxa"/>
            <w:tcBorders>
              <w:top w:val="nil"/>
              <w:left w:val="nil"/>
              <w:bottom w:val="nil"/>
              <w:right w:val="single" w:sz="4" w:space="0" w:color="auto"/>
            </w:tcBorders>
            <w:shd w:val="clear" w:color="000000" w:fill="A6A6A6"/>
            <w:noWrap/>
            <w:vAlign w:val="bottom"/>
          </w:tcPr>
          <w:p w14:paraId="7EF9ED8D" w14:textId="77777777" w:rsidR="00D57052" w:rsidRPr="00020C88" w:rsidRDefault="009F645D"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60" w:type="dxa"/>
            <w:tcBorders>
              <w:top w:val="nil"/>
              <w:left w:val="nil"/>
              <w:bottom w:val="nil"/>
              <w:right w:val="single" w:sz="4" w:space="0" w:color="auto"/>
            </w:tcBorders>
            <w:shd w:val="clear" w:color="000000" w:fill="A6A6A6"/>
            <w:noWrap/>
            <w:vAlign w:val="bottom"/>
            <w:hideMark/>
          </w:tcPr>
          <w:p w14:paraId="551B43DD"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 </w:t>
            </w:r>
          </w:p>
        </w:tc>
      </w:tr>
      <w:tr w:rsidR="00D57052" w:rsidRPr="00020C88" w14:paraId="3924426D" w14:textId="77777777" w:rsidTr="00047B8F">
        <w:trPr>
          <w:trHeight w:val="510"/>
          <w:jc w:val="center"/>
        </w:trPr>
        <w:tc>
          <w:tcPr>
            <w:tcW w:w="5123" w:type="dxa"/>
            <w:tcBorders>
              <w:top w:val="nil"/>
              <w:left w:val="single" w:sz="4" w:space="0" w:color="auto"/>
              <w:bottom w:val="single" w:sz="4" w:space="0" w:color="auto"/>
              <w:right w:val="single" w:sz="4" w:space="0" w:color="auto"/>
            </w:tcBorders>
            <w:vAlign w:val="bottom"/>
            <w:hideMark/>
          </w:tcPr>
          <w:p w14:paraId="4155E38D"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Mzdy, platy, služobné príjmy a ostatné osobné vyrovnania (610)</w:t>
            </w:r>
          </w:p>
        </w:tc>
        <w:tc>
          <w:tcPr>
            <w:tcW w:w="788" w:type="dxa"/>
            <w:tcBorders>
              <w:top w:val="single" w:sz="4" w:space="0" w:color="auto"/>
              <w:left w:val="nil"/>
              <w:bottom w:val="single" w:sz="4" w:space="0" w:color="auto"/>
              <w:right w:val="single" w:sz="4" w:space="0" w:color="auto"/>
            </w:tcBorders>
            <w:noWrap/>
            <w:vAlign w:val="bottom"/>
            <w:hideMark/>
          </w:tcPr>
          <w:p w14:paraId="17076B2C"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single" w:sz="4" w:space="0" w:color="auto"/>
              <w:left w:val="nil"/>
              <w:bottom w:val="single" w:sz="4" w:space="0" w:color="auto"/>
              <w:right w:val="single" w:sz="4" w:space="0" w:color="auto"/>
            </w:tcBorders>
            <w:noWrap/>
            <w:vAlign w:val="bottom"/>
            <w:hideMark/>
          </w:tcPr>
          <w:p w14:paraId="12A72D63"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single" w:sz="4" w:space="0" w:color="auto"/>
              <w:left w:val="nil"/>
              <w:bottom w:val="single" w:sz="4" w:space="0" w:color="auto"/>
              <w:right w:val="single" w:sz="4" w:space="0" w:color="auto"/>
            </w:tcBorders>
            <w:noWrap/>
            <w:vAlign w:val="bottom"/>
          </w:tcPr>
          <w:p w14:paraId="3284DD7F" w14:textId="77777777" w:rsidR="00D57052" w:rsidRPr="00020C88" w:rsidRDefault="009F645D"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24" w:type="dxa"/>
            <w:tcBorders>
              <w:top w:val="single" w:sz="4" w:space="0" w:color="auto"/>
              <w:left w:val="nil"/>
              <w:bottom w:val="single" w:sz="4" w:space="0" w:color="auto"/>
              <w:right w:val="single" w:sz="4" w:space="0" w:color="auto"/>
            </w:tcBorders>
            <w:noWrap/>
            <w:vAlign w:val="bottom"/>
          </w:tcPr>
          <w:p w14:paraId="2E322342" w14:textId="77777777" w:rsidR="00D57052" w:rsidRPr="00020C88" w:rsidRDefault="009F645D"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60" w:type="dxa"/>
            <w:tcBorders>
              <w:top w:val="single" w:sz="4" w:space="0" w:color="auto"/>
              <w:left w:val="nil"/>
              <w:bottom w:val="single" w:sz="4" w:space="0" w:color="auto"/>
              <w:right w:val="single" w:sz="4" w:space="0" w:color="auto"/>
            </w:tcBorders>
            <w:noWrap/>
            <w:vAlign w:val="bottom"/>
            <w:hideMark/>
          </w:tcPr>
          <w:p w14:paraId="547F77D0"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 </w:t>
            </w:r>
          </w:p>
        </w:tc>
      </w:tr>
      <w:tr w:rsidR="00D57052" w:rsidRPr="00020C88" w14:paraId="56F35BB9" w14:textId="77777777" w:rsidTr="00047B8F">
        <w:trPr>
          <w:trHeight w:val="255"/>
          <w:jc w:val="center"/>
        </w:trPr>
        <w:tc>
          <w:tcPr>
            <w:tcW w:w="5123" w:type="dxa"/>
            <w:tcBorders>
              <w:top w:val="nil"/>
              <w:left w:val="single" w:sz="4" w:space="0" w:color="auto"/>
              <w:bottom w:val="single" w:sz="4" w:space="0" w:color="auto"/>
              <w:right w:val="single" w:sz="4" w:space="0" w:color="auto"/>
            </w:tcBorders>
            <w:noWrap/>
            <w:vAlign w:val="bottom"/>
            <w:hideMark/>
          </w:tcPr>
          <w:p w14:paraId="3F151D99"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Poistné a príspevok do poisťovní (620)</w:t>
            </w:r>
          </w:p>
        </w:tc>
        <w:tc>
          <w:tcPr>
            <w:tcW w:w="788" w:type="dxa"/>
            <w:tcBorders>
              <w:top w:val="nil"/>
              <w:left w:val="nil"/>
              <w:bottom w:val="single" w:sz="4" w:space="0" w:color="auto"/>
              <w:right w:val="single" w:sz="4" w:space="0" w:color="auto"/>
            </w:tcBorders>
            <w:noWrap/>
            <w:vAlign w:val="bottom"/>
            <w:hideMark/>
          </w:tcPr>
          <w:p w14:paraId="281D53CB"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single" w:sz="4" w:space="0" w:color="auto"/>
              <w:right w:val="single" w:sz="4" w:space="0" w:color="auto"/>
            </w:tcBorders>
            <w:noWrap/>
            <w:vAlign w:val="bottom"/>
            <w:hideMark/>
          </w:tcPr>
          <w:p w14:paraId="08246B17"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0</w:t>
            </w:r>
          </w:p>
        </w:tc>
        <w:tc>
          <w:tcPr>
            <w:tcW w:w="1124" w:type="dxa"/>
            <w:tcBorders>
              <w:top w:val="nil"/>
              <w:left w:val="nil"/>
              <w:bottom w:val="single" w:sz="4" w:space="0" w:color="auto"/>
              <w:right w:val="single" w:sz="4" w:space="0" w:color="auto"/>
            </w:tcBorders>
            <w:noWrap/>
            <w:vAlign w:val="bottom"/>
          </w:tcPr>
          <w:p w14:paraId="782D0ABF" w14:textId="77777777" w:rsidR="00D57052" w:rsidRPr="00020C88" w:rsidRDefault="009F645D"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1124" w:type="dxa"/>
            <w:tcBorders>
              <w:top w:val="nil"/>
              <w:left w:val="nil"/>
              <w:bottom w:val="single" w:sz="4" w:space="0" w:color="auto"/>
              <w:right w:val="single" w:sz="4" w:space="0" w:color="auto"/>
            </w:tcBorders>
            <w:noWrap/>
            <w:vAlign w:val="bottom"/>
          </w:tcPr>
          <w:p w14:paraId="730246D5" w14:textId="77777777" w:rsidR="00D57052" w:rsidRPr="00020C88" w:rsidRDefault="009F645D"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0</w:t>
            </w:r>
          </w:p>
        </w:tc>
        <w:tc>
          <w:tcPr>
            <w:tcW w:w="960" w:type="dxa"/>
            <w:tcBorders>
              <w:top w:val="nil"/>
              <w:left w:val="nil"/>
              <w:bottom w:val="single" w:sz="4" w:space="0" w:color="auto"/>
              <w:right w:val="single" w:sz="4" w:space="0" w:color="auto"/>
            </w:tcBorders>
            <w:noWrap/>
            <w:vAlign w:val="bottom"/>
            <w:hideMark/>
          </w:tcPr>
          <w:p w14:paraId="3964468D" w14:textId="77777777" w:rsidR="00D57052" w:rsidRPr="00020C88" w:rsidRDefault="00D57052"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 </w:t>
            </w:r>
          </w:p>
        </w:tc>
      </w:tr>
    </w:tbl>
    <w:p w14:paraId="5112B381" w14:textId="77777777" w:rsidR="00CB3623" w:rsidRPr="00020C88" w:rsidRDefault="00CB3623" w:rsidP="00CB750F">
      <w:pPr>
        <w:spacing w:after="0" w:line="240" w:lineRule="auto"/>
        <w:jc w:val="both"/>
        <w:rPr>
          <w:rFonts w:ascii="Times New Roman" w:hAnsi="Times New Roman"/>
          <w:sz w:val="20"/>
          <w:szCs w:val="20"/>
        </w:rPr>
      </w:pPr>
    </w:p>
    <w:p w14:paraId="557D39E6" w14:textId="77777777" w:rsidR="00D57829" w:rsidRPr="00020C88" w:rsidRDefault="00D57829" w:rsidP="00CB750F">
      <w:pPr>
        <w:spacing w:after="0" w:line="240" w:lineRule="auto"/>
        <w:jc w:val="both"/>
        <w:rPr>
          <w:rFonts w:ascii="Times New Roman" w:hAnsi="Times New Roman"/>
          <w:b/>
          <w:bCs/>
          <w:iCs/>
          <w:sz w:val="20"/>
          <w:szCs w:val="20"/>
        </w:rPr>
      </w:pPr>
      <w:r w:rsidRPr="00020C88">
        <w:rPr>
          <w:rFonts w:ascii="Times New Roman" w:hAnsi="Times New Roman"/>
          <w:b/>
          <w:bCs/>
          <w:iCs/>
          <w:sz w:val="20"/>
          <w:szCs w:val="20"/>
        </w:rPr>
        <w:t>2.2.4.2 Kvantifikácia výdavkov verejného zdravotného poistenia</w:t>
      </w:r>
    </w:p>
    <w:p w14:paraId="402304D2" w14:textId="77777777" w:rsidR="00D57829" w:rsidRPr="00020C88" w:rsidRDefault="00D57829" w:rsidP="00CB750F">
      <w:pPr>
        <w:autoSpaceDE w:val="0"/>
        <w:autoSpaceDN w:val="0"/>
        <w:adjustRightInd w:val="0"/>
        <w:spacing w:after="0" w:line="240" w:lineRule="auto"/>
        <w:jc w:val="both"/>
        <w:rPr>
          <w:rFonts w:ascii="Times New Roman" w:hAnsi="Times New Roman"/>
          <w:bCs/>
          <w:sz w:val="20"/>
          <w:szCs w:val="20"/>
        </w:rPr>
      </w:pPr>
    </w:p>
    <w:p w14:paraId="7797C241" w14:textId="4B602583" w:rsidR="003E4564" w:rsidRPr="00020C88" w:rsidRDefault="003E4564" w:rsidP="00CB750F">
      <w:pPr>
        <w:tabs>
          <w:tab w:val="center" w:pos="4536"/>
        </w:tabs>
        <w:spacing w:after="0" w:line="240" w:lineRule="auto"/>
        <w:jc w:val="both"/>
        <w:rPr>
          <w:rFonts w:ascii="Times New Roman" w:hAnsi="Times New Roman"/>
          <w:b/>
          <w:sz w:val="20"/>
          <w:szCs w:val="20"/>
          <w:u w:val="single"/>
        </w:rPr>
      </w:pPr>
      <w:r w:rsidRPr="00020C88">
        <w:rPr>
          <w:rFonts w:ascii="Times New Roman" w:hAnsi="Times New Roman"/>
          <w:b/>
          <w:sz w:val="20"/>
          <w:szCs w:val="20"/>
          <w:u w:val="single"/>
        </w:rPr>
        <w:t>Stratifikácia</w:t>
      </w:r>
    </w:p>
    <w:p w14:paraId="3127FC54" w14:textId="64A0BE30" w:rsidR="003E4564" w:rsidRPr="00020C88" w:rsidRDefault="003E4564"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Predkladaný materiál má ambíciu vytvoriť rámec, ktorý následne dovolí zmeny v poskytovaní zdravotnej starostlivosti, ktoré sú nevyhnutné z dôvodu dlhodobého nedostatočného financovania systému, nedostatku zdravotného personálu a nepriaznivých demografických prognóz a v neposlednom rade z dôvodu neefektívneho hospodárenia. </w:t>
      </w:r>
    </w:p>
    <w:p w14:paraId="6607DE02" w14:textId="3D190FCE" w:rsidR="003E4564" w:rsidRPr="00020C88" w:rsidRDefault="003E4564"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Celkovo nevyužívame lôžka efektívne a jedno lôžko zo štyroch ostáva neobsadené, pričom na nich pacienti v priemere trávia takmer o 2 dni dlhšie ako priemer krajín </w:t>
      </w:r>
      <w:r w:rsidR="0087431E" w:rsidRPr="00020C88">
        <w:rPr>
          <w:rFonts w:ascii="Times New Roman" w:hAnsi="Times New Roman"/>
          <w:sz w:val="20"/>
          <w:szCs w:val="20"/>
        </w:rPr>
        <w:t>z</w:t>
      </w:r>
      <w:r w:rsidRPr="00020C88">
        <w:rPr>
          <w:rFonts w:ascii="Times New Roman" w:hAnsi="Times New Roman"/>
          <w:sz w:val="20"/>
          <w:szCs w:val="20"/>
        </w:rPr>
        <w:t xml:space="preserve">ápadnej Európy. Základným princípom je redukovať finančne náročné akútne lôžka tam, kde je to žiadané a uvoľnené prostriedky použiť na zásadné navýšenie počtu chronických lôžok, ktorých je nedostatok. </w:t>
      </w:r>
    </w:p>
    <w:p w14:paraId="56DCD51B" w14:textId="6C5C42B4" w:rsidR="003E4564" w:rsidRDefault="003E4564" w:rsidP="00CB750F">
      <w:pPr>
        <w:spacing w:after="0" w:line="240" w:lineRule="auto"/>
        <w:jc w:val="both"/>
        <w:rPr>
          <w:rFonts w:ascii="Times New Roman" w:hAnsi="Times New Roman"/>
          <w:sz w:val="20"/>
          <w:szCs w:val="20"/>
        </w:rPr>
      </w:pPr>
      <w:r w:rsidRPr="00020C88">
        <w:rPr>
          <w:rFonts w:ascii="Times New Roman" w:hAnsi="Times New Roman"/>
          <w:sz w:val="20"/>
          <w:szCs w:val="20"/>
        </w:rPr>
        <w:t>Tabuľka nižšie znázorňuje proces transformácie lôžok z akútnych lôžok na lôžka následnej starostlivosti. Celkový počet lôžok klesne o približne tri tisíc, ale lôžok následnej starostlivosti stúpne o približne tri tisíc.</w:t>
      </w:r>
    </w:p>
    <w:p w14:paraId="2A77F073" w14:textId="77777777" w:rsidR="00043791" w:rsidRPr="00020C88" w:rsidRDefault="00043791" w:rsidP="00CB750F">
      <w:pPr>
        <w:spacing w:after="0" w:line="240" w:lineRule="auto"/>
        <w:jc w:val="both"/>
        <w:rPr>
          <w:rFonts w:ascii="Times New Roman" w:hAnsi="Times New Roman"/>
          <w:sz w:val="20"/>
          <w:szCs w:val="20"/>
        </w:rPr>
      </w:pPr>
    </w:p>
    <w:p w14:paraId="37FC9D97" w14:textId="3C7553A2" w:rsidR="00D121C5" w:rsidRPr="00020C88" w:rsidRDefault="00D121C5" w:rsidP="00CB750F">
      <w:pPr>
        <w:spacing w:after="0" w:line="240" w:lineRule="auto"/>
        <w:jc w:val="both"/>
        <w:rPr>
          <w:rFonts w:ascii="Times New Roman" w:hAnsi="Times New Roman"/>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9"/>
        <w:gridCol w:w="708"/>
        <w:gridCol w:w="709"/>
        <w:gridCol w:w="709"/>
        <w:gridCol w:w="709"/>
        <w:gridCol w:w="756"/>
        <w:gridCol w:w="661"/>
        <w:gridCol w:w="709"/>
        <w:gridCol w:w="709"/>
        <w:gridCol w:w="708"/>
        <w:gridCol w:w="709"/>
        <w:gridCol w:w="709"/>
        <w:gridCol w:w="709"/>
        <w:gridCol w:w="708"/>
      </w:tblGrid>
      <w:tr w:rsidR="00D121C5" w:rsidRPr="00020C88" w14:paraId="046B42FE" w14:textId="77777777" w:rsidTr="00043791">
        <w:trPr>
          <w:trHeight w:val="276"/>
        </w:trPr>
        <w:tc>
          <w:tcPr>
            <w:tcW w:w="1419" w:type="dxa"/>
            <w:shd w:val="clear" w:color="auto" w:fill="auto"/>
            <w:noWrap/>
            <w:vAlign w:val="bottom"/>
          </w:tcPr>
          <w:p w14:paraId="4B74A589" w14:textId="77777777" w:rsidR="00D121C5" w:rsidRPr="00020C88" w:rsidRDefault="00D121C5" w:rsidP="00D121C5">
            <w:pPr>
              <w:spacing w:after="0" w:line="240" w:lineRule="auto"/>
              <w:rPr>
                <w:rFonts w:ascii="Times New Roman" w:hAnsi="Times New Roman"/>
                <w:color w:val="000000"/>
                <w:sz w:val="16"/>
                <w:szCs w:val="16"/>
                <w:lang w:eastAsia="sk-SK"/>
              </w:rPr>
            </w:pPr>
          </w:p>
        </w:tc>
        <w:tc>
          <w:tcPr>
            <w:tcW w:w="708" w:type="dxa"/>
            <w:shd w:val="clear" w:color="auto" w:fill="auto"/>
            <w:noWrap/>
            <w:vAlign w:val="center"/>
          </w:tcPr>
          <w:p w14:paraId="54FF4FAF" w14:textId="1DCF3AB1"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2018</w:t>
            </w:r>
          </w:p>
        </w:tc>
        <w:tc>
          <w:tcPr>
            <w:tcW w:w="709" w:type="dxa"/>
            <w:shd w:val="clear" w:color="auto" w:fill="auto"/>
            <w:noWrap/>
            <w:vAlign w:val="center"/>
          </w:tcPr>
          <w:p w14:paraId="61A0E163" w14:textId="1F648CD5"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2019</w:t>
            </w:r>
          </w:p>
        </w:tc>
        <w:tc>
          <w:tcPr>
            <w:tcW w:w="709" w:type="dxa"/>
            <w:shd w:val="clear" w:color="auto" w:fill="auto"/>
            <w:noWrap/>
            <w:vAlign w:val="center"/>
          </w:tcPr>
          <w:p w14:paraId="73F3739F" w14:textId="2787F16C"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2020</w:t>
            </w:r>
          </w:p>
        </w:tc>
        <w:tc>
          <w:tcPr>
            <w:tcW w:w="709" w:type="dxa"/>
            <w:shd w:val="clear" w:color="auto" w:fill="auto"/>
            <w:noWrap/>
            <w:vAlign w:val="center"/>
          </w:tcPr>
          <w:p w14:paraId="5DA780BD" w14:textId="13040F16"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2021</w:t>
            </w:r>
          </w:p>
        </w:tc>
        <w:tc>
          <w:tcPr>
            <w:tcW w:w="756" w:type="dxa"/>
            <w:shd w:val="clear" w:color="auto" w:fill="auto"/>
            <w:noWrap/>
            <w:vAlign w:val="center"/>
          </w:tcPr>
          <w:p w14:paraId="7E02B4BD" w14:textId="4980696E"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2022</w:t>
            </w:r>
          </w:p>
        </w:tc>
        <w:tc>
          <w:tcPr>
            <w:tcW w:w="661" w:type="dxa"/>
            <w:shd w:val="clear" w:color="auto" w:fill="auto"/>
            <w:noWrap/>
            <w:vAlign w:val="center"/>
          </w:tcPr>
          <w:p w14:paraId="48DCADF2" w14:textId="30162B2E"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2023</w:t>
            </w:r>
          </w:p>
        </w:tc>
        <w:tc>
          <w:tcPr>
            <w:tcW w:w="709" w:type="dxa"/>
            <w:shd w:val="clear" w:color="auto" w:fill="auto"/>
            <w:noWrap/>
            <w:vAlign w:val="center"/>
          </w:tcPr>
          <w:p w14:paraId="5509FD59" w14:textId="5C61F3C3"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2024</w:t>
            </w:r>
          </w:p>
        </w:tc>
        <w:tc>
          <w:tcPr>
            <w:tcW w:w="709" w:type="dxa"/>
            <w:shd w:val="clear" w:color="auto" w:fill="auto"/>
            <w:noWrap/>
            <w:vAlign w:val="center"/>
          </w:tcPr>
          <w:p w14:paraId="7B491067" w14:textId="4AAB1C89"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2025</w:t>
            </w:r>
          </w:p>
        </w:tc>
        <w:tc>
          <w:tcPr>
            <w:tcW w:w="708" w:type="dxa"/>
            <w:shd w:val="clear" w:color="auto" w:fill="auto"/>
            <w:noWrap/>
            <w:vAlign w:val="center"/>
          </w:tcPr>
          <w:p w14:paraId="3D072DCA" w14:textId="116FBF6B"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2026</w:t>
            </w:r>
          </w:p>
        </w:tc>
        <w:tc>
          <w:tcPr>
            <w:tcW w:w="709" w:type="dxa"/>
            <w:shd w:val="clear" w:color="auto" w:fill="auto"/>
            <w:noWrap/>
            <w:vAlign w:val="center"/>
          </w:tcPr>
          <w:p w14:paraId="57746749" w14:textId="3062CBEE"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2027</w:t>
            </w:r>
          </w:p>
        </w:tc>
        <w:tc>
          <w:tcPr>
            <w:tcW w:w="709" w:type="dxa"/>
            <w:shd w:val="clear" w:color="auto" w:fill="auto"/>
            <w:noWrap/>
            <w:vAlign w:val="center"/>
          </w:tcPr>
          <w:p w14:paraId="27AB519C" w14:textId="53EB2414"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2028</w:t>
            </w:r>
          </w:p>
        </w:tc>
        <w:tc>
          <w:tcPr>
            <w:tcW w:w="709" w:type="dxa"/>
            <w:shd w:val="clear" w:color="auto" w:fill="auto"/>
            <w:noWrap/>
            <w:vAlign w:val="center"/>
          </w:tcPr>
          <w:p w14:paraId="72668B56" w14:textId="1B038010"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2029</w:t>
            </w:r>
          </w:p>
        </w:tc>
        <w:tc>
          <w:tcPr>
            <w:tcW w:w="708" w:type="dxa"/>
            <w:shd w:val="clear" w:color="auto" w:fill="auto"/>
            <w:noWrap/>
            <w:vAlign w:val="center"/>
          </w:tcPr>
          <w:p w14:paraId="62FC4EE3" w14:textId="11E88BFD"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2030</w:t>
            </w:r>
          </w:p>
        </w:tc>
      </w:tr>
      <w:tr w:rsidR="00D121C5" w:rsidRPr="00020C88" w14:paraId="792BF281" w14:textId="77777777" w:rsidTr="00043791">
        <w:trPr>
          <w:trHeight w:val="276"/>
        </w:trPr>
        <w:tc>
          <w:tcPr>
            <w:tcW w:w="1419" w:type="dxa"/>
            <w:shd w:val="clear" w:color="auto" w:fill="auto"/>
            <w:noWrap/>
            <w:vAlign w:val="bottom"/>
            <w:hideMark/>
          </w:tcPr>
          <w:p w14:paraId="2DC8751E" w14:textId="77777777" w:rsidR="00D121C5" w:rsidRPr="00020C88" w:rsidRDefault="00D121C5" w:rsidP="00D121C5">
            <w:pPr>
              <w:spacing w:after="0" w:line="240" w:lineRule="auto"/>
              <w:rPr>
                <w:rFonts w:ascii="Times New Roman" w:hAnsi="Times New Roman"/>
                <w:color w:val="000000"/>
                <w:sz w:val="16"/>
                <w:szCs w:val="16"/>
                <w:lang w:eastAsia="sk-SK"/>
              </w:rPr>
            </w:pPr>
            <w:r w:rsidRPr="00020C88">
              <w:rPr>
                <w:rFonts w:ascii="Times New Roman" w:hAnsi="Times New Roman"/>
                <w:color w:val="000000"/>
                <w:sz w:val="16"/>
                <w:szCs w:val="16"/>
                <w:lang w:eastAsia="sk-SK"/>
              </w:rPr>
              <w:t>Akútne lôžka</w:t>
            </w:r>
          </w:p>
        </w:tc>
        <w:tc>
          <w:tcPr>
            <w:tcW w:w="708" w:type="dxa"/>
            <w:shd w:val="clear" w:color="auto" w:fill="auto"/>
            <w:noWrap/>
            <w:vAlign w:val="center"/>
            <w:hideMark/>
          </w:tcPr>
          <w:p w14:paraId="3B45E7A2"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22 433</w:t>
            </w:r>
          </w:p>
        </w:tc>
        <w:tc>
          <w:tcPr>
            <w:tcW w:w="709" w:type="dxa"/>
            <w:shd w:val="clear" w:color="auto" w:fill="auto"/>
            <w:noWrap/>
            <w:vAlign w:val="center"/>
            <w:hideMark/>
          </w:tcPr>
          <w:p w14:paraId="03D3F66A"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22 098</w:t>
            </w:r>
          </w:p>
        </w:tc>
        <w:tc>
          <w:tcPr>
            <w:tcW w:w="709" w:type="dxa"/>
            <w:shd w:val="clear" w:color="auto" w:fill="auto"/>
            <w:noWrap/>
            <w:vAlign w:val="center"/>
            <w:hideMark/>
          </w:tcPr>
          <w:p w14:paraId="75A0FBB3"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21 489</w:t>
            </w:r>
          </w:p>
        </w:tc>
        <w:tc>
          <w:tcPr>
            <w:tcW w:w="709" w:type="dxa"/>
            <w:shd w:val="clear" w:color="auto" w:fill="auto"/>
            <w:noWrap/>
            <w:vAlign w:val="center"/>
            <w:hideMark/>
          </w:tcPr>
          <w:p w14:paraId="3BE4EEE6"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20 880</w:t>
            </w:r>
          </w:p>
        </w:tc>
        <w:tc>
          <w:tcPr>
            <w:tcW w:w="756" w:type="dxa"/>
            <w:shd w:val="clear" w:color="auto" w:fill="auto"/>
            <w:noWrap/>
            <w:vAlign w:val="center"/>
            <w:hideMark/>
          </w:tcPr>
          <w:p w14:paraId="58ADC48C"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20 271</w:t>
            </w:r>
          </w:p>
        </w:tc>
        <w:tc>
          <w:tcPr>
            <w:tcW w:w="661" w:type="dxa"/>
            <w:shd w:val="clear" w:color="auto" w:fill="auto"/>
            <w:noWrap/>
            <w:vAlign w:val="center"/>
            <w:hideMark/>
          </w:tcPr>
          <w:p w14:paraId="1D5A0448"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19 661</w:t>
            </w:r>
          </w:p>
        </w:tc>
        <w:tc>
          <w:tcPr>
            <w:tcW w:w="709" w:type="dxa"/>
            <w:shd w:val="clear" w:color="auto" w:fill="auto"/>
            <w:noWrap/>
            <w:vAlign w:val="center"/>
            <w:hideMark/>
          </w:tcPr>
          <w:p w14:paraId="2162F455"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19 052</w:t>
            </w:r>
          </w:p>
        </w:tc>
        <w:tc>
          <w:tcPr>
            <w:tcW w:w="709" w:type="dxa"/>
            <w:shd w:val="clear" w:color="auto" w:fill="auto"/>
            <w:noWrap/>
            <w:vAlign w:val="center"/>
            <w:hideMark/>
          </w:tcPr>
          <w:p w14:paraId="6C4420DE"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18 443</w:t>
            </w:r>
          </w:p>
        </w:tc>
        <w:tc>
          <w:tcPr>
            <w:tcW w:w="708" w:type="dxa"/>
            <w:shd w:val="clear" w:color="auto" w:fill="auto"/>
            <w:noWrap/>
            <w:vAlign w:val="center"/>
            <w:hideMark/>
          </w:tcPr>
          <w:p w14:paraId="0CADC323"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17 834</w:t>
            </w:r>
          </w:p>
        </w:tc>
        <w:tc>
          <w:tcPr>
            <w:tcW w:w="709" w:type="dxa"/>
            <w:shd w:val="clear" w:color="auto" w:fill="auto"/>
            <w:noWrap/>
            <w:vAlign w:val="center"/>
            <w:hideMark/>
          </w:tcPr>
          <w:p w14:paraId="0123CB25"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17 225</w:t>
            </w:r>
          </w:p>
        </w:tc>
        <w:tc>
          <w:tcPr>
            <w:tcW w:w="709" w:type="dxa"/>
            <w:shd w:val="clear" w:color="auto" w:fill="auto"/>
            <w:noWrap/>
            <w:vAlign w:val="center"/>
            <w:hideMark/>
          </w:tcPr>
          <w:p w14:paraId="5534EB1C"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16 616</w:t>
            </w:r>
          </w:p>
        </w:tc>
        <w:tc>
          <w:tcPr>
            <w:tcW w:w="709" w:type="dxa"/>
            <w:shd w:val="clear" w:color="auto" w:fill="auto"/>
            <w:noWrap/>
            <w:vAlign w:val="center"/>
            <w:hideMark/>
          </w:tcPr>
          <w:p w14:paraId="6A2C7281"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16 007</w:t>
            </w:r>
          </w:p>
        </w:tc>
        <w:tc>
          <w:tcPr>
            <w:tcW w:w="708" w:type="dxa"/>
            <w:shd w:val="clear" w:color="auto" w:fill="auto"/>
            <w:noWrap/>
            <w:vAlign w:val="center"/>
            <w:hideMark/>
          </w:tcPr>
          <w:p w14:paraId="4631A24B"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15 398</w:t>
            </w:r>
          </w:p>
        </w:tc>
      </w:tr>
      <w:tr w:rsidR="00D121C5" w:rsidRPr="00020C88" w14:paraId="1FB80B14" w14:textId="77777777" w:rsidTr="00043791">
        <w:trPr>
          <w:trHeight w:val="276"/>
        </w:trPr>
        <w:tc>
          <w:tcPr>
            <w:tcW w:w="1419" w:type="dxa"/>
            <w:shd w:val="clear" w:color="auto" w:fill="auto"/>
            <w:noWrap/>
            <w:vAlign w:val="bottom"/>
            <w:hideMark/>
          </w:tcPr>
          <w:p w14:paraId="26034835" w14:textId="77777777" w:rsidR="00D121C5" w:rsidRPr="00020C88" w:rsidRDefault="00D121C5" w:rsidP="00D121C5">
            <w:pPr>
              <w:spacing w:after="0" w:line="240" w:lineRule="auto"/>
              <w:rPr>
                <w:rFonts w:ascii="Times New Roman" w:hAnsi="Times New Roman"/>
                <w:color w:val="000000"/>
                <w:sz w:val="16"/>
                <w:szCs w:val="16"/>
                <w:lang w:eastAsia="sk-SK"/>
              </w:rPr>
            </w:pPr>
            <w:r w:rsidRPr="00020C88">
              <w:rPr>
                <w:rFonts w:ascii="Times New Roman" w:hAnsi="Times New Roman"/>
                <w:color w:val="000000"/>
                <w:sz w:val="16"/>
                <w:szCs w:val="16"/>
                <w:lang w:eastAsia="sk-SK"/>
              </w:rPr>
              <w:t>Chronické lôžka</w:t>
            </w:r>
          </w:p>
        </w:tc>
        <w:tc>
          <w:tcPr>
            <w:tcW w:w="708" w:type="dxa"/>
            <w:shd w:val="clear" w:color="auto" w:fill="auto"/>
            <w:noWrap/>
            <w:vAlign w:val="center"/>
            <w:hideMark/>
          </w:tcPr>
          <w:p w14:paraId="0430F4C2"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3 231</w:t>
            </w:r>
          </w:p>
        </w:tc>
        <w:tc>
          <w:tcPr>
            <w:tcW w:w="709" w:type="dxa"/>
            <w:shd w:val="clear" w:color="auto" w:fill="auto"/>
            <w:noWrap/>
            <w:vAlign w:val="center"/>
            <w:hideMark/>
          </w:tcPr>
          <w:p w14:paraId="652A618F"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3 500</w:t>
            </w:r>
          </w:p>
        </w:tc>
        <w:tc>
          <w:tcPr>
            <w:tcW w:w="709" w:type="dxa"/>
            <w:shd w:val="clear" w:color="auto" w:fill="auto"/>
            <w:noWrap/>
            <w:vAlign w:val="center"/>
            <w:hideMark/>
          </w:tcPr>
          <w:p w14:paraId="25ED95CD"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3 768</w:t>
            </w:r>
          </w:p>
        </w:tc>
        <w:tc>
          <w:tcPr>
            <w:tcW w:w="709" w:type="dxa"/>
            <w:shd w:val="clear" w:color="auto" w:fill="auto"/>
            <w:noWrap/>
            <w:vAlign w:val="center"/>
            <w:hideMark/>
          </w:tcPr>
          <w:p w14:paraId="26988DB3"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4 037</w:t>
            </w:r>
          </w:p>
        </w:tc>
        <w:tc>
          <w:tcPr>
            <w:tcW w:w="756" w:type="dxa"/>
            <w:shd w:val="clear" w:color="auto" w:fill="auto"/>
            <w:noWrap/>
            <w:vAlign w:val="center"/>
            <w:hideMark/>
          </w:tcPr>
          <w:p w14:paraId="4580D6A8"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4 306</w:t>
            </w:r>
          </w:p>
        </w:tc>
        <w:tc>
          <w:tcPr>
            <w:tcW w:w="661" w:type="dxa"/>
            <w:shd w:val="clear" w:color="auto" w:fill="auto"/>
            <w:noWrap/>
            <w:vAlign w:val="center"/>
            <w:hideMark/>
          </w:tcPr>
          <w:p w14:paraId="7AB7C192"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4 575</w:t>
            </w:r>
          </w:p>
        </w:tc>
        <w:tc>
          <w:tcPr>
            <w:tcW w:w="709" w:type="dxa"/>
            <w:shd w:val="clear" w:color="auto" w:fill="auto"/>
            <w:noWrap/>
            <w:vAlign w:val="center"/>
            <w:hideMark/>
          </w:tcPr>
          <w:p w14:paraId="7689F65F"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4 843</w:t>
            </w:r>
          </w:p>
        </w:tc>
        <w:tc>
          <w:tcPr>
            <w:tcW w:w="709" w:type="dxa"/>
            <w:shd w:val="clear" w:color="auto" w:fill="auto"/>
            <w:noWrap/>
            <w:vAlign w:val="center"/>
            <w:hideMark/>
          </w:tcPr>
          <w:p w14:paraId="25BD8FED"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5 112</w:t>
            </w:r>
          </w:p>
        </w:tc>
        <w:tc>
          <w:tcPr>
            <w:tcW w:w="708" w:type="dxa"/>
            <w:shd w:val="clear" w:color="auto" w:fill="auto"/>
            <w:noWrap/>
            <w:vAlign w:val="center"/>
            <w:hideMark/>
          </w:tcPr>
          <w:p w14:paraId="744742D9"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5 381</w:t>
            </w:r>
          </w:p>
        </w:tc>
        <w:tc>
          <w:tcPr>
            <w:tcW w:w="709" w:type="dxa"/>
            <w:shd w:val="clear" w:color="auto" w:fill="auto"/>
            <w:noWrap/>
            <w:vAlign w:val="center"/>
            <w:hideMark/>
          </w:tcPr>
          <w:p w14:paraId="6CDC712C"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5 650</w:t>
            </w:r>
          </w:p>
        </w:tc>
        <w:tc>
          <w:tcPr>
            <w:tcW w:w="709" w:type="dxa"/>
            <w:shd w:val="clear" w:color="auto" w:fill="auto"/>
            <w:noWrap/>
            <w:vAlign w:val="center"/>
            <w:hideMark/>
          </w:tcPr>
          <w:p w14:paraId="5FEE8604"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5 918</w:t>
            </w:r>
          </w:p>
        </w:tc>
        <w:tc>
          <w:tcPr>
            <w:tcW w:w="709" w:type="dxa"/>
            <w:shd w:val="clear" w:color="auto" w:fill="auto"/>
            <w:noWrap/>
            <w:vAlign w:val="center"/>
            <w:hideMark/>
          </w:tcPr>
          <w:p w14:paraId="5C9829FB"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6 187</w:t>
            </w:r>
          </w:p>
        </w:tc>
        <w:tc>
          <w:tcPr>
            <w:tcW w:w="708" w:type="dxa"/>
            <w:shd w:val="clear" w:color="auto" w:fill="auto"/>
            <w:noWrap/>
            <w:vAlign w:val="center"/>
            <w:hideMark/>
          </w:tcPr>
          <w:p w14:paraId="548F7CEA"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6 456</w:t>
            </w:r>
          </w:p>
        </w:tc>
      </w:tr>
      <w:tr w:rsidR="00D121C5" w:rsidRPr="00020C88" w14:paraId="6A76D5B7" w14:textId="77777777" w:rsidTr="00043791">
        <w:trPr>
          <w:trHeight w:val="276"/>
        </w:trPr>
        <w:tc>
          <w:tcPr>
            <w:tcW w:w="1419" w:type="dxa"/>
            <w:shd w:val="clear" w:color="auto" w:fill="auto"/>
            <w:noWrap/>
            <w:vAlign w:val="bottom"/>
            <w:hideMark/>
          </w:tcPr>
          <w:p w14:paraId="728DD195" w14:textId="77777777" w:rsidR="00D121C5" w:rsidRPr="00020C88" w:rsidRDefault="00D121C5" w:rsidP="00D121C5">
            <w:pPr>
              <w:spacing w:after="0" w:line="240" w:lineRule="auto"/>
              <w:rPr>
                <w:rFonts w:ascii="Times New Roman" w:hAnsi="Times New Roman"/>
                <w:color w:val="000000"/>
                <w:sz w:val="16"/>
                <w:szCs w:val="16"/>
                <w:lang w:eastAsia="sk-SK"/>
              </w:rPr>
            </w:pPr>
            <w:r w:rsidRPr="00020C88">
              <w:rPr>
                <w:rFonts w:ascii="Times New Roman" w:hAnsi="Times New Roman"/>
                <w:color w:val="000000"/>
                <w:sz w:val="16"/>
                <w:szCs w:val="16"/>
                <w:lang w:eastAsia="sk-SK"/>
              </w:rPr>
              <w:t>Psychiatrické lôžka</w:t>
            </w:r>
          </w:p>
        </w:tc>
        <w:tc>
          <w:tcPr>
            <w:tcW w:w="708" w:type="dxa"/>
            <w:shd w:val="clear" w:color="auto" w:fill="auto"/>
            <w:noWrap/>
            <w:vAlign w:val="center"/>
            <w:hideMark/>
          </w:tcPr>
          <w:p w14:paraId="48F62CA9"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3 629</w:t>
            </w:r>
          </w:p>
        </w:tc>
        <w:tc>
          <w:tcPr>
            <w:tcW w:w="709" w:type="dxa"/>
            <w:shd w:val="clear" w:color="auto" w:fill="auto"/>
            <w:noWrap/>
            <w:vAlign w:val="center"/>
            <w:hideMark/>
          </w:tcPr>
          <w:p w14:paraId="271C2A5C"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3 715</w:t>
            </w:r>
          </w:p>
        </w:tc>
        <w:tc>
          <w:tcPr>
            <w:tcW w:w="709" w:type="dxa"/>
            <w:shd w:val="clear" w:color="auto" w:fill="auto"/>
            <w:noWrap/>
            <w:vAlign w:val="center"/>
            <w:hideMark/>
          </w:tcPr>
          <w:p w14:paraId="7E91D286"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3 801</w:t>
            </w:r>
          </w:p>
        </w:tc>
        <w:tc>
          <w:tcPr>
            <w:tcW w:w="709" w:type="dxa"/>
            <w:shd w:val="clear" w:color="auto" w:fill="auto"/>
            <w:noWrap/>
            <w:vAlign w:val="center"/>
            <w:hideMark/>
          </w:tcPr>
          <w:p w14:paraId="3B466D58"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3 887</w:t>
            </w:r>
          </w:p>
        </w:tc>
        <w:tc>
          <w:tcPr>
            <w:tcW w:w="756" w:type="dxa"/>
            <w:shd w:val="clear" w:color="auto" w:fill="auto"/>
            <w:noWrap/>
            <w:vAlign w:val="center"/>
            <w:hideMark/>
          </w:tcPr>
          <w:p w14:paraId="17DD9CD1"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3 972</w:t>
            </w:r>
          </w:p>
        </w:tc>
        <w:tc>
          <w:tcPr>
            <w:tcW w:w="661" w:type="dxa"/>
            <w:shd w:val="clear" w:color="auto" w:fill="auto"/>
            <w:noWrap/>
            <w:vAlign w:val="center"/>
            <w:hideMark/>
          </w:tcPr>
          <w:p w14:paraId="2BD5BB38"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4 058</w:t>
            </w:r>
          </w:p>
        </w:tc>
        <w:tc>
          <w:tcPr>
            <w:tcW w:w="709" w:type="dxa"/>
            <w:shd w:val="clear" w:color="auto" w:fill="auto"/>
            <w:noWrap/>
            <w:vAlign w:val="center"/>
            <w:hideMark/>
          </w:tcPr>
          <w:p w14:paraId="417C1D26"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4 144</w:t>
            </w:r>
          </w:p>
        </w:tc>
        <w:tc>
          <w:tcPr>
            <w:tcW w:w="709" w:type="dxa"/>
            <w:shd w:val="clear" w:color="auto" w:fill="auto"/>
            <w:noWrap/>
            <w:vAlign w:val="center"/>
            <w:hideMark/>
          </w:tcPr>
          <w:p w14:paraId="5177116C"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4 230</w:t>
            </w:r>
          </w:p>
        </w:tc>
        <w:tc>
          <w:tcPr>
            <w:tcW w:w="708" w:type="dxa"/>
            <w:shd w:val="clear" w:color="auto" w:fill="auto"/>
            <w:noWrap/>
            <w:vAlign w:val="center"/>
            <w:hideMark/>
          </w:tcPr>
          <w:p w14:paraId="5FE4352C"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4 316</w:t>
            </w:r>
          </w:p>
        </w:tc>
        <w:tc>
          <w:tcPr>
            <w:tcW w:w="709" w:type="dxa"/>
            <w:shd w:val="clear" w:color="auto" w:fill="auto"/>
            <w:noWrap/>
            <w:vAlign w:val="center"/>
            <w:hideMark/>
          </w:tcPr>
          <w:p w14:paraId="50D8CA20"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4 402</w:t>
            </w:r>
          </w:p>
        </w:tc>
        <w:tc>
          <w:tcPr>
            <w:tcW w:w="709" w:type="dxa"/>
            <w:shd w:val="clear" w:color="auto" w:fill="auto"/>
            <w:noWrap/>
            <w:vAlign w:val="center"/>
            <w:hideMark/>
          </w:tcPr>
          <w:p w14:paraId="27CF121B"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4 487</w:t>
            </w:r>
          </w:p>
        </w:tc>
        <w:tc>
          <w:tcPr>
            <w:tcW w:w="709" w:type="dxa"/>
            <w:shd w:val="clear" w:color="auto" w:fill="auto"/>
            <w:noWrap/>
            <w:vAlign w:val="center"/>
            <w:hideMark/>
          </w:tcPr>
          <w:p w14:paraId="4DF65F8A"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4 573</w:t>
            </w:r>
          </w:p>
        </w:tc>
        <w:tc>
          <w:tcPr>
            <w:tcW w:w="708" w:type="dxa"/>
            <w:shd w:val="clear" w:color="auto" w:fill="auto"/>
            <w:noWrap/>
            <w:vAlign w:val="center"/>
            <w:hideMark/>
          </w:tcPr>
          <w:p w14:paraId="7FBC00C7" w14:textId="77777777" w:rsidR="00D121C5" w:rsidRPr="00020C88" w:rsidRDefault="00D121C5" w:rsidP="00D121C5">
            <w:pPr>
              <w:spacing w:after="0" w:line="240" w:lineRule="auto"/>
              <w:jc w:val="right"/>
              <w:rPr>
                <w:rFonts w:ascii="Times New Roman" w:hAnsi="Times New Roman"/>
                <w:color w:val="000000"/>
                <w:sz w:val="16"/>
                <w:szCs w:val="16"/>
                <w:lang w:eastAsia="sk-SK"/>
              </w:rPr>
            </w:pPr>
            <w:r w:rsidRPr="00020C88">
              <w:rPr>
                <w:rFonts w:ascii="Times New Roman" w:hAnsi="Times New Roman"/>
                <w:color w:val="000000"/>
                <w:sz w:val="16"/>
                <w:szCs w:val="16"/>
                <w:lang w:eastAsia="sk-SK"/>
              </w:rPr>
              <w:t>4 659</w:t>
            </w:r>
          </w:p>
        </w:tc>
      </w:tr>
      <w:tr w:rsidR="00043791" w:rsidRPr="00020C88" w14:paraId="77514A74" w14:textId="77777777" w:rsidTr="00043791">
        <w:trPr>
          <w:trHeight w:val="290"/>
        </w:trPr>
        <w:tc>
          <w:tcPr>
            <w:tcW w:w="1419" w:type="dxa"/>
            <w:shd w:val="clear" w:color="000000" w:fill="CECECE"/>
            <w:noWrap/>
            <w:vAlign w:val="center"/>
            <w:hideMark/>
          </w:tcPr>
          <w:p w14:paraId="6BF1BE65" w14:textId="77777777" w:rsidR="00D121C5" w:rsidRPr="00020C88" w:rsidRDefault="00D121C5" w:rsidP="00D121C5">
            <w:pPr>
              <w:spacing w:after="0" w:line="240" w:lineRule="auto"/>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Spolu</w:t>
            </w:r>
          </w:p>
        </w:tc>
        <w:tc>
          <w:tcPr>
            <w:tcW w:w="708" w:type="dxa"/>
            <w:shd w:val="clear" w:color="000000" w:fill="CECECE"/>
            <w:noWrap/>
            <w:vAlign w:val="center"/>
            <w:hideMark/>
          </w:tcPr>
          <w:p w14:paraId="1BFDDCBC"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29 293</w:t>
            </w:r>
          </w:p>
        </w:tc>
        <w:tc>
          <w:tcPr>
            <w:tcW w:w="709" w:type="dxa"/>
            <w:shd w:val="clear" w:color="000000" w:fill="CECECE"/>
            <w:noWrap/>
            <w:vAlign w:val="center"/>
            <w:hideMark/>
          </w:tcPr>
          <w:p w14:paraId="7509CE64"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29 312</w:t>
            </w:r>
          </w:p>
        </w:tc>
        <w:tc>
          <w:tcPr>
            <w:tcW w:w="709" w:type="dxa"/>
            <w:shd w:val="clear" w:color="000000" w:fill="CECECE"/>
            <w:noWrap/>
            <w:vAlign w:val="center"/>
            <w:hideMark/>
          </w:tcPr>
          <w:p w14:paraId="143FD814"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29 058</w:t>
            </w:r>
          </w:p>
        </w:tc>
        <w:tc>
          <w:tcPr>
            <w:tcW w:w="709" w:type="dxa"/>
            <w:shd w:val="clear" w:color="000000" w:fill="CECECE"/>
            <w:noWrap/>
            <w:vAlign w:val="center"/>
            <w:hideMark/>
          </w:tcPr>
          <w:p w14:paraId="70513395"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28 803</w:t>
            </w:r>
          </w:p>
        </w:tc>
        <w:tc>
          <w:tcPr>
            <w:tcW w:w="756" w:type="dxa"/>
            <w:shd w:val="clear" w:color="000000" w:fill="CECECE"/>
            <w:noWrap/>
            <w:vAlign w:val="center"/>
            <w:hideMark/>
          </w:tcPr>
          <w:p w14:paraId="7634BD6F"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28 549</w:t>
            </w:r>
          </w:p>
        </w:tc>
        <w:tc>
          <w:tcPr>
            <w:tcW w:w="661" w:type="dxa"/>
            <w:shd w:val="clear" w:color="000000" w:fill="CECECE"/>
            <w:noWrap/>
            <w:vAlign w:val="center"/>
            <w:hideMark/>
          </w:tcPr>
          <w:p w14:paraId="60543126"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28 294</w:t>
            </w:r>
          </w:p>
        </w:tc>
        <w:tc>
          <w:tcPr>
            <w:tcW w:w="709" w:type="dxa"/>
            <w:shd w:val="clear" w:color="000000" w:fill="CECECE"/>
            <w:noWrap/>
            <w:vAlign w:val="center"/>
            <w:hideMark/>
          </w:tcPr>
          <w:p w14:paraId="18EE7951"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28 040</w:t>
            </w:r>
          </w:p>
        </w:tc>
        <w:tc>
          <w:tcPr>
            <w:tcW w:w="709" w:type="dxa"/>
            <w:shd w:val="clear" w:color="000000" w:fill="CECECE"/>
            <w:noWrap/>
            <w:vAlign w:val="center"/>
            <w:hideMark/>
          </w:tcPr>
          <w:p w14:paraId="0FB0CB3B"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27 785</w:t>
            </w:r>
          </w:p>
        </w:tc>
        <w:tc>
          <w:tcPr>
            <w:tcW w:w="708" w:type="dxa"/>
            <w:shd w:val="clear" w:color="000000" w:fill="CECECE"/>
            <w:noWrap/>
            <w:vAlign w:val="center"/>
            <w:hideMark/>
          </w:tcPr>
          <w:p w14:paraId="0C714FC2"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27 531</w:t>
            </w:r>
          </w:p>
        </w:tc>
        <w:tc>
          <w:tcPr>
            <w:tcW w:w="709" w:type="dxa"/>
            <w:shd w:val="clear" w:color="000000" w:fill="CECECE"/>
            <w:noWrap/>
            <w:vAlign w:val="center"/>
            <w:hideMark/>
          </w:tcPr>
          <w:p w14:paraId="720D773A"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27 276</w:t>
            </w:r>
          </w:p>
        </w:tc>
        <w:tc>
          <w:tcPr>
            <w:tcW w:w="709" w:type="dxa"/>
            <w:shd w:val="clear" w:color="000000" w:fill="CECECE"/>
            <w:noWrap/>
            <w:vAlign w:val="center"/>
            <w:hideMark/>
          </w:tcPr>
          <w:p w14:paraId="09A3DD4A"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27 022</w:t>
            </w:r>
          </w:p>
        </w:tc>
        <w:tc>
          <w:tcPr>
            <w:tcW w:w="709" w:type="dxa"/>
            <w:shd w:val="clear" w:color="000000" w:fill="CECECE"/>
            <w:noWrap/>
            <w:vAlign w:val="center"/>
            <w:hideMark/>
          </w:tcPr>
          <w:p w14:paraId="6E6D250A"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26 767</w:t>
            </w:r>
          </w:p>
        </w:tc>
        <w:tc>
          <w:tcPr>
            <w:tcW w:w="708" w:type="dxa"/>
            <w:shd w:val="clear" w:color="000000" w:fill="CECECE"/>
            <w:noWrap/>
            <w:vAlign w:val="center"/>
            <w:hideMark/>
          </w:tcPr>
          <w:p w14:paraId="6C32E392" w14:textId="77777777" w:rsidR="00D121C5" w:rsidRPr="00020C88" w:rsidRDefault="00D121C5" w:rsidP="00D121C5">
            <w:pPr>
              <w:spacing w:after="0" w:line="240" w:lineRule="auto"/>
              <w:jc w:val="right"/>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26 513</w:t>
            </w:r>
          </w:p>
        </w:tc>
      </w:tr>
    </w:tbl>
    <w:p w14:paraId="7C16552D" w14:textId="77777777" w:rsidR="00D121C5" w:rsidRPr="00020C88" w:rsidRDefault="00D121C5" w:rsidP="00CB750F">
      <w:pPr>
        <w:spacing w:after="0" w:line="240" w:lineRule="auto"/>
        <w:jc w:val="both"/>
        <w:rPr>
          <w:rFonts w:ascii="Times New Roman" w:hAnsi="Times New Roman"/>
          <w:sz w:val="20"/>
          <w:szCs w:val="20"/>
        </w:rPr>
      </w:pPr>
    </w:p>
    <w:p w14:paraId="1AF9A9E4" w14:textId="38B4A20C" w:rsidR="00263FD1" w:rsidRPr="00020C88" w:rsidRDefault="003E4564"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Navrhované znenie nariadenia vlády č. ...../2019 Z. z. o verejnej minimálnej sieti počíta so zazmluvnením</w:t>
      </w:r>
      <w:r w:rsidR="00043791">
        <w:rPr>
          <w:rFonts w:ascii="Times New Roman" w:hAnsi="Times New Roman"/>
          <w:sz w:val="20"/>
          <w:szCs w:val="20"/>
        </w:rPr>
        <w:t xml:space="preserve"> minimálne 29 05</w:t>
      </w:r>
      <w:r w:rsidRPr="00020C88">
        <w:rPr>
          <w:rFonts w:ascii="Times New Roman" w:hAnsi="Times New Roman"/>
          <w:sz w:val="20"/>
          <w:szCs w:val="20"/>
        </w:rPr>
        <w:t>8 lôžok (21 4</w:t>
      </w:r>
      <w:r w:rsidR="00043791">
        <w:rPr>
          <w:rFonts w:ascii="Times New Roman" w:hAnsi="Times New Roman"/>
          <w:sz w:val="20"/>
          <w:szCs w:val="20"/>
        </w:rPr>
        <w:t>8</w:t>
      </w:r>
      <w:r w:rsidRPr="00020C88">
        <w:rPr>
          <w:rFonts w:ascii="Times New Roman" w:hAnsi="Times New Roman"/>
          <w:sz w:val="20"/>
          <w:szCs w:val="20"/>
        </w:rPr>
        <w:t>9 akútnych, 3 768 chronických, 3 801 psychiatrických) v ôsmych samosprávnych krajoch v roku 2020. Výsledný stav v roku 2030 počíta s minimálnym zazmluvnením 26 </w:t>
      </w:r>
      <w:r w:rsidR="00043791">
        <w:rPr>
          <w:rFonts w:ascii="Times New Roman" w:hAnsi="Times New Roman"/>
          <w:sz w:val="20"/>
          <w:szCs w:val="20"/>
        </w:rPr>
        <w:t>513</w:t>
      </w:r>
      <w:r w:rsidRPr="00020C88">
        <w:rPr>
          <w:rFonts w:ascii="Times New Roman" w:hAnsi="Times New Roman"/>
          <w:sz w:val="20"/>
          <w:szCs w:val="20"/>
        </w:rPr>
        <w:t xml:space="preserve"> lôžok (15 </w:t>
      </w:r>
      <w:r w:rsidR="00043791">
        <w:rPr>
          <w:rFonts w:ascii="Times New Roman" w:hAnsi="Times New Roman"/>
          <w:sz w:val="20"/>
          <w:szCs w:val="20"/>
        </w:rPr>
        <w:t>398</w:t>
      </w:r>
      <w:r w:rsidRPr="00020C88">
        <w:rPr>
          <w:rFonts w:ascii="Times New Roman" w:hAnsi="Times New Roman"/>
          <w:sz w:val="20"/>
          <w:szCs w:val="20"/>
        </w:rPr>
        <w:t xml:space="preserve"> akútnych, 6 456 chronických, 4 659 psychiatrických). Dôjde teda k čiastočnej transformácii akútnych lôžok na chronické, pričom je však nevyhnutné zabezpečiť dodatočné rozšírenie kapacít týchto chronických lôžok. Počet chronických lôžok, pre ktoré sa uvoľnia zdroje bude zároveň závisieť od nastavenia platieb zdravotných poisťovní za lôžkodeň. Reforma teda nevyžaduje dodatočné zdroje v systéme zdravotnej starostlivosti, toto sa však netýka </w:t>
      </w:r>
      <w:r w:rsidR="008C4DA5" w:rsidRPr="00020C88">
        <w:rPr>
          <w:rFonts w:ascii="Times New Roman" w:hAnsi="Times New Roman"/>
          <w:sz w:val="20"/>
          <w:szCs w:val="20"/>
        </w:rPr>
        <w:t xml:space="preserve">existujúceho </w:t>
      </w:r>
      <w:r w:rsidRPr="00020C88">
        <w:rPr>
          <w:rFonts w:ascii="Times New Roman" w:hAnsi="Times New Roman"/>
          <w:sz w:val="20"/>
          <w:szCs w:val="20"/>
        </w:rPr>
        <w:t>dlhu a investičnej medzery nemocníc.</w:t>
      </w:r>
      <w:r w:rsidR="00263FD1" w:rsidRPr="00020C88">
        <w:rPr>
          <w:rFonts w:ascii="Times New Roman" w:hAnsi="Times New Roman"/>
          <w:sz w:val="20"/>
          <w:szCs w:val="20"/>
          <w:lang w:eastAsia="sk-SK"/>
        </w:rPr>
        <w:t xml:space="preserve"> Podľa poslednej štúdie EIB z roku 2019</w:t>
      </w:r>
      <w:r w:rsidR="00263FD1" w:rsidRPr="00020C88">
        <w:rPr>
          <w:rStyle w:val="Odkaznapoznmkupodiarou"/>
          <w:rFonts w:ascii="Times New Roman" w:hAnsi="Times New Roman"/>
          <w:sz w:val="20"/>
          <w:szCs w:val="20"/>
          <w:lang w:eastAsia="sk-SK"/>
        </w:rPr>
        <w:footnoteReference w:id="1"/>
      </w:r>
      <w:r w:rsidR="00263FD1" w:rsidRPr="00020C88">
        <w:rPr>
          <w:rFonts w:ascii="Times New Roman" w:hAnsi="Times New Roman"/>
          <w:sz w:val="20"/>
          <w:szCs w:val="20"/>
          <w:lang w:eastAsia="sk-SK"/>
        </w:rPr>
        <w:t xml:space="preserve"> je investičná kapitálová medzera slovenského zdravotníctva vyčíslená na približne 6 mld. EUR. Táto suma pozostáva z požiadaviek do IT, ambulancií ale aj ústavných zariadení. Tvorba kapitálu je totiž zhruba na polovičnej úrovni ako priemer EU krajín a ak by sme chceli dohnať potrebnú medzeru do 10 rokov, tak by bolo potrebné ročne investovať 598 mil. EUR. Súčasné kapitálové zdroje (rozpočet MF SR, EU prostriedky či súkromné investície) túto sumu pokrývajú len čiastkovo. </w:t>
      </w:r>
    </w:p>
    <w:p w14:paraId="76F7513D" w14:textId="77777777" w:rsidR="00263FD1" w:rsidRPr="00020C88" w:rsidRDefault="00263FD1" w:rsidP="00CB750F">
      <w:pPr>
        <w:spacing w:after="0" w:line="240" w:lineRule="auto"/>
        <w:jc w:val="both"/>
        <w:rPr>
          <w:rFonts w:ascii="Times New Roman" w:hAnsi="Times New Roman"/>
          <w:sz w:val="20"/>
          <w:szCs w:val="20"/>
          <w:lang w:eastAsia="sk-SK"/>
        </w:rPr>
      </w:pPr>
    </w:p>
    <w:p w14:paraId="6ED49073" w14:textId="33F7044A" w:rsidR="00263FD1" w:rsidRPr="00020C88" w:rsidRDefault="00263FD1"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Cieľom MZ SR bolo poukázať na to, že už dnes je kapitálová medzera v sektore. Navrhované zmeny síce prinesú pravidlá do investovania a potreby konkrétnej starostlivosti, čo dopomôže k optimalizácií kapitálových potrieb, ale investičná medzera tu bude stále pretrvávať. Táto medzera sa napriek kapitálovým prostriedkom, EU fondom a vlastným zdrojom nebude dať preko</w:t>
      </w:r>
      <w:r w:rsidR="00765DB2" w:rsidRPr="00020C88">
        <w:rPr>
          <w:rFonts w:ascii="Times New Roman" w:hAnsi="Times New Roman"/>
          <w:sz w:val="20"/>
          <w:szCs w:val="20"/>
          <w:lang w:eastAsia="sk-SK"/>
        </w:rPr>
        <w:t>nať, nakoľko súčasné platby od zdravotných poisťovní</w:t>
      </w:r>
      <w:r w:rsidRPr="00020C88">
        <w:rPr>
          <w:rFonts w:ascii="Times New Roman" w:hAnsi="Times New Roman"/>
          <w:sz w:val="20"/>
          <w:szCs w:val="20"/>
          <w:lang w:eastAsia="sk-SK"/>
        </w:rPr>
        <w:t xml:space="preserve"> nie vždy reflektujú nákladovú cenu výkonu. V prípade schválenia navrhovanej novelizácie plánuje MZ SR spolu so zástupcami zdravotných poisťovní a všetkých zainteresovaných strán pripraviť plán potrebnej kapitálovej obnovy každej z nemocníc, nakoľko dnes nie sú požiadavky počítané na základe spoločnej koncepcie, preto dochádza k neefektívnym expanziám, či podfinancovaniu niektorých častí starostlivosti. </w:t>
      </w:r>
    </w:p>
    <w:p w14:paraId="40CA671F" w14:textId="070354F6" w:rsidR="00263FD1" w:rsidRPr="00020C88" w:rsidRDefault="002C4A2F" w:rsidP="00765DB2">
      <w:pPr>
        <w:spacing w:after="0" w:line="240" w:lineRule="auto"/>
        <w:ind w:firstLine="708"/>
        <w:jc w:val="both"/>
        <w:rPr>
          <w:rFonts w:ascii="Times New Roman" w:hAnsi="Times New Roman"/>
          <w:sz w:val="20"/>
          <w:szCs w:val="20"/>
          <w:lang w:eastAsia="sk-SK"/>
        </w:rPr>
      </w:pPr>
      <w:r w:rsidRPr="00020C88">
        <w:rPr>
          <w:rFonts w:ascii="Times New Roman" w:hAnsi="Times New Roman"/>
          <w:sz w:val="20"/>
          <w:szCs w:val="20"/>
          <w:lang w:eastAsia="sk-SK"/>
        </w:rPr>
        <w:t>Mechanizmus uvoľňovania lôžok bude zabezpečený prostredníctvom úpravy normatívov minimálneho počtu lôžok určených pre akútnu starostlivosť a navyšovania minimálnych normatívov pre následnú ústavnú starostlivosť. Podrobnosti k personálny</w:t>
      </w:r>
      <w:r w:rsidR="00820087" w:rsidRPr="00020C88">
        <w:rPr>
          <w:rFonts w:ascii="Times New Roman" w:hAnsi="Times New Roman"/>
          <w:sz w:val="20"/>
          <w:szCs w:val="20"/>
          <w:lang w:eastAsia="sk-SK"/>
        </w:rPr>
        <w:t>m</w:t>
      </w:r>
      <w:r w:rsidRPr="00020C88">
        <w:rPr>
          <w:rFonts w:ascii="Times New Roman" w:hAnsi="Times New Roman"/>
          <w:sz w:val="20"/>
          <w:szCs w:val="20"/>
          <w:lang w:eastAsia="sk-SK"/>
        </w:rPr>
        <w:t xml:space="preserve"> normatívom budú súčasťou vykonávacích predpisov. Predpokladáme, že časť potrebného personálu prejde z akútnych oddelení, časť by mohol posilniť nižší zdravotnícky personál  a časť prejde z iných odvetví.</w:t>
      </w:r>
      <w:r w:rsidR="00263FD1" w:rsidRPr="00020C88">
        <w:rPr>
          <w:rFonts w:ascii="Times New Roman" w:hAnsi="Times New Roman"/>
          <w:sz w:val="20"/>
          <w:szCs w:val="20"/>
          <w:lang w:eastAsia="sk-SK"/>
        </w:rPr>
        <w:t xml:space="preserve"> </w:t>
      </w:r>
    </w:p>
    <w:p w14:paraId="2FE2F14C" w14:textId="236B1D9E" w:rsidR="00263FD1" w:rsidRPr="00020C88" w:rsidRDefault="00263FD1" w:rsidP="00765DB2">
      <w:pPr>
        <w:spacing w:after="0" w:line="240" w:lineRule="auto"/>
        <w:ind w:firstLine="708"/>
        <w:jc w:val="both"/>
        <w:rPr>
          <w:rFonts w:ascii="Times New Roman" w:hAnsi="Times New Roman"/>
          <w:sz w:val="20"/>
          <w:szCs w:val="20"/>
          <w:lang w:eastAsia="sk-SK"/>
        </w:rPr>
      </w:pPr>
      <w:r w:rsidRPr="00020C88">
        <w:rPr>
          <w:rFonts w:ascii="Times New Roman" w:hAnsi="Times New Roman"/>
          <w:sz w:val="20"/>
          <w:szCs w:val="20"/>
          <w:lang w:eastAsia="sk-SK"/>
        </w:rPr>
        <w:t>Uvoľnené zdroje, ktoré vzniknú vďaka implementácii opatrení spojených s novou verejnou minimálnou sieťou (stratifikáciou) smerujú predovšetkým do pokrytia priamej následnej zdravotnej starostlivosti, vyplývajúcej aj z potrieb akútnych nemocníc, predovšetkým FBLR, LDCH/ODCH a podobne. Tu vnímame potrebu prevencie pred opakovanými hospitalizáciami na akútnych lôžkach počas dlhšieho časového sledu aj niekoľkých mesiacov, ktoré vznikajú kvôli predčasnému prepúšťaniu z nemocnice,  Potreba dofinancovania (</w:t>
      </w:r>
      <w:r w:rsidR="00043791">
        <w:rPr>
          <w:rFonts w:ascii="Times New Roman" w:hAnsi="Times New Roman"/>
          <w:sz w:val="20"/>
          <w:szCs w:val="20"/>
          <w:lang w:eastAsia="sk-SK"/>
        </w:rPr>
        <w:t>2</w:t>
      </w:r>
      <w:r w:rsidR="00765DB2" w:rsidRPr="00020C88">
        <w:rPr>
          <w:rFonts w:ascii="Times New Roman" w:hAnsi="Times New Roman"/>
          <w:sz w:val="20"/>
          <w:szCs w:val="20"/>
          <w:lang w:eastAsia="sk-SK"/>
        </w:rPr>
        <w:t>,</w:t>
      </w:r>
      <w:r w:rsidR="00043791">
        <w:rPr>
          <w:rFonts w:ascii="Times New Roman" w:hAnsi="Times New Roman"/>
          <w:sz w:val="20"/>
          <w:szCs w:val="20"/>
          <w:lang w:eastAsia="sk-SK"/>
        </w:rPr>
        <w:t>4</w:t>
      </w:r>
      <w:r w:rsidRPr="00020C88">
        <w:rPr>
          <w:rFonts w:ascii="Times New Roman" w:hAnsi="Times New Roman"/>
          <w:sz w:val="20"/>
          <w:szCs w:val="20"/>
          <w:lang w:eastAsia="sk-SK"/>
        </w:rPr>
        <w:t xml:space="preserve"> mil. EUR) v prípade následnej zdravotnej starostlivosti je spôsobená predovšetkým dodatočnými potrebami v oblasti hospicov. Práve posilnenie týchto kapacít a regulácia týchto odvetví pomôže pacientom, ktorí sú v terminálnych štádiách života a nepatria ani domov, ani na akútne lôžka, ale do hospicu a nemajú v súčasnosti kam ísť.</w:t>
      </w:r>
    </w:p>
    <w:p w14:paraId="38C8B44F" w14:textId="77777777" w:rsidR="0087431E" w:rsidRPr="00020C88" w:rsidRDefault="0087431E" w:rsidP="00765DB2">
      <w:pPr>
        <w:spacing w:after="0" w:line="240" w:lineRule="auto"/>
        <w:ind w:firstLine="708"/>
        <w:jc w:val="both"/>
        <w:rPr>
          <w:rFonts w:ascii="Times New Roman" w:hAnsi="Times New Roman"/>
          <w:sz w:val="20"/>
          <w:szCs w:val="20"/>
          <w:lang w:eastAsia="sk-SK"/>
        </w:rPr>
      </w:pPr>
      <w:r w:rsidRPr="00020C88">
        <w:rPr>
          <w:rFonts w:ascii="Times New Roman" w:hAnsi="Times New Roman"/>
          <w:sz w:val="20"/>
          <w:szCs w:val="20"/>
          <w:lang w:eastAsia="sk-SK"/>
        </w:rPr>
        <w:t xml:space="preserve">MZ SR si je vedomé, že úspešná realizácia stratifikácie predpokladá implementáciu viacerých iných zmien v systéme. Návrh novely sa dá totiž vnímať ako „kostra“ zmien, na ktorú budú naviazané iné úpravy, a to v rámci platobných mechanizmov, či ambulantnej starostlivosti. Ich úspešná realizácia je teda podmienka a potenciálne riziko pre úspešnú realizáciu projektu. </w:t>
      </w:r>
    </w:p>
    <w:p w14:paraId="06B9FD77" w14:textId="77777777" w:rsidR="0087431E" w:rsidRPr="00020C88" w:rsidRDefault="0087431E" w:rsidP="00CB750F">
      <w:pPr>
        <w:spacing w:after="0" w:line="240" w:lineRule="auto"/>
        <w:jc w:val="both"/>
        <w:rPr>
          <w:rFonts w:ascii="Times New Roman" w:hAnsi="Times New Roman"/>
          <w:sz w:val="20"/>
          <w:szCs w:val="20"/>
          <w:lang w:eastAsia="sk-SK"/>
        </w:rPr>
      </w:pPr>
    </w:p>
    <w:p w14:paraId="283D6BA4" w14:textId="1D9CF9D1" w:rsidR="0087431E" w:rsidRPr="00020C88" w:rsidRDefault="0087431E" w:rsidP="00765DB2">
      <w:pPr>
        <w:spacing w:after="0" w:line="240" w:lineRule="auto"/>
        <w:ind w:firstLine="708"/>
        <w:jc w:val="both"/>
        <w:rPr>
          <w:rFonts w:ascii="Times New Roman" w:hAnsi="Times New Roman"/>
          <w:sz w:val="20"/>
          <w:szCs w:val="20"/>
          <w:lang w:eastAsia="sk-SK"/>
        </w:rPr>
      </w:pPr>
      <w:r w:rsidRPr="00020C88">
        <w:rPr>
          <w:rFonts w:ascii="Times New Roman" w:hAnsi="Times New Roman"/>
          <w:sz w:val="20"/>
          <w:szCs w:val="20"/>
          <w:lang w:eastAsia="sk-SK"/>
        </w:rPr>
        <w:t xml:space="preserve">Základným výstupovým cieľom projektu je (okrem zlepšenia kvality a dostupnosti) zlepšenie efektivity využívania zdrojov. Očakávame, že do roka 2030 dosiahne obložnosť v ústavnej starostlivosti 80%, ALOS 6.5 dňa a aj keď rátame s dvojciferným nárastom počtu pacientov, projekt ráta s tým, že sa pomerovo oproti najlepším krajinám EU zníži počet hospitalizácií (kde v súčasnosti máme až o 9% viac hospitalizácií na počet obyvateľov). Dosiahnutie týchto hodnôt je podmienené úspešnou realizáciou nasledovných zmien: </w:t>
      </w:r>
    </w:p>
    <w:p w14:paraId="575728E6" w14:textId="77777777" w:rsidR="0087431E" w:rsidRPr="00020C88" w:rsidRDefault="0087431E" w:rsidP="00CB750F">
      <w:pPr>
        <w:spacing w:after="0" w:line="240" w:lineRule="auto"/>
        <w:jc w:val="both"/>
        <w:rPr>
          <w:rFonts w:ascii="Times New Roman" w:hAnsi="Times New Roman"/>
          <w:sz w:val="20"/>
          <w:szCs w:val="20"/>
          <w:lang w:eastAsia="sk-SK"/>
        </w:rPr>
      </w:pPr>
    </w:p>
    <w:p w14:paraId="45C8F3D8" w14:textId="77777777" w:rsidR="0087431E" w:rsidRPr="00020C88" w:rsidRDefault="0087431E" w:rsidP="00CB750F">
      <w:pPr>
        <w:pStyle w:val="Odsekzoznamu"/>
        <w:numPr>
          <w:ilvl w:val="0"/>
          <w:numId w:val="23"/>
        </w:numPr>
        <w:spacing w:after="0" w:line="240" w:lineRule="auto"/>
        <w:jc w:val="both"/>
        <w:rPr>
          <w:rFonts w:ascii="Times New Roman" w:hAnsi="Times New Roman"/>
          <w:color w:val="000000"/>
          <w:sz w:val="20"/>
          <w:szCs w:val="20"/>
          <w:lang w:val="sk-SK" w:eastAsia="sk-SK"/>
        </w:rPr>
      </w:pPr>
      <w:r w:rsidRPr="00020C88">
        <w:rPr>
          <w:rFonts w:ascii="Times New Roman" w:hAnsi="Times New Roman"/>
          <w:color w:val="000000"/>
          <w:sz w:val="20"/>
          <w:szCs w:val="20"/>
          <w:lang w:val="sk-SK" w:eastAsia="sk-SK"/>
        </w:rPr>
        <w:t>implementácia platobného mechanizmu, ktorý alokuje zdroje za vykonaný výkon a na základe nákladových cien</w:t>
      </w:r>
    </w:p>
    <w:p w14:paraId="493F7BB6" w14:textId="77777777" w:rsidR="0087431E" w:rsidRPr="00020C88" w:rsidRDefault="0087431E" w:rsidP="00CB750F">
      <w:pPr>
        <w:spacing w:after="0" w:line="240" w:lineRule="auto"/>
        <w:jc w:val="both"/>
        <w:rPr>
          <w:rFonts w:ascii="Times New Roman" w:hAnsi="Times New Roman"/>
          <w:color w:val="000000"/>
          <w:sz w:val="20"/>
          <w:szCs w:val="20"/>
          <w:lang w:eastAsia="sk-SK"/>
        </w:rPr>
      </w:pPr>
    </w:p>
    <w:p w14:paraId="2379D195" w14:textId="77777777" w:rsidR="0087431E" w:rsidRPr="00020C88" w:rsidRDefault="0087431E" w:rsidP="00765DB2">
      <w:pPr>
        <w:spacing w:after="0" w:line="240" w:lineRule="auto"/>
        <w:ind w:firstLine="708"/>
        <w:jc w:val="both"/>
        <w:rPr>
          <w:rFonts w:ascii="Times New Roman" w:hAnsi="Times New Roman"/>
          <w:sz w:val="20"/>
          <w:szCs w:val="20"/>
        </w:rPr>
      </w:pPr>
      <w:r w:rsidRPr="00020C88">
        <w:rPr>
          <w:rFonts w:ascii="Times New Roman" w:hAnsi="Times New Roman"/>
          <w:sz w:val="20"/>
          <w:szCs w:val="20"/>
        </w:rPr>
        <w:t xml:space="preserve">Bez funkčne nastaveného platobného mechanizmu (vrátane dynamických rozpočtov), ktorý nemotivuje negatívne, aby poskytovatelia držali pacientov zbytočne na lôžku, alebo si vyberali konkrétne výkony, sa nedá realizovať zníženie ALOSu a zlepšenie obložnosti lôžok. Bez platobného mechanizmu, ktorý platí poskytovateľov za vykonanú aktivitu na úrovni nákladových cien (s primeranou maržou) taktiež nedôjde k presunu zdrojov z akútnych na dlhodobé kapacity, čo výrazne navýši dopady celého projektu. Aktuálny cenník je taktiež základným predpokladom, že poskytovatelia budú </w:t>
      </w:r>
      <w:r w:rsidRPr="00020C88">
        <w:rPr>
          <w:rFonts w:ascii="Times New Roman" w:hAnsi="Times New Roman"/>
          <w:sz w:val="20"/>
          <w:szCs w:val="20"/>
        </w:rPr>
        <w:lastRenderedPageBreak/>
        <w:t xml:space="preserve">ochotní expandovať dlhodobé lôžka. Bez férového finančného mechanizmu a navýšenia platieb za následnú starostlivosti sa najväčšia bariéra v projekte (čiže nezáujem o poskytovanie následnej starostlivosti) neodstráni. </w:t>
      </w:r>
    </w:p>
    <w:p w14:paraId="63AE6669" w14:textId="77777777" w:rsidR="0087431E" w:rsidRPr="00020C88" w:rsidRDefault="0087431E" w:rsidP="00765DB2">
      <w:pPr>
        <w:spacing w:after="0" w:line="240" w:lineRule="auto"/>
        <w:ind w:firstLine="708"/>
        <w:jc w:val="both"/>
        <w:rPr>
          <w:rFonts w:ascii="Times New Roman" w:hAnsi="Times New Roman"/>
          <w:sz w:val="20"/>
          <w:szCs w:val="20"/>
        </w:rPr>
      </w:pPr>
      <w:r w:rsidRPr="00020C88">
        <w:rPr>
          <w:rFonts w:ascii="Times New Roman" w:hAnsi="Times New Roman"/>
          <w:sz w:val="20"/>
          <w:szCs w:val="20"/>
        </w:rPr>
        <w:t xml:space="preserve">Správne necenený zoznam výkonov je kľúčovým aj pre ambulantný sektor, nakoľko dnes máme podľa štatistík neprimerane veľa hospitalizácií, ktoré sa dali liečiť a riešiť v rámci ambulantnej starostlivosti. Jedná sa o tzv. amublatory care sensitive cases (tzv. ACSC“), kde má Slovensko štvrtú najhoršiu priečku v rámci OECD krajín. Inak povedané, ak máme dosiahnuť redukciu zbytočných hospitalizácií, čo dopomôže k zníženiu ALOSu, tak je nevyhnutné, aby sa v ambulantnom prostredí zvýšila produkcia aj rozsah činností. </w:t>
      </w:r>
    </w:p>
    <w:p w14:paraId="349BA57C" w14:textId="77777777" w:rsidR="0087431E" w:rsidRPr="00020C88" w:rsidRDefault="0087431E" w:rsidP="00CB750F">
      <w:pPr>
        <w:spacing w:after="0" w:line="240" w:lineRule="auto"/>
        <w:jc w:val="both"/>
        <w:rPr>
          <w:rFonts w:ascii="Times New Roman" w:hAnsi="Times New Roman"/>
          <w:sz w:val="20"/>
          <w:szCs w:val="20"/>
        </w:rPr>
      </w:pPr>
    </w:p>
    <w:p w14:paraId="522849A2" w14:textId="4D59CD25" w:rsidR="0087431E" w:rsidRPr="00020C88" w:rsidRDefault="0087431E"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Diagram A: Prehľad ACSC za rok 2016</w:t>
      </w:r>
    </w:p>
    <w:p w14:paraId="6E9D9F8B" w14:textId="77777777" w:rsidR="0087431E" w:rsidRPr="00020C88" w:rsidRDefault="0087431E" w:rsidP="00CB750F">
      <w:pPr>
        <w:spacing w:after="0" w:line="240" w:lineRule="auto"/>
        <w:jc w:val="both"/>
        <w:rPr>
          <w:rFonts w:ascii="Times New Roman" w:hAnsi="Times New Roman"/>
          <w:color w:val="000000"/>
          <w:sz w:val="20"/>
          <w:szCs w:val="20"/>
          <w:highlight w:val="green"/>
          <w:lang w:eastAsia="sk-SK"/>
        </w:rPr>
      </w:pPr>
      <w:r w:rsidRPr="00020C88">
        <w:rPr>
          <w:rFonts w:ascii="Times New Roman" w:hAnsi="Times New Roman"/>
          <w:noProof/>
          <w:highlight w:val="green"/>
          <w:lang w:eastAsia="sk-SK"/>
        </w:rPr>
        <w:drawing>
          <wp:inline distT="0" distB="0" distL="0" distR="0" wp14:anchorId="220DAC7D" wp14:editId="019F03D7">
            <wp:extent cx="4625788" cy="2339013"/>
            <wp:effectExtent l="0" t="0" r="381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0191" cy="2341239"/>
                    </a:xfrm>
                    <a:prstGeom prst="rect">
                      <a:avLst/>
                    </a:prstGeom>
                  </pic:spPr>
                </pic:pic>
              </a:graphicData>
            </a:graphic>
          </wp:inline>
        </w:drawing>
      </w:r>
    </w:p>
    <w:p w14:paraId="2FFE9394" w14:textId="77777777" w:rsidR="0087431E" w:rsidRPr="00020C88" w:rsidRDefault="0087431E" w:rsidP="00CB750F">
      <w:pPr>
        <w:spacing w:after="0" w:line="240" w:lineRule="auto"/>
        <w:jc w:val="both"/>
        <w:rPr>
          <w:rFonts w:ascii="Times New Roman" w:hAnsi="Times New Roman"/>
          <w:color w:val="000000"/>
          <w:sz w:val="20"/>
          <w:szCs w:val="20"/>
          <w:lang w:eastAsia="sk-SK"/>
        </w:rPr>
      </w:pPr>
      <w:r w:rsidRPr="00020C88">
        <w:rPr>
          <w:rFonts w:ascii="Times New Roman" w:hAnsi="Times New Roman"/>
          <w:color w:val="000000"/>
          <w:sz w:val="20"/>
          <w:szCs w:val="20"/>
          <w:lang w:eastAsia="sk-SK"/>
        </w:rPr>
        <w:t>Zdroj: OECD (2018), dáta sú za rok 2016</w:t>
      </w:r>
    </w:p>
    <w:p w14:paraId="547066D0" w14:textId="77777777" w:rsidR="0087431E" w:rsidRPr="00020C88" w:rsidRDefault="0087431E" w:rsidP="00CB750F">
      <w:pPr>
        <w:spacing w:after="0" w:line="240" w:lineRule="auto"/>
        <w:jc w:val="both"/>
        <w:rPr>
          <w:rFonts w:ascii="Times New Roman" w:hAnsi="Times New Roman"/>
          <w:color w:val="000000"/>
          <w:sz w:val="20"/>
          <w:szCs w:val="20"/>
          <w:lang w:eastAsia="sk-SK"/>
        </w:rPr>
      </w:pPr>
    </w:p>
    <w:p w14:paraId="4FF48FA0" w14:textId="77777777" w:rsidR="00765DB2" w:rsidRPr="00020C88" w:rsidRDefault="00765DB2" w:rsidP="00CB750F">
      <w:pPr>
        <w:spacing w:after="0" w:line="240" w:lineRule="auto"/>
        <w:jc w:val="both"/>
        <w:rPr>
          <w:rFonts w:ascii="Times New Roman" w:hAnsi="Times New Roman"/>
          <w:color w:val="000000"/>
          <w:sz w:val="20"/>
          <w:szCs w:val="20"/>
          <w:lang w:eastAsia="sk-SK"/>
        </w:rPr>
      </w:pPr>
    </w:p>
    <w:p w14:paraId="63CDCEF1" w14:textId="77777777" w:rsidR="0087431E" w:rsidRPr="00020C88" w:rsidRDefault="0087431E" w:rsidP="00CB750F">
      <w:pPr>
        <w:pStyle w:val="Odsekzoznamu"/>
        <w:numPr>
          <w:ilvl w:val="0"/>
          <w:numId w:val="23"/>
        </w:numPr>
        <w:spacing w:after="0" w:line="240" w:lineRule="auto"/>
        <w:jc w:val="both"/>
        <w:rPr>
          <w:rFonts w:ascii="Times New Roman" w:hAnsi="Times New Roman"/>
          <w:color w:val="000000"/>
          <w:sz w:val="20"/>
          <w:szCs w:val="20"/>
          <w:lang w:val="sk-SK" w:eastAsia="sk-SK"/>
        </w:rPr>
      </w:pPr>
      <w:r w:rsidRPr="00020C88">
        <w:rPr>
          <w:rFonts w:ascii="Times New Roman" w:hAnsi="Times New Roman"/>
          <w:color w:val="000000"/>
          <w:sz w:val="20"/>
          <w:szCs w:val="20"/>
          <w:lang w:val="sk-SK" w:eastAsia="sk-SK"/>
        </w:rPr>
        <w:t>nová sieť ambulantnej starostlivosti a nedostatok personálu</w:t>
      </w:r>
    </w:p>
    <w:p w14:paraId="6988E79D" w14:textId="77777777" w:rsidR="0087431E" w:rsidRPr="00020C88" w:rsidRDefault="0087431E" w:rsidP="00CB750F">
      <w:pPr>
        <w:spacing w:after="0" w:line="240" w:lineRule="auto"/>
        <w:jc w:val="both"/>
        <w:rPr>
          <w:rFonts w:ascii="Times New Roman" w:hAnsi="Times New Roman"/>
          <w:color w:val="000000"/>
          <w:sz w:val="20"/>
          <w:szCs w:val="20"/>
          <w:lang w:eastAsia="sk-SK"/>
        </w:rPr>
      </w:pPr>
    </w:p>
    <w:p w14:paraId="442A59BC" w14:textId="77777777" w:rsidR="0087431E" w:rsidRPr="00020C88" w:rsidRDefault="0087431E" w:rsidP="00765DB2">
      <w:pPr>
        <w:spacing w:after="0" w:line="240" w:lineRule="auto"/>
        <w:ind w:firstLine="708"/>
        <w:jc w:val="both"/>
        <w:rPr>
          <w:rFonts w:ascii="Times New Roman" w:hAnsi="Times New Roman"/>
          <w:sz w:val="20"/>
          <w:szCs w:val="20"/>
        </w:rPr>
      </w:pPr>
      <w:r w:rsidRPr="00020C88">
        <w:rPr>
          <w:rFonts w:ascii="Times New Roman" w:hAnsi="Times New Roman"/>
          <w:sz w:val="20"/>
          <w:szCs w:val="20"/>
        </w:rPr>
        <w:t>Súčasná minimálna sieť ambulantnej zdravotnej starostlivosti nereflektuje požiadavky v regiónoch, čo sa týka štruktúry a počtu lekárov. Funkčná sieť je, ako bolo spomenuté v predchádzajúcom bode, jeden z kľúčových faktorov pri implementácií stratifikácie. MZ SR preto pripravuje aktualizovanú minimálnu sieť, ako aj miestnu dostupnosť jednotlivých odborných špecializácií.</w:t>
      </w:r>
    </w:p>
    <w:p w14:paraId="42110586" w14:textId="77777777" w:rsidR="0087431E" w:rsidRPr="00020C88" w:rsidRDefault="0087431E" w:rsidP="00765DB2">
      <w:pPr>
        <w:spacing w:after="0" w:line="240" w:lineRule="auto"/>
        <w:ind w:firstLine="708"/>
        <w:jc w:val="both"/>
        <w:rPr>
          <w:rFonts w:ascii="Times New Roman" w:hAnsi="Times New Roman"/>
          <w:sz w:val="20"/>
          <w:szCs w:val="20"/>
        </w:rPr>
      </w:pPr>
      <w:r w:rsidRPr="00020C88">
        <w:rPr>
          <w:rFonts w:ascii="Times New Roman" w:hAnsi="Times New Roman"/>
          <w:sz w:val="20"/>
          <w:szCs w:val="20"/>
        </w:rPr>
        <w:t xml:space="preserve">V rámci projektu pripravuje aj predikcie jednotlivých typov špecialistov (a nelekárskeho personálu) tak, aby sa mohli pripraviť konkrétne opatrenia na podporu štúdia v nedostatkových oblastiach. Nedostatok personálu a s ňou súvisiaca „organická“ stratifikácia je totiž jedno z najväčších rizík celého projektu. MZ SR preto už v roku 2018 spustilo viaceré opatrenia na stabilizáciu personálu (napr. navýšenie kapacít na štúdium, zavedenie motivačného štipendia či navýšenie mzdových koeficientov), ktoré budú v čase vyhodnotené a v prípade potreby sa pristúpi k ďalším úpravám a politikám, ktoré podporia zamestnanosť v sektore. </w:t>
      </w:r>
    </w:p>
    <w:p w14:paraId="721D803A" w14:textId="3098CD99" w:rsidR="0087431E" w:rsidRPr="00020C88" w:rsidRDefault="0087431E" w:rsidP="00CB750F">
      <w:pPr>
        <w:tabs>
          <w:tab w:val="center" w:pos="4536"/>
        </w:tabs>
        <w:spacing w:after="0" w:line="240" w:lineRule="auto"/>
        <w:jc w:val="both"/>
        <w:rPr>
          <w:rFonts w:ascii="Times New Roman" w:hAnsi="Times New Roman"/>
          <w:b/>
          <w:bCs/>
          <w:sz w:val="20"/>
          <w:szCs w:val="20"/>
        </w:rPr>
      </w:pPr>
    </w:p>
    <w:p w14:paraId="7A7A7163" w14:textId="346B9003" w:rsidR="00656F4B" w:rsidRPr="00020C88" w:rsidRDefault="00656F4B" w:rsidP="00CB750F">
      <w:pPr>
        <w:spacing w:after="0" w:line="240" w:lineRule="auto"/>
        <w:jc w:val="both"/>
        <w:rPr>
          <w:rFonts w:ascii="Times New Roman" w:hAnsi="Times New Roman"/>
          <w:b/>
          <w:bCs/>
          <w:u w:val="single"/>
        </w:rPr>
      </w:pPr>
      <w:r w:rsidRPr="00020C88">
        <w:rPr>
          <w:rFonts w:ascii="Times New Roman" w:hAnsi="Times New Roman"/>
          <w:b/>
          <w:bCs/>
          <w:sz w:val="24"/>
          <w:u w:val="single"/>
        </w:rPr>
        <w:t>N</w:t>
      </w:r>
      <w:r w:rsidRPr="00020C88">
        <w:rPr>
          <w:rFonts w:ascii="Times New Roman" w:hAnsi="Times New Roman"/>
          <w:b/>
          <w:sz w:val="24"/>
          <w:u w:val="single"/>
        </w:rPr>
        <w:t>ásledná ústavná zdravotná starostlivosť</w:t>
      </w:r>
      <w:r w:rsidRPr="00020C88">
        <w:rPr>
          <w:rFonts w:ascii="Times New Roman" w:hAnsi="Times New Roman"/>
          <w:b/>
          <w:u w:val="single"/>
        </w:rPr>
        <w:tab/>
      </w:r>
    </w:p>
    <w:p w14:paraId="0FDAF7CD" w14:textId="77777777" w:rsidR="00E2311B" w:rsidRPr="00020C88" w:rsidRDefault="00E2311B" w:rsidP="00CB750F">
      <w:pPr>
        <w:spacing w:after="0" w:line="240" w:lineRule="auto"/>
        <w:jc w:val="both"/>
        <w:rPr>
          <w:rFonts w:ascii="Times New Roman" w:hAnsi="Times New Roman"/>
          <w:b/>
        </w:rPr>
      </w:pPr>
      <w:r w:rsidRPr="00020C88">
        <w:rPr>
          <w:rFonts w:ascii="Times New Roman" w:hAnsi="Times New Roman"/>
          <w:b/>
        </w:rPr>
        <w:t>Posilnenie v konkrétnych číslach:</w:t>
      </w:r>
    </w:p>
    <w:p w14:paraId="1C8B1A42" w14:textId="77777777" w:rsidR="00CB750F" w:rsidRPr="00020C88" w:rsidRDefault="00CB750F" w:rsidP="00CB750F">
      <w:pPr>
        <w:spacing w:after="0" w:line="240" w:lineRule="auto"/>
        <w:jc w:val="both"/>
        <w:rPr>
          <w:rFonts w:ascii="Times New Roman" w:hAnsi="Times New Roman"/>
          <w:b/>
          <w:sz w:val="20"/>
          <w:szCs w:val="20"/>
          <w:u w:val="single"/>
        </w:rPr>
      </w:pPr>
    </w:p>
    <w:p w14:paraId="4FBE4E58" w14:textId="28388D22" w:rsidR="00E2311B" w:rsidRPr="00020C88" w:rsidRDefault="00E2311B" w:rsidP="00CB750F">
      <w:pPr>
        <w:spacing w:after="0" w:line="240" w:lineRule="auto"/>
        <w:jc w:val="both"/>
        <w:rPr>
          <w:rFonts w:ascii="Times New Roman" w:hAnsi="Times New Roman"/>
          <w:b/>
          <w:sz w:val="20"/>
          <w:szCs w:val="20"/>
          <w:u w:val="single"/>
        </w:rPr>
      </w:pPr>
      <w:r w:rsidRPr="00020C88">
        <w:rPr>
          <w:rFonts w:ascii="Times New Roman" w:hAnsi="Times New Roman"/>
          <w:b/>
          <w:sz w:val="20"/>
          <w:szCs w:val="20"/>
          <w:u w:val="single"/>
        </w:rPr>
        <w:t>Posilnenie mobilných hospicov:</w:t>
      </w:r>
    </w:p>
    <w:p w14:paraId="52D07862"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Verejná minimálna sieť podľa platného nariadenia vlády SR č. 640/2008 Z. z. pre hospic a mobilný hospic je ustanovená najmenej jedným hospicom a jedným mobilným hospicom na územie samosprávneho kraja.  Mobilný hospic je určený na poskytovanie zdravotnej starostlivosti osobe s nevyliečiteľnou a zároveň pokročilou a aktívne progredujúcou chorobou, ktorá spravidla vedie k smrti a na poskytovanie paliatívnej starostlivosti s cieľom zlepšenia kvality života, zmiernenie utrpenia a stabilizácie zdravotného stavu v prirodzenom sociálnom prostredí osoby. Paliatívna starostlivosť je poskytovanie komplexnej starostlivosti, ktorej účelom je zmiernenie utrpenia a zachovanie kvality života fyzickej osoby, ktorá trpí nevyliečiteľnou chorobou na konci života alebo je v terminálnom štádiu ochorenia. Paliatívnu starostlivosť indikuje ošetrujúci lekár, ktorým môže byť lekár so špecializáciou v odbore paliatívna medicína, geriatria, pediatria, klinická onkológia, neurológia, interná medicína, kardiológia, nefrológia, anesteziológia, pneumológia, ftizeológia a intenzívna medicína. Paliatívna starostlivosť sa poskytuje aj v nemocnici.</w:t>
      </w:r>
    </w:p>
    <w:p w14:paraId="22A72F74" w14:textId="0519DCC5"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Navrhujeme verejnú minimálnu sieť pre hospic a mobilný hospic ustanoviť najmenej dvoma hospicmi na územie samosprávneho kraja s minimálnym počtom lôžok spolu na celé územie Slovenskej republiky 286 a jedným mobilným hospicom na územie okresu (79). Hospic ako lôžkové zariadenie je riešené v rámci následnej zdravotnej starostlivosti.</w:t>
      </w:r>
      <w:r w:rsidR="001A18CE" w:rsidRPr="00020C88">
        <w:rPr>
          <w:rFonts w:ascii="Times New Roman" w:hAnsi="Times New Roman"/>
          <w:sz w:val="20"/>
          <w:szCs w:val="20"/>
        </w:rPr>
        <w:t xml:space="preserve"> Lôžka v hospicovej ústavnej zdravotnej starostlivosti nie sú započítané v rámci transformácie akútnych lôžok na lôžka následnej starostlivosti v rámci stratifikácie.</w:t>
      </w:r>
    </w:p>
    <w:p w14:paraId="02D4458B" w14:textId="77777777" w:rsidR="00E2311B" w:rsidRPr="00020C88" w:rsidRDefault="00E2311B" w:rsidP="00CB750F">
      <w:pPr>
        <w:spacing w:after="0" w:line="240" w:lineRule="auto"/>
        <w:jc w:val="both"/>
        <w:rPr>
          <w:rFonts w:ascii="Times New Roman" w:hAnsi="Times New Roman"/>
          <w:sz w:val="20"/>
          <w:szCs w:val="20"/>
        </w:rPr>
      </w:pPr>
    </w:p>
    <w:p w14:paraId="247C9527" w14:textId="4568036E" w:rsidR="00E2311B" w:rsidRPr="00020C88" w:rsidRDefault="00E2311B" w:rsidP="00CB750F">
      <w:pPr>
        <w:spacing w:after="0" w:line="240" w:lineRule="auto"/>
        <w:jc w:val="both"/>
        <w:rPr>
          <w:rFonts w:ascii="Times New Roman" w:hAnsi="Times New Roman"/>
          <w:b/>
          <w:sz w:val="20"/>
          <w:szCs w:val="20"/>
        </w:rPr>
      </w:pPr>
      <w:r w:rsidRPr="00020C88">
        <w:rPr>
          <w:rFonts w:ascii="Times New Roman" w:hAnsi="Times New Roman"/>
          <w:b/>
          <w:sz w:val="20"/>
          <w:szCs w:val="20"/>
        </w:rPr>
        <w:t xml:space="preserve"> Porovna</w:t>
      </w:r>
      <w:r w:rsidR="008F7EFB" w:rsidRPr="00020C88">
        <w:rPr>
          <w:rFonts w:ascii="Times New Roman" w:hAnsi="Times New Roman"/>
          <w:b/>
          <w:sz w:val="20"/>
          <w:szCs w:val="20"/>
        </w:rPr>
        <w:t>nie a návrhy pre mobilný hospic.</w:t>
      </w:r>
    </w:p>
    <w:p w14:paraId="42585E44" w14:textId="10BC7C23" w:rsidR="008F7EFB" w:rsidRPr="00020C88" w:rsidRDefault="008F7EFB" w:rsidP="00CB750F">
      <w:pPr>
        <w:spacing w:after="0" w:line="240" w:lineRule="auto"/>
        <w:jc w:val="both"/>
        <w:rPr>
          <w:rFonts w:ascii="Times New Roman" w:hAnsi="Times New Roman"/>
          <w:sz w:val="20"/>
          <w:szCs w:val="20"/>
        </w:rPr>
      </w:pPr>
    </w:p>
    <w:p w14:paraId="29F311E6" w14:textId="7507A065" w:rsidR="008F7EFB" w:rsidRPr="00020C88" w:rsidRDefault="008F7EFB" w:rsidP="00CB750F">
      <w:pPr>
        <w:spacing w:after="0" w:line="240" w:lineRule="auto"/>
        <w:jc w:val="both"/>
        <w:rPr>
          <w:rFonts w:ascii="Times New Roman" w:hAnsi="Times New Roman"/>
          <w:sz w:val="20"/>
          <w:szCs w:val="20"/>
        </w:rPr>
      </w:pPr>
      <w:r w:rsidRPr="00020C88">
        <w:rPr>
          <w:rFonts w:ascii="Times New Roman" w:hAnsi="Times New Roman"/>
          <w:sz w:val="20"/>
          <w:szCs w:val="20"/>
        </w:rPr>
        <w:t>Aktuálny stav:</w:t>
      </w:r>
    </w:p>
    <w:tbl>
      <w:tblPr>
        <w:tblW w:w="8960" w:type="dxa"/>
        <w:tblInd w:w="-10" w:type="dxa"/>
        <w:tblCellMar>
          <w:left w:w="70" w:type="dxa"/>
          <w:right w:w="70" w:type="dxa"/>
        </w:tblCellMar>
        <w:tblLook w:val="04A0" w:firstRow="1" w:lastRow="0" w:firstColumn="1" w:lastColumn="0" w:noHBand="0" w:noVBand="1"/>
      </w:tblPr>
      <w:tblGrid>
        <w:gridCol w:w="3200"/>
        <w:gridCol w:w="960"/>
        <w:gridCol w:w="960"/>
        <w:gridCol w:w="960"/>
        <w:gridCol w:w="960"/>
        <w:gridCol w:w="960"/>
        <w:gridCol w:w="960"/>
      </w:tblGrid>
      <w:tr w:rsidR="00023FC4" w:rsidRPr="00020C88" w14:paraId="7B4C2149" w14:textId="77777777" w:rsidTr="00023FC4">
        <w:trPr>
          <w:trHeight w:val="300"/>
        </w:trPr>
        <w:tc>
          <w:tcPr>
            <w:tcW w:w="3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FEEC8" w14:textId="77777777" w:rsidR="00023FC4" w:rsidRPr="00020C88" w:rsidRDefault="00023FC4" w:rsidP="00023FC4">
            <w:pPr>
              <w:spacing w:after="0" w:line="240" w:lineRule="auto"/>
              <w:jc w:val="both"/>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F48280C"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E3559CF"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FC32102"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BD61628"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F1CBA7E"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C2B7C4C"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r>
      <w:tr w:rsidR="00023FC4" w:rsidRPr="00020C88" w14:paraId="40A15A6C"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32A5D7C5"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poskytovateľov</w:t>
            </w:r>
          </w:p>
        </w:tc>
        <w:tc>
          <w:tcPr>
            <w:tcW w:w="960" w:type="dxa"/>
            <w:tcBorders>
              <w:top w:val="nil"/>
              <w:left w:val="nil"/>
              <w:bottom w:val="single" w:sz="8" w:space="0" w:color="auto"/>
              <w:right w:val="single" w:sz="8" w:space="0" w:color="auto"/>
            </w:tcBorders>
            <w:shd w:val="clear" w:color="auto" w:fill="auto"/>
            <w:noWrap/>
            <w:vAlign w:val="center"/>
            <w:hideMark/>
          </w:tcPr>
          <w:p w14:paraId="1F5369EC"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8</w:t>
            </w:r>
          </w:p>
        </w:tc>
        <w:tc>
          <w:tcPr>
            <w:tcW w:w="960" w:type="dxa"/>
            <w:tcBorders>
              <w:top w:val="nil"/>
              <w:left w:val="nil"/>
              <w:bottom w:val="single" w:sz="8" w:space="0" w:color="auto"/>
              <w:right w:val="single" w:sz="8" w:space="0" w:color="auto"/>
            </w:tcBorders>
            <w:shd w:val="clear" w:color="auto" w:fill="auto"/>
            <w:noWrap/>
            <w:vAlign w:val="center"/>
            <w:hideMark/>
          </w:tcPr>
          <w:p w14:paraId="5E1355E7"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8</w:t>
            </w:r>
          </w:p>
        </w:tc>
        <w:tc>
          <w:tcPr>
            <w:tcW w:w="960" w:type="dxa"/>
            <w:tcBorders>
              <w:top w:val="nil"/>
              <w:left w:val="nil"/>
              <w:bottom w:val="single" w:sz="8" w:space="0" w:color="auto"/>
              <w:right w:val="single" w:sz="8" w:space="0" w:color="auto"/>
            </w:tcBorders>
            <w:shd w:val="clear" w:color="auto" w:fill="auto"/>
            <w:noWrap/>
            <w:vAlign w:val="center"/>
            <w:hideMark/>
          </w:tcPr>
          <w:p w14:paraId="26D37096"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8</w:t>
            </w:r>
          </w:p>
        </w:tc>
        <w:tc>
          <w:tcPr>
            <w:tcW w:w="960" w:type="dxa"/>
            <w:tcBorders>
              <w:top w:val="nil"/>
              <w:left w:val="nil"/>
              <w:bottom w:val="single" w:sz="8" w:space="0" w:color="auto"/>
              <w:right w:val="single" w:sz="8" w:space="0" w:color="auto"/>
            </w:tcBorders>
            <w:shd w:val="clear" w:color="auto" w:fill="auto"/>
            <w:vAlign w:val="center"/>
            <w:hideMark/>
          </w:tcPr>
          <w:p w14:paraId="1892F307"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9</w:t>
            </w:r>
          </w:p>
        </w:tc>
        <w:tc>
          <w:tcPr>
            <w:tcW w:w="960" w:type="dxa"/>
            <w:tcBorders>
              <w:top w:val="nil"/>
              <w:left w:val="nil"/>
              <w:bottom w:val="single" w:sz="8" w:space="0" w:color="auto"/>
              <w:right w:val="single" w:sz="8" w:space="0" w:color="auto"/>
            </w:tcBorders>
            <w:shd w:val="clear" w:color="auto" w:fill="auto"/>
            <w:vAlign w:val="center"/>
            <w:hideMark/>
          </w:tcPr>
          <w:p w14:paraId="5882006D"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9</w:t>
            </w:r>
          </w:p>
        </w:tc>
        <w:tc>
          <w:tcPr>
            <w:tcW w:w="960" w:type="dxa"/>
            <w:tcBorders>
              <w:top w:val="nil"/>
              <w:left w:val="nil"/>
              <w:bottom w:val="single" w:sz="8" w:space="0" w:color="auto"/>
              <w:right w:val="single" w:sz="8" w:space="0" w:color="auto"/>
            </w:tcBorders>
            <w:shd w:val="clear" w:color="auto" w:fill="auto"/>
            <w:vAlign w:val="center"/>
            <w:hideMark/>
          </w:tcPr>
          <w:p w14:paraId="0E5727DF"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9</w:t>
            </w:r>
          </w:p>
        </w:tc>
      </w:tr>
      <w:tr w:rsidR="00023FC4" w:rsidRPr="00020C88" w14:paraId="5E3FA29F"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0916B4DC"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pacientov</w:t>
            </w:r>
          </w:p>
        </w:tc>
        <w:tc>
          <w:tcPr>
            <w:tcW w:w="960" w:type="dxa"/>
            <w:tcBorders>
              <w:top w:val="nil"/>
              <w:left w:val="nil"/>
              <w:bottom w:val="single" w:sz="8" w:space="0" w:color="auto"/>
              <w:right w:val="single" w:sz="8" w:space="0" w:color="auto"/>
            </w:tcBorders>
            <w:shd w:val="clear" w:color="auto" w:fill="auto"/>
            <w:noWrap/>
            <w:vAlign w:val="center"/>
            <w:hideMark/>
          </w:tcPr>
          <w:p w14:paraId="4725044F"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419</w:t>
            </w:r>
          </w:p>
        </w:tc>
        <w:tc>
          <w:tcPr>
            <w:tcW w:w="960" w:type="dxa"/>
            <w:tcBorders>
              <w:top w:val="nil"/>
              <w:left w:val="nil"/>
              <w:bottom w:val="single" w:sz="8" w:space="0" w:color="auto"/>
              <w:right w:val="single" w:sz="8" w:space="0" w:color="auto"/>
            </w:tcBorders>
            <w:shd w:val="clear" w:color="auto" w:fill="auto"/>
            <w:noWrap/>
            <w:vAlign w:val="center"/>
            <w:hideMark/>
          </w:tcPr>
          <w:p w14:paraId="722320DD"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512</w:t>
            </w:r>
          </w:p>
        </w:tc>
        <w:tc>
          <w:tcPr>
            <w:tcW w:w="960" w:type="dxa"/>
            <w:tcBorders>
              <w:top w:val="nil"/>
              <w:left w:val="nil"/>
              <w:bottom w:val="single" w:sz="8" w:space="0" w:color="auto"/>
              <w:right w:val="single" w:sz="8" w:space="0" w:color="auto"/>
            </w:tcBorders>
            <w:shd w:val="clear" w:color="auto" w:fill="auto"/>
            <w:noWrap/>
            <w:vAlign w:val="center"/>
            <w:hideMark/>
          </w:tcPr>
          <w:p w14:paraId="48B0BA24"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600</w:t>
            </w:r>
          </w:p>
        </w:tc>
        <w:tc>
          <w:tcPr>
            <w:tcW w:w="960" w:type="dxa"/>
            <w:tcBorders>
              <w:top w:val="nil"/>
              <w:left w:val="nil"/>
              <w:bottom w:val="single" w:sz="8" w:space="0" w:color="auto"/>
              <w:right w:val="single" w:sz="8" w:space="0" w:color="auto"/>
            </w:tcBorders>
            <w:shd w:val="clear" w:color="auto" w:fill="auto"/>
            <w:vAlign w:val="center"/>
            <w:hideMark/>
          </w:tcPr>
          <w:p w14:paraId="3EE1DAA9"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700</w:t>
            </w:r>
          </w:p>
        </w:tc>
        <w:tc>
          <w:tcPr>
            <w:tcW w:w="960" w:type="dxa"/>
            <w:tcBorders>
              <w:top w:val="nil"/>
              <w:left w:val="nil"/>
              <w:bottom w:val="single" w:sz="8" w:space="0" w:color="auto"/>
              <w:right w:val="single" w:sz="8" w:space="0" w:color="auto"/>
            </w:tcBorders>
            <w:shd w:val="clear" w:color="auto" w:fill="auto"/>
            <w:vAlign w:val="center"/>
            <w:hideMark/>
          </w:tcPr>
          <w:p w14:paraId="798E483A"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800</w:t>
            </w:r>
          </w:p>
        </w:tc>
        <w:tc>
          <w:tcPr>
            <w:tcW w:w="960" w:type="dxa"/>
            <w:tcBorders>
              <w:top w:val="nil"/>
              <w:left w:val="nil"/>
              <w:bottom w:val="single" w:sz="8" w:space="0" w:color="auto"/>
              <w:right w:val="single" w:sz="8" w:space="0" w:color="auto"/>
            </w:tcBorders>
            <w:shd w:val="clear" w:color="auto" w:fill="auto"/>
            <w:vAlign w:val="center"/>
            <w:hideMark/>
          </w:tcPr>
          <w:p w14:paraId="6275DA2C"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900</w:t>
            </w:r>
          </w:p>
        </w:tc>
      </w:tr>
      <w:tr w:rsidR="00023FC4" w:rsidRPr="00020C88" w14:paraId="3E644B24"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4A4EA965"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návštev</w:t>
            </w:r>
          </w:p>
        </w:tc>
        <w:tc>
          <w:tcPr>
            <w:tcW w:w="960" w:type="dxa"/>
            <w:tcBorders>
              <w:top w:val="nil"/>
              <w:left w:val="nil"/>
              <w:bottom w:val="single" w:sz="8" w:space="0" w:color="auto"/>
              <w:right w:val="single" w:sz="8" w:space="0" w:color="auto"/>
            </w:tcBorders>
            <w:shd w:val="clear" w:color="auto" w:fill="auto"/>
            <w:noWrap/>
            <w:vAlign w:val="center"/>
            <w:hideMark/>
          </w:tcPr>
          <w:p w14:paraId="46C5564B"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7230</w:t>
            </w:r>
          </w:p>
        </w:tc>
        <w:tc>
          <w:tcPr>
            <w:tcW w:w="960" w:type="dxa"/>
            <w:tcBorders>
              <w:top w:val="nil"/>
              <w:left w:val="nil"/>
              <w:bottom w:val="single" w:sz="8" w:space="0" w:color="auto"/>
              <w:right w:val="single" w:sz="8" w:space="0" w:color="auto"/>
            </w:tcBorders>
            <w:shd w:val="clear" w:color="auto" w:fill="auto"/>
            <w:noWrap/>
            <w:vAlign w:val="center"/>
            <w:hideMark/>
          </w:tcPr>
          <w:p w14:paraId="1B8C437B"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7808</w:t>
            </w:r>
          </w:p>
        </w:tc>
        <w:tc>
          <w:tcPr>
            <w:tcW w:w="960" w:type="dxa"/>
            <w:tcBorders>
              <w:top w:val="nil"/>
              <w:left w:val="nil"/>
              <w:bottom w:val="single" w:sz="8" w:space="0" w:color="auto"/>
              <w:right w:val="single" w:sz="8" w:space="0" w:color="auto"/>
            </w:tcBorders>
            <w:shd w:val="clear" w:color="auto" w:fill="auto"/>
            <w:noWrap/>
            <w:vAlign w:val="center"/>
            <w:hideMark/>
          </w:tcPr>
          <w:p w14:paraId="6F057D0E"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10 200</w:t>
            </w:r>
          </w:p>
        </w:tc>
        <w:tc>
          <w:tcPr>
            <w:tcW w:w="960" w:type="dxa"/>
            <w:tcBorders>
              <w:top w:val="nil"/>
              <w:left w:val="nil"/>
              <w:bottom w:val="single" w:sz="8" w:space="0" w:color="auto"/>
              <w:right w:val="single" w:sz="8" w:space="0" w:color="auto"/>
            </w:tcBorders>
            <w:shd w:val="clear" w:color="auto" w:fill="auto"/>
            <w:vAlign w:val="center"/>
            <w:hideMark/>
          </w:tcPr>
          <w:p w14:paraId="409B64D7"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11 900</w:t>
            </w:r>
          </w:p>
        </w:tc>
        <w:tc>
          <w:tcPr>
            <w:tcW w:w="960" w:type="dxa"/>
            <w:tcBorders>
              <w:top w:val="nil"/>
              <w:left w:val="nil"/>
              <w:bottom w:val="single" w:sz="8" w:space="0" w:color="auto"/>
              <w:right w:val="single" w:sz="8" w:space="0" w:color="auto"/>
            </w:tcBorders>
            <w:shd w:val="clear" w:color="auto" w:fill="auto"/>
            <w:vAlign w:val="center"/>
            <w:hideMark/>
          </w:tcPr>
          <w:p w14:paraId="24787588"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13 600</w:t>
            </w:r>
          </w:p>
        </w:tc>
        <w:tc>
          <w:tcPr>
            <w:tcW w:w="960" w:type="dxa"/>
            <w:tcBorders>
              <w:top w:val="nil"/>
              <w:left w:val="nil"/>
              <w:bottom w:val="single" w:sz="8" w:space="0" w:color="auto"/>
              <w:right w:val="single" w:sz="8" w:space="0" w:color="auto"/>
            </w:tcBorders>
            <w:shd w:val="clear" w:color="auto" w:fill="auto"/>
            <w:vAlign w:val="center"/>
            <w:hideMark/>
          </w:tcPr>
          <w:p w14:paraId="3C41ABB0"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15 300</w:t>
            </w:r>
          </w:p>
        </w:tc>
      </w:tr>
      <w:tr w:rsidR="00023FC4" w:rsidRPr="00020C88" w14:paraId="7A322285"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28A37381"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Celkové úhrady od ZP</w:t>
            </w:r>
          </w:p>
        </w:tc>
        <w:tc>
          <w:tcPr>
            <w:tcW w:w="960" w:type="dxa"/>
            <w:tcBorders>
              <w:top w:val="nil"/>
              <w:left w:val="nil"/>
              <w:bottom w:val="single" w:sz="8" w:space="0" w:color="auto"/>
              <w:right w:val="single" w:sz="8" w:space="0" w:color="auto"/>
            </w:tcBorders>
            <w:shd w:val="clear" w:color="auto" w:fill="auto"/>
            <w:noWrap/>
            <w:vAlign w:val="center"/>
            <w:hideMark/>
          </w:tcPr>
          <w:p w14:paraId="2192E405"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101 220 €</w:t>
            </w:r>
          </w:p>
        </w:tc>
        <w:tc>
          <w:tcPr>
            <w:tcW w:w="960" w:type="dxa"/>
            <w:tcBorders>
              <w:top w:val="nil"/>
              <w:left w:val="nil"/>
              <w:bottom w:val="single" w:sz="8" w:space="0" w:color="auto"/>
              <w:right w:val="single" w:sz="8" w:space="0" w:color="auto"/>
            </w:tcBorders>
            <w:shd w:val="clear" w:color="auto" w:fill="auto"/>
            <w:noWrap/>
            <w:vAlign w:val="center"/>
            <w:hideMark/>
          </w:tcPr>
          <w:p w14:paraId="1B426A96"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109 312 €</w:t>
            </w:r>
          </w:p>
        </w:tc>
        <w:tc>
          <w:tcPr>
            <w:tcW w:w="960" w:type="dxa"/>
            <w:tcBorders>
              <w:top w:val="nil"/>
              <w:left w:val="nil"/>
              <w:bottom w:val="single" w:sz="8" w:space="0" w:color="auto"/>
              <w:right w:val="single" w:sz="8" w:space="0" w:color="auto"/>
            </w:tcBorders>
            <w:shd w:val="clear" w:color="auto" w:fill="auto"/>
            <w:noWrap/>
            <w:vAlign w:val="center"/>
            <w:hideMark/>
          </w:tcPr>
          <w:p w14:paraId="5DFFBD01"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142 800 €</w:t>
            </w:r>
          </w:p>
        </w:tc>
        <w:tc>
          <w:tcPr>
            <w:tcW w:w="960" w:type="dxa"/>
            <w:tcBorders>
              <w:top w:val="nil"/>
              <w:left w:val="nil"/>
              <w:bottom w:val="single" w:sz="8" w:space="0" w:color="auto"/>
              <w:right w:val="single" w:sz="8" w:space="0" w:color="auto"/>
            </w:tcBorders>
            <w:shd w:val="clear" w:color="auto" w:fill="auto"/>
            <w:vAlign w:val="center"/>
            <w:hideMark/>
          </w:tcPr>
          <w:p w14:paraId="3702B844"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166 600 €</w:t>
            </w:r>
          </w:p>
        </w:tc>
        <w:tc>
          <w:tcPr>
            <w:tcW w:w="960" w:type="dxa"/>
            <w:tcBorders>
              <w:top w:val="nil"/>
              <w:left w:val="nil"/>
              <w:bottom w:val="single" w:sz="8" w:space="0" w:color="auto"/>
              <w:right w:val="single" w:sz="8" w:space="0" w:color="auto"/>
            </w:tcBorders>
            <w:shd w:val="clear" w:color="auto" w:fill="auto"/>
            <w:vAlign w:val="center"/>
            <w:hideMark/>
          </w:tcPr>
          <w:p w14:paraId="7E63C791"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190 400 €</w:t>
            </w:r>
          </w:p>
        </w:tc>
        <w:tc>
          <w:tcPr>
            <w:tcW w:w="960" w:type="dxa"/>
            <w:tcBorders>
              <w:top w:val="nil"/>
              <w:left w:val="nil"/>
              <w:bottom w:val="single" w:sz="8" w:space="0" w:color="auto"/>
              <w:right w:val="single" w:sz="8" w:space="0" w:color="auto"/>
            </w:tcBorders>
            <w:shd w:val="clear" w:color="auto" w:fill="auto"/>
            <w:vAlign w:val="center"/>
            <w:hideMark/>
          </w:tcPr>
          <w:p w14:paraId="54EBEEB9"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214 200 €</w:t>
            </w:r>
          </w:p>
        </w:tc>
      </w:tr>
      <w:tr w:rsidR="00023FC4" w:rsidRPr="00020C88" w14:paraId="2087F557"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7063370F"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Priemerná úhrada za návštevu</w:t>
            </w:r>
          </w:p>
        </w:tc>
        <w:tc>
          <w:tcPr>
            <w:tcW w:w="960" w:type="dxa"/>
            <w:tcBorders>
              <w:top w:val="nil"/>
              <w:left w:val="nil"/>
              <w:bottom w:val="single" w:sz="8" w:space="0" w:color="auto"/>
              <w:right w:val="single" w:sz="8" w:space="0" w:color="auto"/>
            </w:tcBorders>
            <w:shd w:val="clear" w:color="auto" w:fill="auto"/>
            <w:noWrap/>
            <w:vAlign w:val="center"/>
            <w:hideMark/>
          </w:tcPr>
          <w:p w14:paraId="29442646"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14:paraId="367D0D98"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14:paraId="767F429A"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14:paraId="0B2B0B9B"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14:paraId="0D68DDF4"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14:paraId="0B17864D"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r>
      <w:tr w:rsidR="00023FC4" w:rsidRPr="00020C88" w14:paraId="6A105D0F"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ADBDB61"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návštev u 1 pacienta</w:t>
            </w:r>
          </w:p>
        </w:tc>
        <w:tc>
          <w:tcPr>
            <w:tcW w:w="960" w:type="dxa"/>
            <w:tcBorders>
              <w:top w:val="nil"/>
              <w:left w:val="nil"/>
              <w:bottom w:val="single" w:sz="8" w:space="0" w:color="auto"/>
              <w:right w:val="single" w:sz="8" w:space="0" w:color="auto"/>
            </w:tcBorders>
            <w:shd w:val="clear" w:color="auto" w:fill="auto"/>
            <w:noWrap/>
            <w:vAlign w:val="center"/>
            <w:hideMark/>
          </w:tcPr>
          <w:p w14:paraId="7F7BEABB"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noWrap/>
            <w:vAlign w:val="center"/>
            <w:hideMark/>
          </w:tcPr>
          <w:p w14:paraId="4FE9079C"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noWrap/>
            <w:vAlign w:val="center"/>
            <w:hideMark/>
          </w:tcPr>
          <w:p w14:paraId="39D5D94B"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vAlign w:val="center"/>
            <w:hideMark/>
          </w:tcPr>
          <w:p w14:paraId="5BFDE21E"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vAlign w:val="center"/>
            <w:hideMark/>
          </w:tcPr>
          <w:p w14:paraId="35D88ADE"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vAlign w:val="center"/>
            <w:hideMark/>
          </w:tcPr>
          <w:p w14:paraId="4F5424B0"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r>
    </w:tbl>
    <w:p w14:paraId="0A594581" w14:textId="6840429B" w:rsidR="008F7EFB" w:rsidRPr="00020C88" w:rsidRDefault="00C5582A" w:rsidP="00CB750F">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zdroj: NCZI, údaje za rok 2018 a za rok 2019 nie sú dostupné – počítali sme s 0,8% nárastom za každý rok</w:t>
      </w:r>
      <w:r w:rsidR="008F7EFB" w:rsidRPr="00020C88">
        <w:rPr>
          <w:rFonts w:ascii="Times New Roman" w:hAnsi="Times New Roman"/>
          <w:color w:val="000000"/>
          <w:sz w:val="18"/>
          <w:szCs w:val="18"/>
          <w:lang w:eastAsia="sk-SK"/>
        </w:rPr>
        <w:t>, pri nezmenenom legislatívnom prostredí</w:t>
      </w:r>
    </w:p>
    <w:p w14:paraId="73EFF632" w14:textId="77777777" w:rsidR="008F7EFB" w:rsidRPr="00020C88" w:rsidRDefault="008F7EFB" w:rsidP="00CB750F">
      <w:pPr>
        <w:spacing w:after="0" w:line="240" w:lineRule="auto"/>
        <w:jc w:val="both"/>
        <w:rPr>
          <w:rFonts w:ascii="Times New Roman" w:hAnsi="Times New Roman"/>
          <w:color w:val="000000"/>
          <w:sz w:val="18"/>
          <w:szCs w:val="18"/>
          <w:lang w:eastAsia="sk-SK"/>
        </w:rPr>
      </w:pPr>
    </w:p>
    <w:p w14:paraId="6551E7A8" w14:textId="08F21708" w:rsidR="008F7EFB" w:rsidRPr="00020C88" w:rsidRDefault="008F7EFB" w:rsidP="00CB750F">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Podľa údajov o hospodárení, ktoré zdravotnícke zariadenia v pravidelných intervaloch Národnému centru zdravotníckych informácií sú náklady mobilných hospicov výrazne vyššie, ako ich tržby od zdravotných poisťovní </w:t>
      </w:r>
      <w:r w:rsidR="00FB0827" w:rsidRPr="00020C88">
        <w:rPr>
          <w:rFonts w:ascii="Times New Roman" w:hAnsi="Times New Roman"/>
          <w:color w:val="000000"/>
          <w:sz w:val="18"/>
          <w:szCs w:val="18"/>
          <w:lang w:eastAsia="sk-SK"/>
        </w:rPr>
        <w:t>–</w:t>
      </w:r>
      <w:r w:rsidRPr="00020C88">
        <w:rPr>
          <w:rFonts w:ascii="Times New Roman" w:hAnsi="Times New Roman"/>
          <w:color w:val="000000"/>
          <w:sz w:val="18"/>
          <w:szCs w:val="18"/>
          <w:lang w:eastAsia="sk-SK"/>
        </w:rPr>
        <w:t xml:space="preserve"> </w:t>
      </w:r>
      <w:r w:rsidR="00FB0827" w:rsidRPr="00020C88">
        <w:rPr>
          <w:rFonts w:ascii="Times New Roman" w:hAnsi="Times New Roman"/>
          <w:color w:val="000000"/>
          <w:sz w:val="18"/>
          <w:szCs w:val="18"/>
          <w:lang w:eastAsia="sk-SK"/>
        </w:rPr>
        <w:t xml:space="preserve">za celú oblasť mobilných hospicov táto suma predstavuje </w:t>
      </w:r>
      <w:r w:rsidR="00C5582A" w:rsidRPr="00020C88">
        <w:rPr>
          <w:rFonts w:ascii="Times New Roman" w:hAnsi="Times New Roman"/>
          <w:color w:val="000000"/>
          <w:sz w:val="18"/>
          <w:szCs w:val="18"/>
          <w:lang w:eastAsia="sk-SK"/>
        </w:rPr>
        <w:t>600</w:t>
      </w:r>
      <w:r w:rsidR="00FB0827" w:rsidRPr="00020C88">
        <w:rPr>
          <w:rFonts w:ascii="Times New Roman" w:hAnsi="Times New Roman"/>
          <w:color w:val="000000"/>
          <w:sz w:val="18"/>
          <w:szCs w:val="18"/>
          <w:lang w:eastAsia="sk-SK"/>
        </w:rPr>
        <w:t> 000 eur ročne. Mobilné hospice sú nútené chýbajúce prostriedky riešiť vyššími cenami svojich služieb pre prijímateľov ich starostlivosti.</w:t>
      </w:r>
    </w:p>
    <w:p w14:paraId="4499566C" w14:textId="432D4102" w:rsidR="00FB0827" w:rsidRPr="00020C88" w:rsidRDefault="00FB0827" w:rsidP="00CB750F">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Na vyrovnanie tohto nepomeru medzi cenami, hradenými zdravotnými poisťovňami a reálnymi cenami je potrebné stanovenie výšky úhrady za návštevu.</w:t>
      </w:r>
    </w:p>
    <w:p w14:paraId="3A23AF7C" w14:textId="7F4C1415" w:rsidR="00FB0827" w:rsidRPr="00020C88" w:rsidRDefault="00FB0827" w:rsidP="00CB750F">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V zmysle vyššie uvedeného je potrebné pre rok 2020 zvýšenie tejto úhrady nasledovne:</w:t>
      </w:r>
    </w:p>
    <w:p w14:paraId="24AB64F6" w14:textId="05BF5706" w:rsidR="00FB0827" w:rsidRPr="00020C88" w:rsidRDefault="00FB0827" w:rsidP="00CB750F">
      <w:pPr>
        <w:spacing w:after="0" w:line="240" w:lineRule="auto"/>
        <w:jc w:val="both"/>
        <w:rPr>
          <w:rFonts w:ascii="Times New Roman" w:hAnsi="Times New Roman"/>
          <w:color w:val="000000"/>
          <w:sz w:val="18"/>
          <w:szCs w:val="18"/>
          <w:lang w:eastAsia="sk-SK"/>
        </w:rPr>
      </w:pPr>
    </w:p>
    <w:tbl>
      <w:tblPr>
        <w:tblW w:w="4160" w:type="dxa"/>
        <w:tblInd w:w="-10" w:type="dxa"/>
        <w:tblCellMar>
          <w:left w:w="70" w:type="dxa"/>
          <w:right w:w="70" w:type="dxa"/>
        </w:tblCellMar>
        <w:tblLook w:val="04A0" w:firstRow="1" w:lastRow="0" w:firstColumn="1" w:lastColumn="0" w:noHBand="0" w:noVBand="1"/>
      </w:tblPr>
      <w:tblGrid>
        <w:gridCol w:w="3200"/>
        <w:gridCol w:w="960"/>
      </w:tblGrid>
      <w:tr w:rsidR="00023FC4" w:rsidRPr="00020C88" w14:paraId="49F170CE" w14:textId="77777777" w:rsidTr="00023FC4">
        <w:trPr>
          <w:trHeight w:val="300"/>
        </w:trPr>
        <w:tc>
          <w:tcPr>
            <w:tcW w:w="3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D8773" w14:textId="77777777" w:rsidR="00023FC4" w:rsidRPr="00020C88" w:rsidRDefault="00023FC4" w:rsidP="00023FC4">
            <w:pPr>
              <w:spacing w:after="0" w:line="240" w:lineRule="auto"/>
              <w:jc w:val="both"/>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FE1F142"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r>
      <w:tr w:rsidR="00023FC4" w:rsidRPr="00020C88" w14:paraId="2549A445"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4E81642E"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poskytovateľov</w:t>
            </w:r>
          </w:p>
        </w:tc>
        <w:tc>
          <w:tcPr>
            <w:tcW w:w="960" w:type="dxa"/>
            <w:tcBorders>
              <w:top w:val="nil"/>
              <w:left w:val="nil"/>
              <w:bottom w:val="single" w:sz="8" w:space="0" w:color="auto"/>
              <w:right w:val="single" w:sz="8" w:space="0" w:color="auto"/>
            </w:tcBorders>
            <w:shd w:val="clear" w:color="auto" w:fill="auto"/>
            <w:vAlign w:val="center"/>
            <w:hideMark/>
          </w:tcPr>
          <w:p w14:paraId="54ED0E47"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9</w:t>
            </w:r>
          </w:p>
        </w:tc>
      </w:tr>
      <w:tr w:rsidR="00023FC4" w:rsidRPr="00020C88" w14:paraId="2EA73AC8"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52FA2D1"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pacientov</w:t>
            </w:r>
          </w:p>
        </w:tc>
        <w:tc>
          <w:tcPr>
            <w:tcW w:w="960" w:type="dxa"/>
            <w:tcBorders>
              <w:top w:val="nil"/>
              <w:left w:val="nil"/>
              <w:bottom w:val="single" w:sz="8" w:space="0" w:color="auto"/>
              <w:right w:val="single" w:sz="8" w:space="0" w:color="auto"/>
            </w:tcBorders>
            <w:shd w:val="clear" w:color="auto" w:fill="auto"/>
            <w:vAlign w:val="center"/>
            <w:hideMark/>
          </w:tcPr>
          <w:p w14:paraId="5F85E4CB"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700</w:t>
            </w:r>
          </w:p>
        </w:tc>
      </w:tr>
      <w:tr w:rsidR="00023FC4" w:rsidRPr="00020C88" w14:paraId="1F1EB55C"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6086C7DF"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návštev pri nezmenenom stave</w:t>
            </w:r>
          </w:p>
        </w:tc>
        <w:tc>
          <w:tcPr>
            <w:tcW w:w="960" w:type="dxa"/>
            <w:tcBorders>
              <w:top w:val="nil"/>
              <w:left w:val="nil"/>
              <w:bottom w:val="single" w:sz="8" w:space="0" w:color="auto"/>
              <w:right w:val="single" w:sz="8" w:space="0" w:color="auto"/>
            </w:tcBorders>
            <w:shd w:val="clear" w:color="auto" w:fill="auto"/>
            <w:vAlign w:val="center"/>
            <w:hideMark/>
          </w:tcPr>
          <w:p w14:paraId="2DAE9F36"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11 900</w:t>
            </w:r>
          </w:p>
        </w:tc>
      </w:tr>
      <w:tr w:rsidR="00023FC4" w:rsidRPr="00020C88" w14:paraId="4EC4EC65" w14:textId="77777777" w:rsidTr="00023FC4">
        <w:trPr>
          <w:trHeight w:val="47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78203C9F"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Priemerná úhrada za návštevu pri nezmenenom stave</w:t>
            </w:r>
          </w:p>
        </w:tc>
        <w:tc>
          <w:tcPr>
            <w:tcW w:w="960" w:type="dxa"/>
            <w:tcBorders>
              <w:top w:val="nil"/>
              <w:left w:val="nil"/>
              <w:bottom w:val="single" w:sz="8" w:space="0" w:color="auto"/>
              <w:right w:val="single" w:sz="8" w:space="0" w:color="auto"/>
            </w:tcBorders>
            <w:shd w:val="clear" w:color="auto" w:fill="auto"/>
            <w:vAlign w:val="center"/>
            <w:hideMark/>
          </w:tcPr>
          <w:p w14:paraId="07C2946E"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14 €</w:t>
            </w:r>
          </w:p>
        </w:tc>
      </w:tr>
      <w:tr w:rsidR="00023FC4" w:rsidRPr="00020C88" w14:paraId="6D8009CD" w14:textId="77777777" w:rsidTr="00023FC4">
        <w:trPr>
          <w:trHeight w:val="47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73ADAD83"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Celkové úhrady od ZP pri nezmenenom stave</w:t>
            </w:r>
          </w:p>
        </w:tc>
        <w:tc>
          <w:tcPr>
            <w:tcW w:w="960" w:type="dxa"/>
            <w:tcBorders>
              <w:top w:val="nil"/>
              <w:left w:val="nil"/>
              <w:bottom w:val="single" w:sz="8" w:space="0" w:color="auto"/>
              <w:right w:val="single" w:sz="8" w:space="0" w:color="auto"/>
            </w:tcBorders>
            <w:shd w:val="clear" w:color="auto" w:fill="auto"/>
            <w:vAlign w:val="center"/>
            <w:hideMark/>
          </w:tcPr>
          <w:p w14:paraId="68E67E16"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166 600 €</w:t>
            </w:r>
          </w:p>
        </w:tc>
      </w:tr>
      <w:tr w:rsidR="00023FC4" w:rsidRPr="00020C88" w14:paraId="6DBD4F9B" w14:textId="77777777" w:rsidTr="00023FC4">
        <w:trPr>
          <w:trHeight w:val="47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6404E852"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Náklady mobilného hospicu pri nezmenenom stave</w:t>
            </w:r>
          </w:p>
        </w:tc>
        <w:tc>
          <w:tcPr>
            <w:tcW w:w="960" w:type="dxa"/>
            <w:tcBorders>
              <w:top w:val="nil"/>
              <w:left w:val="nil"/>
              <w:bottom w:val="single" w:sz="8" w:space="0" w:color="auto"/>
              <w:right w:val="single" w:sz="8" w:space="0" w:color="auto"/>
            </w:tcBorders>
            <w:shd w:val="clear" w:color="auto" w:fill="auto"/>
            <w:vAlign w:val="center"/>
            <w:hideMark/>
          </w:tcPr>
          <w:p w14:paraId="2B516C87"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600 000 €</w:t>
            </w:r>
          </w:p>
        </w:tc>
      </w:tr>
      <w:tr w:rsidR="00023FC4" w:rsidRPr="00020C88" w14:paraId="6C47EC6F"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2A3E1FA"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Celkový rozdiel (potrebné vyrovnať)</w:t>
            </w:r>
          </w:p>
        </w:tc>
        <w:tc>
          <w:tcPr>
            <w:tcW w:w="960" w:type="dxa"/>
            <w:tcBorders>
              <w:top w:val="nil"/>
              <w:left w:val="nil"/>
              <w:bottom w:val="single" w:sz="8" w:space="0" w:color="auto"/>
              <w:right w:val="single" w:sz="8" w:space="0" w:color="auto"/>
            </w:tcBorders>
            <w:shd w:val="clear" w:color="auto" w:fill="auto"/>
            <w:vAlign w:val="center"/>
            <w:hideMark/>
          </w:tcPr>
          <w:p w14:paraId="3420E041"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FF0000"/>
                <w:sz w:val="18"/>
                <w:szCs w:val="18"/>
                <w:lang w:eastAsia="sk-SK"/>
              </w:rPr>
              <w:t>-433 400 €</w:t>
            </w:r>
          </w:p>
        </w:tc>
      </w:tr>
      <w:tr w:rsidR="00023FC4" w:rsidRPr="00020C88" w14:paraId="2CB482EE"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E4661D3"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Rozdiel na 1 návštevu</w:t>
            </w:r>
          </w:p>
        </w:tc>
        <w:tc>
          <w:tcPr>
            <w:tcW w:w="960" w:type="dxa"/>
            <w:tcBorders>
              <w:top w:val="nil"/>
              <w:left w:val="nil"/>
              <w:bottom w:val="single" w:sz="8" w:space="0" w:color="auto"/>
              <w:right w:val="single" w:sz="8" w:space="0" w:color="auto"/>
            </w:tcBorders>
            <w:shd w:val="clear" w:color="auto" w:fill="auto"/>
            <w:vAlign w:val="center"/>
            <w:hideMark/>
          </w:tcPr>
          <w:p w14:paraId="0D23AD1A" w14:textId="77777777" w:rsidR="00023FC4" w:rsidRPr="00020C88" w:rsidRDefault="00023FC4" w:rsidP="00023FC4">
            <w:pPr>
              <w:spacing w:after="0" w:line="240" w:lineRule="auto"/>
              <w:ind w:firstLineChars="200" w:firstLine="360"/>
              <w:jc w:val="right"/>
              <w:rPr>
                <w:rFonts w:ascii="Times New Roman" w:hAnsi="Times New Roman"/>
                <w:color w:val="000000"/>
                <w:sz w:val="18"/>
                <w:szCs w:val="18"/>
                <w:lang w:eastAsia="sk-SK"/>
              </w:rPr>
            </w:pPr>
            <w:r w:rsidRPr="00020C88">
              <w:rPr>
                <w:rFonts w:ascii="Times New Roman" w:hAnsi="Times New Roman"/>
                <w:color w:val="FF0000"/>
                <w:sz w:val="18"/>
                <w:szCs w:val="18"/>
                <w:lang w:eastAsia="sk-SK"/>
              </w:rPr>
              <w:t>-36 €</w:t>
            </w:r>
          </w:p>
        </w:tc>
      </w:tr>
      <w:tr w:rsidR="00023FC4" w:rsidRPr="00020C88" w14:paraId="10E2F33E" w14:textId="77777777" w:rsidTr="00023FC4">
        <w:trPr>
          <w:trHeight w:val="47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240FBF0D"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Navrhovaná úhrada za návštevu (36 € +14 €)</w:t>
            </w:r>
          </w:p>
        </w:tc>
        <w:tc>
          <w:tcPr>
            <w:tcW w:w="960" w:type="dxa"/>
            <w:tcBorders>
              <w:top w:val="nil"/>
              <w:left w:val="nil"/>
              <w:bottom w:val="single" w:sz="8" w:space="0" w:color="auto"/>
              <w:right w:val="single" w:sz="8" w:space="0" w:color="auto"/>
            </w:tcBorders>
            <w:shd w:val="clear" w:color="auto" w:fill="auto"/>
            <w:vAlign w:val="center"/>
            <w:hideMark/>
          </w:tcPr>
          <w:p w14:paraId="0B21205B"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50 €</w:t>
            </w:r>
          </w:p>
        </w:tc>
      </w:tr>
      <w:tr w:rsidR="00023FC4" w:rsidRPr="00020C88" w14:paraId="09044B6F" w14:textId="77777777" w:rsidTr="00023FC4">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6D9A3D21"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návštev po navrhovanej úprave</w:t>
            </w:r>
          </w:p>
        </w:tc>
        <w:tc>
          <w:tcPr>
            <w:tcW w:w="960" w:type="dxa"/>
            <w:tcBorders>
              <w:top w:val="nil"/>
              <w:left w:val="nil"/>
              <w:bottom w:val="single" w:sz="8" w:space="0" w:color="auto"/>
              <w:right w:val="single" w:sz="8" w:space="0" w:color="auto"/>
            </w:tcBorders>
            <w:shd w:val="clear" w:color="auto" w:fill="auto"/>
            <w:vAlign w:val="center"/>
            <w:hideMark/>
          </w:tcPr>
          <w:p w14:paraId="51281040"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15 300</w:t>
            </w:r>
          </w:p>
        </w:tc>
      </w:tr>
      <w:tr w:rsidR="00023FC4" w:rsidRPr="00020C88" w14:paraId="5734B508" w14:textId="77777777" w:rsidTr="00023FC4">
        <w:trPr>
          <w:trHeight w:val="47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04CE8F2F"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Celkové úhrady od ZP po navrhovanej úprave</w:t>
            </w:r>
          </w:p>
        </w:tc>
        <w:tc>
          <w:tcPr>
            <w:tcW w:w="960" w:type="dxa"/>
            <w:tcBorders>
              <w:top w:val="nil"/>
              <w:left w:val="nil"/>
              <w:bottom w:val="single" w:sz="8" w:space="0" w:color="auto"/>
              <w:right w:val="single" w:sz="8" w:space="0" w:color="auto"/>
            </w:tcBorders>
            <w:shd w:val="clear" w:color="auto" w:fill="auto"/>
            <w:vAlign w:val="center"/>
            <w:hideMark/>
          </w:tcPr>
          <w:p w14:paraId="0357B7D9"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765 000 €</w:t>
            </w:r>
          </w:p>
        </w:tc>
      </w:tr>
    </w:tbl>
    <w:p w14:paraId="187A2E11" w14:textId="77777777" w:rsidR="00FB0827" w:rsidRPr="00020C88" w:rsidRDefault="00FB0827" w:rsidP="00CB750F">
      <w:pPr>
        <w:spacing w:after="0" w:line="240" w:lineRule="auto"/>
        <w:jc w:val="both"/>
        <w:rPr>
          <w:rFonts w:ascii="Times New Roman" w:hAnsi="Times New Roman"/>
          <w:color w:val="000000"/>
          <w:sz w:val="18"/>
          <w:szCs w:val="18"/>
          <w:lang w:eastAsia="sk-SK"/>
        </w:rPr>
      </w:pPr>
    </w:p>
    <w:p w14:paraId="4F0E147B" w14:textId="3B8867A1" w:rsidR="008F7EFB" w:rsidRPr="00020C88" w:rsidRDefault="008F7EFB" w:rsidP="00CB750F">
      <w:pPr>
        <w:spacing w:after="0" w:line="240" w:lineRule="auto"/>
        <w:jc w:val="both"/>
        <w:rPr>
          <w:rFonts w:ascii="Times New Roman" w:hAnsi="Times New Roman"/>
          <w:color w:val="000000"/>
          <w:sz w:val="18"/>
          <w:szCs w:val="18"/>
          <w:lang w:eastAsia="sk-SK"/>
        </w:rPr>
      </w:pPr>
    </w:p>
    <w:p w14:paraId="7AFC67CC" w14:textId="21BEFF3A" w:rsidR="006B436A" w:rsidRPr="00020C88" w:rsidRDefault="006B436A" w:rsidP="00CB750F">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 zvýšení ceny, hradenej zdravotnou poisťovňou je predpoklad sprístupnenia služieb aj pre skupiny obyvateľstva, pre ktoré boli súčasné ceny nedostupné a teda predpokladáme aj nárast návštev.</w:t>
      </w:r>
      <w:r w:rsidR="00995C98" w:rsidRPr="00020C88">
        <w:rPr>
          <w:rFonts w:ascii="Times New Roman" w:hAnsi="Times New Roman"/>
          <w:color w:val="000000"/>
          <w:sz w:val="18"/>
          <w:szCs w:val="18"/>
          <w:lang w:eastAsia="sk-SK"/>
        </w:rPr>
        <w:t xml:space="preserve"> Suma 50 eur bola zvýšená po konzultáciách s poskytovateľmi mobilných hospicov a po analýze ich ekonomicky oprávnených nákladov. </w:t>
      </w:r>
    </w:p>
    <w:p w14:paraId="2C6569CD" w14:textId="69927644" w:rsidR="008F7EFB" w:rsidRPr="00020C88" w:rsidRDefault="008F7EFB" w:rsidP="00CB750F">
      <w:pPr>
        <w:spacing w:after="0" w:line="240" w:lineRule="auto"/>
        <w:jc w:val="both"/>
        <w:rPr>
          <w:rFonts w:ascii="Times New Roman" w:hAnsi="Times New Roman"/>
          <w:color w:val="000000"/>
          <w:sz w:val="18"/>
          <w:szCs w:val="18"/>
          <w:lang w:eastAsia="sk-SK"/>
        </w:rPr>
      </w:pPr>
    </w:p>
    <w:p w14:paraId="32CFFD86" w14:textId="77777777" w:rsidR="008F7EFB" w:rsidRPr="00020C88" w:rsidRDefault="008F7EFB" w:rsidP="00CB750F">
      <w:pPr>
        <w:spacing w:after="0" w:line="240" w:lineRule="auto"/>
        <w:jc w:val="both"/>
        <w:rPr>
          <w:rFonts w:ascii="Times New Roman" w:hAnsi="Times New Roman"/>
          <w:color w:val="000000"/>
          <w:sz w:val="18"/>
          <w:szCs w:val="18"/>
          <w:lang w:eastAsia="sk-SK"/>
        </w:rPr>
      </w:pPr>
    </w:p>
    <w:p w14:paraId="26D6BFCC" w14:textId="4396766B" w:rsidR="008F7EFB" w:rsidRPr="00020C88" w:rsidRDefault="008F7EFB" w:rsidP="00CB750F">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Cieľový stav:</w:t>
      </w:r>
    </w:p>
    <w:tbl>
      <w:tblPr>
        <w:tblW w:w="6080" w:type="dxa"/>
        <w:tblInd w:w="-10" w:type="dxa"/>
        <w:tblCellMar>
          <w:left w:w="70" w:type="dxa"/>
          <w:right w:w="70" w:type="dxa"/>
        </w:tblCellMar>
        <w:tblLook w:val="04A0" w:firstRow="1" w:lastRow="0" w:firstColumn="1" w:lastColumn="0" w:noHBand="0" w:noVBand="1"/>
      </w:tblPr>
      <w:tblGrid>
        <w:gridCol w:w="3200"/>
        <w:gridCol w:w="960"/>
        <w:gridCol w:w="960"/>
        <w:gridCol w:w="960"/>
      </w:tblGrid>
      <w:tr w:rsidR="0074768C" w:rsidRPr="00020C88" w14:paraId="791F727F" w14:textId="77777777" w:rsidTr="0074768C">
        <w:trPr>
          <w:trHeight w:val="300"/>
        </w:trPr>
        <w:tc>
          <w:tcPr>
            <w:tcW w:w="3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36AF72" w14:textId="77777777" w:rsidR="0074768C" w:rsidRPr="00020C88" w:rsidRDefault="0074768C" w:rsidP="0074768C">
            <w:pPr>
              <w:spacing w:after="0" w:line="240" w:lineRule="auto"/>
              <w:jc w:val="both"/>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AF57DB0" w14:textId="77777777" w:rsidR="0074768C" w:rsidRPr="00020C88" w:rsidRDefault="0074768C" w:rsidP="0074768C">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6E3712E" w14:textId="77777777" w:rsidR="0074768C" w:rsidRPr="00020C88" w:rsidRDefault="0074768C" w:rsidP="0074768C">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E799394" w14:textId="77777777" w:rsidR="0074768C" w:rsidRPr="00020C88" w:rsidRDefault="0074768C" w:rsidP="0074768C">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r>
      <w:tr w:rsidR="0074768C" w:rsidRPr="00020C88" w14:paraId="5867660A"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46787B41" w14:textId="77777777" w:rsidR="0074768C" w:rsidRPr="00020C88" w:rsidRDefault="0074768C" w:rsidP="0074768C">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poskytovateľov</w:t>
            </w:r>
          </w:p>
        </w:tc>
        <w:tc>
          <w:tcPr>
            <w:tcW w:w="960" w:type="dxa"/>
            <w:tcBorders>
              <w:top w:val="nil"/>
              <w:left w:val="nil"/>
              <w:bottom w:val="single" w:sz="8" w:space="0" w:color="auto"/>
              <w:right w:val="single" w:sz="8" w:space="0" w:color="auto"/>
            </w:tcBorders>
            <w:shd w:val="clear" w:color="auto" w:fill="auto"/>
            <w:noWrap/>
            <w:vAlign w:val="center"/>
            <w:hideMark/>
          </w:tcPr>
          <w:p w14:paraId="171D560A"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10</w:t>
            </w:r>
          </w:p>
        </w:tc>
        <w:tc>
          <w:tcPr>
            <w:tcW w:w="960" w:type="dxa"/>
            <w:tcBorders>
              <w:top w:val="nil"/>
              <w:left w:val="nil"/>
              <w:bottom w:val="single" w:sz="8" w:space="0" w:color="auto"/>
              <w:right w:val="single" w:sz="8" w:space="0" w:color="auto"/>
            </w:tcBorders>
            <w:shd w:val="clear" w:color="auto" w:fill="auto"/>
            <w:noWrap/>
            <w:vAlign w:val="center"/>
            <w:hideMark/>
          </w:tcPr>
          <w:p w14:paraId="5B7A86E9"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12</w:t>
            </w:r>
          </w:p>
        </w:tc>
        <w:tc>
          <w:tcPr>
            <w:tcW w:w="960" w:type="dxa"/>
            <w:tcBorders>
              <w:top w:val="nil"/>
              <w:left w:val="nil"/>
              <w:bottom w:val="single" w:sz="8" w:space="0" w:color="auto"/>
              <w:right w:val="single" w:sz="8" w:space="0" w:color="auto"/>
            </w:tcBorders>
            <w:shd w:val="clear" w:color="auto" w:fill="auto"/>
            <w:noWrap/>
            <w:vAlign w:val="center"/>
            <w:hideMark/>
          </w:tcPr>
          <w:p w14:paraId="06968B37"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r>
      <w:tr w:rsidR="0074768C" w:rsidRPr="00020C88" w14:paraId="00B78933"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1C27C28" w14:textId="77777777" w:rsidR="0074768C" w:rsidRPr="00020C88" w:rsidRDefault="0074768C" w:rsidP="0074768C">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pacientov</w:t>
            </w:r>
          </w:p>
        </w:tc>
        <w:tc>
          <w:tcPr>
            <w:tcW w:w="960" w:type="dxa"/>
            <w:tcBorders>
              <w:top w:val="nil"/>
              <w:left w:val="nil"/>
              <w:bottom w:val="single" w:sz="8" w:space="0" w:color="auto"/>
              <w:right w:val="single" w:sz="8" w:space="0" w:color="auto"/>
            </w:tcBorders>
            <w:shd w:val="clear" w:color="auto" w:fill="auto"/>
            <w:noWrap/>
            <w:vAlign w:val="center"/>
            <w:hideMark/>
          </w:tcPr>
          <w:p w14:paraId="6D21BAEF"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900</w:t>
            </w:r>
          </w:p>
        </w:tc>
        <w:tc>
          <w:tcPr>
            <w:tcW w:w="960" w:type="dxa"/>
            <w:tcBorders>
              <w:top w:val="nil"/>
              <w:left w:val="nil"/>
              <w:bottom w:val="single" w:sz="8" w:space="0" w:color="auto"/>
              <w:right w:val="single" w:sz="8" w:space="0" w:color="auto"/>
            </w:tcBorders>
            <w:shd w:val="clear" w:color="auto" w:fill="auto"/>
            <w:noWrap/>
            <w:vAlign w:val="center"/>
            <w:hideMark/>
          </w:tcPr>
          <w:p w14:paraId="420D49B3"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1 200</w:t>
            </w:r>
          </w:p>
        </w:tc>
        <w:tc>
          <w:tcPr>
            <w:tcW w:w="960" w:type="dxa"/>
            <w:tcBorders>
              <w:top w:val="nil"/>
              <w:left w:val="nil"/>
              <w:bottom w:val="single" w:sz="8" w:space="0" w:color="auto"/>
              <w:right w:val="single" w:sz="8" w:space="0" w:color="auto"/>
            </w:tcBorders>
            <w:shd w:val="clear" w:color="auto" w:fill="auto"/>
            <w:noWrap/>
            <w:vAlign w:val="center"/>
            <w:hideMark/>
          </w:tcPr>
          <w:p w14:paraId="12D14101"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1 500</w:t>
            </w:r>
          </w:p>
        </w:tc>
      </w:tr>
      <w:tr w:rsidR="0074768C" w:rsidRPr="00020C88" w14:paraId="08B4D448"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C172818" w14:textId="77777777" w:rsidR="0074768C" w:rsidRPr="00020C88" w:rsidRDefault="0074768C" w:rsidP="0074768C">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návštev</w:t>
            </w:r>
          </w:p>
        </w:tc>
        <w:tc>
          <w:tcPr>
            <w:tcW w:w="960" w:type="dxa"/>
            <w:tcBorders>
              <w:top w:val="nil"/>
              <w:left w:val="nil"/>
              <w:bottom w:val="single" w:sz="8" w:space="0" w:color="auto"/>
              <w:right w:val="single" w:sz="8" w:space="0" w:color="auto"/>
            </w:tcBorders>
            <w:shd w:val="clear" w:color="auto" w:fill="auto"/>
            <w:noWrap/>
            <w:vAlign w:val="center"/>
            <w:hideMark/>
          </w:tcPr>
          <w:p w14:paraId="3F69EDE5"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15 300</w:t>
            </w:r>
          </w:p>
        </w:tc>
        <w:tc>
          <w:tcPr>
            <w:tcW w:w="960" w:type="dxa"/>
            <w:tcBorders>
              <w:top w:val="nil"/>
              <w:left w:val="nil"/>
              <w:bottom w:val="single" w:sz="8" w:space="0" w:color="auto"/>
              <w:right w:val="single" w:sz="8" w:space="0" w:color="auto"/>
            </w:tcBorders>
            <w:shd w:val="clear" w:color="auto" w:fill="auto"/>
            <w:noWrap/>
            <w:vAlign w:val="center"/>
            <w:hideMark/>
          </w:tcPr>
          <w:p w14:paraId="5DD852FA"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20 400</w:t>
            </w:r>
          </w:p>
        </w:tc>
        <w:tc>
          <w:tcPr>
            <w:tcW w:w="960" w:type="dxa"/>
            <w:tcBorders>
              <w:top w:val="nil"/>
              <w:left w:val="nil"/>
              <w:bottom w:val="single" w:sz="8" w:space="0" w:color="auto"/>
              <w:right w:val="single" w:sz="8" w:space="0" w:color="auto"/>
            </w:tcBorders>
            <w:shd w:val="clear" w:color="auto" w:fill="auto"/>
            <w:noWrap/>
            <w:vAlign w:val="center"/>
            <w:hideMark/>
          </w:tcPr>
          <w:p w14:paraId="4EF42ED1"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25 500</w:t>
            </w:r>
          </w:p>
        </w:tc>
      </w:tr>
      <w:tr w:rsidR="0074768C" w:rsidRPr="00020C88" w14:paraId="11EDDC4D"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C408528" w14:textId="77777777" w:rsidR="0074768C" w:rsidRPr="00020C88" w:rsidRDefault="0074768C" w:rsidP="0074768C">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Úhrady od ZP za návštevy</w:t>
            </w:r>
          </w:p>
        </w:tc>
        <w:tc>
          <w:tcPr>
            <w:tcW w:w="960" w:type="dxa"/>
            <w:tcBorders>
              <w:top w:val="nil"/>
              <w:left w:val="nil"/>
              <w:bottom w:val="single" w:sz="8" w:space="0" w:color="auto"/>
              <w:right w:val="single" w:sz="8" w:space="0" w:color="auto"/>
            </w:tcBorders>
            <w:shd w:val="clear" w:color="auto" w:fill="auto"/>
            <w:noWrap/>
            <w:vAlign w:val="center"/>
            <w:hideMark/>
          </w:tcPr>
          <w:p w14:paraId="72410F71"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765 000 €</w:t>
            </w:r>
          </w:p>
        </w:tc>
        <w:tc>
          <w:tcPr>
            <w:tcW w:w="960" w:type="dxa"/>
            <w:tcBorders>
              <w:top w:val="nil"/>
              <w:left w:val="nil"/>
              <w:bottom w:val="single" w:sz="8" w:space="0" w:color="auto"/>
              <w:right w:val="single" w:sz="8" w:space="0" w:color="auto"/>
            </w:tcBorders>
            <w:shd w:val="clear" w:color="auto" w:fill="auto"/>
            <w:noWrap/>
            <w:vAlign w:val="center"/>
            <w:hideMark/>
          </w:tcPr>
          <w:p w14:paraId="44FA5FEE"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1 101 600 €</w:t>
            </w:r>
          </w:p>
        </w:tc>
        <w:tc>
          <w:tcPr>
            <w:tcW w:w="960" w:type="dxa"/>
            <w:tcBorders>
              <w:top w:val="nil"/>
              <w:left w:val="nil"/>
              <w:bottom w:val="single" w:sz="8" w:space="0" w:color="auto"/>
              <w:right w:val="single" w:sz="8" w:space="0" w:color="auto"/>
            </w:tcBorders>
            <w:shd w:val="clear" w:color="auto" w:fill="auto"/>
            <w:noWrap/>
            <w:vAlign w:val="center"/>
            <w:hideMark/>
          </w:tcPr>
          <w:p w14:paraId="543F0D4B"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1 479 000 €</w:t>
            </w:r>
          </w:p>
        </w:tc>
      </w:tr>
      <w:tr w:rsidR="0074768C" w:rsidRPr="00020C88" w14:paraId="39665B1F"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6D293895" w14:textId="77777777" w:rsidR="0074768C" w:rsidRPr="00020C88" w:rsidRDefault="0074768C" w:rsidP="0074768C">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Priemerná úhrada za návštevu</w:t>
            </w:r>
          </w:p>
        </w:tc>
        <w:tc>
          <w:tcPr>
            <w:tcW w:w="960" w:type="dxa"/>
            <w:tcBorders>
              <w:top w:val="nil"/>
              <w:left w:val="nil"/>
              <w:bottom w:val="single" w:sz="8" w:space="0" w:color="auto"/>
              <w:right w:val="single" w:sz="8" w:space="0" w:color="auto"/>
            </w:tcBorders>
            <w:shd w:val="clear" w:color="auto" w:fill="auto"/>
            <w:noWrap/>
            <w:vAlign w:val="center"/>
            <w:hideMark/>
          </w:tcPr>
          <w:p w14:paraId="616C9853"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50 €</w:t>
            </w:r>
          </w:p>
        </w:tc>
        <w:tc>
          <w:tcPr>
            <w:tcW w:w="960" w:type="dxa"/>
            <w:tcBorders>
              <w:top w:val="nil"/>
              <w:left w:val="nil"/>
              <w:bottom w:val="single" w:sz="8" w:space="0" w:color="auto"/>
              <w:right w:val="single" w:sz="8" w:space="0" w:color="auto"/>
            </w:tcBorders>
            <w:shd w:val="clear" w:color="auto" w:fill="auto"/>
            <w:noWrap/>
            <w:vAlign w:val="center"/>
            <w:hideMark/>
          </w:tcPr>
          <w:p w14:paraId="1E1C8D15"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54 €</w:t>
            </w:r>
          </w:p>
        </w:tc>
        <w:tc>
          <w:tcPr>
            <w:tcW w:w="960" w:type="dxa"/>
            <w:tcBorders>
              <w:top w:val="nil"/>
              <w:left w:val="nil"/>
              <w:bottom w:val="single" w:sz="8" w:space="0" w:color="auto"/>
              <w:right w:val="single" w:sz="8" w:space="0" w:color="auto"/>
            </w:tcBorders>
            <w:shd w:val="clear" w:color="auto" w:fill="auto"/>
            <w:noWrap/>
            <w:vAlign w:val="center"/>
            <w:hideMark/>
          </w:tcPr>
          <w:p w14:paraId="485D2BCE"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58 €</w:t>
            </w:r>
          </w:p>
        </w:tc>
      </w:tr>
      <w:tr w:rsidR="0074768C" w:rsidRPr="00020C88" w14:paraId="307431DD"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26C29393" w14:textId="77777777" w:rsidR="0074768C" w:rsidRPr="00020C88" w:rsidRDefault="0074768C" w:rsidP="0074768C">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lastRenderedPageBreak/>
              <w:t>Počet návštev u 1 pacienta</w:t>
            </w:r>
          </w:p>
        </w:tc>
        <w:tc>
          <w:tcPr>
            <w:tcW w:w="960" w:type="dxa"/>
            <w:tcBorders>
              <w:top w:val="nil"/>
              <w:left w:val="nil"/>
              <w:bottom w:val="single" w:sz="8" w:space="0" w:color="auto"/>
              <w:right w:val="single" w:sz="8" w:space="0" w:color="auto"/>
            </w:tcBorders>
            <w:shd w:val="clear" w:color="auto" w:fill="auto"/>
            <w:noWrap/>
            <w:vAlign w:val="center"/>
            <w:hideMark/>
          </w:tcPr>
          <w:p w14:paraId="11A423AE"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noWrap/>
            <w:vAlign w:val="center"/>
            <w:hideMark/>
          </w:tcPr>
          <w:p w14:paraId="60F9834E"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c>
          <w:tcPr>
            <w:tcW w:w="960" w:type="dxa"/>
            <w:tcBorders>
              <w:top w:val="nil"/>
              <w:left w:val="nil"/>
              <w:bottom w:val="single" w:sz="8" w:space="0" w:color="auto"/>
              <w:right w:val="single" w:sz="8" w:space="0" w:color="auto"/>
            </w:tcBorders>
            <w:shd w:val="clear" w:color="auto" w:fill="auto"/>
            <w:noWrap/>
            <w:vAlign w:val="center"/>
            <w:hideMark/>
          </w:tcPr>
          <w:p w14:paraId="5F2F30E9"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w:t>
            </w:r>
          </w:p>
        </w:tc>
      </w:tr>
      <w:tr w:rsidR="0074768C" w:rsidRPr="00020C88" w14:paraId="2E5549DC"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74A9AF3E" w14:textId="77777777" w:rsidR="0074768C" w:rsidRPr="00020C88" w:rsidRDefault="0074768C" w:rsidP="0074768C">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Cena za dopravu - 2,75 € za návštevu</w:t>
            </w:r>
          </w:p>
        </w:tc>
        <w:tc>
          <w:tcPr>
            <w:tcW w:w="960" w:type="dxa"/>
            <w:tcBorders>
              <w:top w:val="nil"/>
              <w:left w:val="nil"/>
              <w:bottom w:val="single" w:sz="8" w:space="0" w:color="auto"/>
              <w:right w:val="single" w:sz="8" w:space="0" w:color="auto"/>
            </w:tcBorders>
            <w:shd w:val="clear" w:color="auto" w:fill="auto"/>
            <w:noWrap/>
            <w:vAlign w:val="center"/>
            <w:hideMark/>
          </w:tcPr>
          <w:p w14:paraId="2CB4D410"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42 075 €</w:t>
            </w:r>
          </w:p>
        </w:tc>
        <w:tc>
          <w:tcPr>
            <w:tcW w:w="960" w:type="dxa"/>
            <w:tcBorders>
              <w:top w:val="nil"/>
              <w:left w:val="nil"/>
              <w:bottom w:val="single" w:sz="8" w:space="0" w:color="auto"/>
              <w:right w:val="single" w:sz="8" w:space="0" w:color="auto"/>
            </w:tcBorders>
            <w:shd w:val="clear" w:color="auto" w:fill="auto"/>
            <w:noWrap/>
            <w:vAlign w:val="center"/>
            <w:hideMark/>
          </w:tcPr>
          <w:p w14:paraId="30382B14"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56 100 €</w:t>
            </w:r>
          </w:p>
        </w:tc>
        <w:tc>
          <w:tcPr>
            <w:tcW w:w="960" w:type="dxa"/>
            <w:tcBorders>
              <w:top w:val="nil"/>
              <w:left w:val="nil"/>
              <w:bottom w:val="single" w:sz="8" w:space="0" w:color="auto"/>
              <w:right w:val="single" w:sz="8" w:space="0" w:color="auto"/>
            </w:tcBorders>
            <w:shd w:val="clear" w:color="auto" w:fill="auto"/>
            <w:noWrap/>
            <w:vAlign w:val="center"/>
            <w:hideMark/>
          </w:tcPr>
          <w:p w14:paraId="75D959C1"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70 125 €</w:t>
            </w:r>
          </w:p>
        </w:tc>
      </w:tr>
      <w:tr w:rsidR="0074768C" w:rsidRPr="00020C88" w14:paraId="18798BB3"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8FF436F" w14:textId="77777777" w:rsidR="0074768C" w:rsidRPr="00020C88" w:rsidRDefault="0074768C" w:rsidP="0074768C">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Celková úhrada od ZP po legislatívnej zmene</w:t>
            </w:r>
          </w:p>
        </w:tc>
        <w:tc>
          <w:tcPr>
            <w:tcW w:w="960" w:type="dxa"/>
            <w:tcBorders>
              <w:top w:val="nil"/>
              <w:left w:val="nil"/>
              <w:bottom w:val="single" w:sz="8" w:space="0" w:color="auto"/>
              <w:right w:val="single" w:sz="8" w:space="0" w:color="auto"/>
            </w:tcBorders>
            <w:shd w:val="clear" w:color="auto" w:fill="auto"/>
            <w:noWrap/>
            <w:vAlign w:val="center"/>
            <w:hideMark/>
          </w:tcPr>
          <w:p w14:paraId="13CAA9E1" w14:textId="77777777" w:rsidR="0074768C" w:rsidRPr="00020C88" w:rsidRDefault="0074768C" w:rsidP="0074768C">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807 075 €</w:t>
            </w:r>
          </w:p>
        </w:tc>
        <w:tc>
          <w:tcPr>
            <w:tcW w:w="960" w:type="dxa"/>
            <w:tcBorders>
              <w:top w:val="nil"/>
              <w:left w:val="nil"/>
              <w:bottom w:val="single" w:sz="8" w:space="0" w:color="auto"/>
              <w:right w:val="single" w:sz="8" w:space="0" w:color="auto"/>
            </w:tcBorders>
            <w:shd w:val="clear" w:color="auto" w:fill="auto"/>
            <w:noWrap/>
            <w:vAlign w:val="center"/>
            <w:hideMark/>
          </w:tcPr>
          <w:p w14:paraId="60E3EB30" w14:textId="77777777" w:rsidR="0074768C" w:rsidRPr="00020C88" w:rsidRDefault="0074768C" w:rsidP="0074768C">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1 157 700 €</w:t>
            </w:r>
          </w:p>
        </w:tc>
        <w:tc>
          <w:tcPr>
            <w:tcW w:w="960" w:type="dxa"/>
            <w:tcBorders>
              <w:top w:val="nil"/>
              <w:left w:val="nil"/>
              <w:bottom w:val="single" w:sz="8" w:space="0" w:color="auto"/>
              <w:right w:val="single" w:sz="8" w:space="0" w:color="auto"/>
            </w:tcBorders>
            <w:shd w:val="clear" w:color="auto" w:fill="auto"/>
            <w:noWrap/>
            <w:vAlign w:val="center"/>
            <w:hideMark/>
          </w:tcPr>
          <w:p w14:paraId="22C27119" w14:textId="77777777" w:rsidR="0074768C" w:rsidRPr="00020C88" w:rsidRDefault="0074768C" w:rsidP="0074768C">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1 549 125 €</w:t>
            </w:r>
          </w:p>
        </w:tc>
      </w:tr>
      <w:tr w:rsidR="0074768C" w:rsidRPr="00020C88" w14:paraId="127226FB" w14:textId="77777777" w:rsidTr="0074768C">
        <w:trPr>
          <w:trHeight w:val="30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09F10DAD" w14:textId="77777777" w:rsidR="0074768C" w:rsidRPr="00020C88" w:rsidRDefault="0074768C" w:rsidP="0074768C">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Celková úhrada od ZP bez legislatívnej zmeny</w:t>
            </w:r>
          </w:p>
        </w:tc>
        <w:tc>
          <w:tcPr>
            <w:tcW w:w="960" w:type="dxa"/>
            <w:tcBorders>
              <w:top w:val="nil"/>
              <w:left w:val="nil"/>
              <w:bottom w:val="single" w:sz="8" w:space="0" w:color="auto"/>
              <w:right w:val="single" w:sz="8" w:space="0" w:color="auto"/>
            </w:tcBorders>
            <w:shd w:val="clear" w:color="auto" w:fill="auto"/>
            <w:noWrap/>
            <w:vAlign w:val="center"/>
            <w:hideMark/>
          </w:tcPr>
          <w:p w14:paraId="7FA6496F"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166 600 €</w:t>
            </w:r>
          </w:p>
        </w:tc>
        <w:tc>
          <w:tcPr>
            <w:tcW w:w="960" w:type="dxa"/>
            <w:tcBorders>
              <w:top w:val="nil"/>
              <w:left w:val="nil"/>
              <w:bottom w:val="single" w:sz="8" w:space="0" w:color="auto"/>
              <w:right w:val="single" w:sz="8" w:space="0" w:color="auto"/>
            </w:tcBorders>
            <w:shd w:val="clear" w:color="auto" w:fill="auto"/>
            <w:noWrap/>
            <w:vAlign w:val="center"/>
            <w:hideMark/>
          </w:tcPr>
          <w:p w14:paraId="295C323E"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190 400 €</w:t>
            </w:r>
          </w:p>
        </w:tc>
        <w:tc>
          <w:tcPr>
            <w:tcW w:w="960" w:type="dxa"/>
            <w:tcBorders>
              <w:top w:val="nil"/>
              <w:left w:val="nil"/>
              <w:bottom w:val="single" w:sz="8" w:space="0" w:color="auto"/>
              <w:right w:val="single" w:sz="8" w:space="0" w:color="auto"/>
            </w:tcBorders>
            <w:shd w:val="clear" w:color="auto" w:fill="auto"/>
            <w:noWrap/>
            <w:vAlign w:val="center"/>
            <w:hideMark/>
          </w:tcPr>
          <w:p w14:paraId="5100455F" w14:textId="77777777" w:rsidR="0074768C" w:rsidRPr="00020C88" w:rsidRDefault="0074768C" w:rsidP="0074768C">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214 200 €</w:t>
            </w:r>
          </w:p>
        </w:tc>
      </w:tr>
      <w:tr w:rsidR="0074768C" w:rsidRPr="00020C88" w14:paraId="751D2CF1" w14:textId="77777777" w:rsidTr="0074768C">
        <w:trPr>
          <w:trHeight w:val="470"/>
        </w:trPr>
        <w:tc>
          <w:tcPr>
            <w:tcW w:w="3200" w:type="dxa"/>
            <w:tcBorders>
              <w:top w:val="nil"/>
              <w:left w:val="single" w:sz="8" w:space="0" w:color="auto"/>
              <w:bottom w:val="single" w:sz="8" w:space="0" w:color="auto"/>
              <w:right w:val="single" w:sz="8" w:space="0" w:color="auto"/>
            </w:tcBorders>
            <w:shd w:val="clear" w:color="auto" w:fill="auto"/>
            <w:vAlign w:val="center"/>
            <w:hideMark/>
          </w:tcPr>
          <w:p w14:paraId="404E1A04" w14:textId="77777777" w:rsidR="0074768C" w:rsidRPr="00020C88" w:rsidRDefault="0074768C" w:rsidP="0074768C">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Rozdiel oproti stavu bez legislatívnej zmeny</w:t>
            </w:r>
          </w:p>
        </w:tc>
        <w:tc>
          <w:tcPr>
            <w:tcW w:w="960" w:type="dxa"/>
            <w:tcBorders>
              <w:top w:val="nil"/>
              <w:left w:val="nil"/>
              <w:bottom w:val="single" w:sz="8" w:space="0" w:color="auto"/>
              <w:right w:val="single" w:sz="8" w:space="0" w:color="auto"/>
            </w:tcBorders>
            <w:shd w:val="clear" w:color="auto" w:fill="auto"/>
            <w:noWrap/>
            <w:vAlign w:val="center"/>
            <w:hideMark/>
          </w:tcPr>
          <w:p w14:paraId="0F48D316" w14:textId="77777777" w:rsidR="0074768C" w:rsidRPr="00020C88" w:rsidRDefault="0074768C" w:rsidP="0074768C">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640 475 €</w:t>
            </w:r>
          </w:p>
        </w:tc>
        <w:tc>
          <w:tcPr>
            <w:tcW w:w="960" w:type="dxa"/>
            <w:tcBorders>
              <w:top w:val="nil"/>
              <w:left w:val="nil"/>
              <w:bottom w:val="single" w:sz="8" w:space="0" w:color="auto"/>
              <w:right w:val="single" w:sz="8" w:space="0" w:color="auto"/>
            </w:tcBorders>
            <w:shd w:val="clear" w:color="auto" w:fill="auto"/>
            <w:noWrap/>
            <w:vAlign w:val="center"/>
            <w:hideMark/>
          </w:tcPr>
          <w:p w14:paraId="77D6BF57" w14:textId="77777777" w:rsidR="0074768C" w:rsidRPr="00020C88" w:rsidRDefault="0074768C" w:rsidP="0074768C">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967 300 €</w:t>
            </w:r>
          </w:p>
        </w:tc>
        <w:tc>
          <w:tcPr>
            <w:tcW w:w="960" w:type="dxa"/>
            <w:tcBorders>
              <w:top w:val="nil"/>
              <w:left w:val="nil"/>
              <w:bottom w:val="single" w:sz="8" w:space="0" w:color="auto"/>
              <w:right w:val="single" w:sz="8" w:space="0" w:color="auto"/>
            </w:tcBorders>
            <w:shd w:val="clear" w:color="auto" w:fill="auto"/>
            <w:noWrap/>
            <w:vAlign w:val="center"/>
            <w:hideMark/>
          </w:tcPr>
          <w:p w14:paraId="04777055" w14:textId="77777777" w:rsidR="0074768C" w:rsidRPr="00020C88" w:rsidRDefault="0074768C" w:rsidP="0074768C">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1 334 925 €</w:t>
            </w:r>
          </w:p>
        </w:tc>
      </w:tr>
    </w:tbl>
    <w:p w14:paraId="7E49B491" w14:textId="0B431B97" w:rsidR="0074768C" w:rsidRPr="00020C88" w:rsidRDefault="0074768C" w:rsidP="00CB750F">
      <w:pPr>
        <w:spacing w:after="0" w:line="240" w:lineRule="auto"/>
        <w:jc w:val="both"/>
        <w:rPr>
          <w:rFonts w:ascii="Times New Roman" w:hAnsi="Times New Roman"/>
          <w:color w:val="000000"/>
          <w:sz w:val="18"/>
          <w:szCs w:val="18"/>
          <w:lang w:eastAsia="sk-SK"/>
        </w:rPr>
      </w:pPr>
    </w:p>
    <w:p w14:paraId="28863192" w14:textId="76691C68" w:rsidR="0074768C" w:rsidRPr="00020C88" w:rsidRDefault="0074768C" w:rsidP="00CB750F">
      <w:pPr>
        <w:spacing w:after="0" w:line="240" w:lineRule="auto"/>
        <w:jc w:val="both"/>
        <w:rPr>
          <w:rFonts w:ascii="Times New Roman" w:hAnsi="Times New Roman"/>
          <w:color w:val="000000"/>
          <w:sz w:val="18"/>
          <w:szCs w:val="18"/>
          <w:lang w:eastAsia="sk-SK"/>
        </w:rPr>
      </w:pPr>
    </w:p>
    <w:p w14:paraId="3973B672" w14:textId="6F15E195" w:rsidR="0074768C" w:rsidRPr="00020C88" w:rsidRDefault="0074768C" w:rsidP="00CB750F">
      <w:pPr>
        <w:spacing w:after="0" w:line="240" w:lineRule="auto"/>
        <w:jc w:val="both"/>
        <w:rPr>
          <w:rFonts w:ascii="Times New Roman" w:hAnsi="Times New Roman"/>
          <w:color w:val="000000"/>
          <w:sz w:val="18"/>
          <w:szCs w:val="18"/>
          <w:lang w:eastAsia="sk-SK"/>
        </w:rPr>
      </w:pPr>
    </w:p>
    <w:p w14:paraId="36E317DE" w14:textId="6C14AECF" w:rsidR="00995C98" w:rsidRPr="00020C88" w:rsidRDefault="00E2311B" w:rsidP="00995C98">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MZ</w:t>
      </w:r>
      <w:r w:rsidR="00D03701" w:rsidRPr="00020C88">
        <w:rPr>
          <w:rFonts w:ascii="Times New Roman" w:hAnsi="Times New Roman"/>
          <w:color w:val="000000"/>
          <w:sz w:val="18"/>
          <w:szCs w:val="18"/>
          <w:lang w:eastAsia="sk-SK"/>
        </w:rPr>
        <w:t xml:space="preserve"> SR</w:t>
      </w:r>
      <w:r w:rsidRPr="00020C88">
        <w:rPr>
          <w:rFonts w:ascii="Times New Roman" w:hAnsi="Times New Roman"/>
          <w:color w:val="000000"/>
          <w:sz w:val="18"/>
          <w:szCs w:val="18"/>
          <w:lang w:eastAsia="sk-SK"/>
        </w:rPr>
        <w:t xml:space="preserve"> je názoru, že podpora prevádzkovania mobilných hospicov pomôže transferu umierajúcich pacientov z nemocníc do domáceho prostredia. Zámerom je dosiahnuť nárast výdavkov na tento typ ZS v budúcom roku o 0,5 mil. € a medziročný rast by mohol byť aspoň o 50%.</w:t>
      </w:r>
      <w:r w:rsidR="00D03701" w:rsidRPr="00020C88">
        <w:rPr>
          <w:rFonts w:ascii="Times New Roman" w:hAnsi="Times New Roman"/>
          <w:color w:val="000000"/>
          <w:sz w:val="18"/>
          <w:szCs w:val="18"/>
          <w:lang w:eastAsia="sk-SK"/>
        </w:rPr>
        <w:t xml:space="preserve"> </w:t>
      </w:r>
      <w:r w:rsidRPr="00020C88">
        <w:rPr>
          <w:rFonts w:ascii="Times New Roman" w:hAnsi="Times New Roman"/>
          <w:color w:val="000000"/>
          <w:sz w:val="18"/>
          <w:szCs w:val="18"/>
          <w:lang w:eastAsia="sk-SK"/>
        </w:rPr>
        <w:t xml:space="preserve">Výdavky na 1 pacienta by boli kumulatívne cca 600 €, čo je porovnateľne menej ako stojí hospitalizácia. Je potrebné prediskutovať či navrhnutá cena </w:t>
      </w:r>
      <w:r w:rsidR="007B5E08" w:rsidRPr="00020C88">
        <w:rPr>
          <w:rFonts w:ascii="Times New Roman" w:hAnsi="Times New Roman"/>
          <w:color w:val="000000"/>
          <w:sz w:val="18"/>
          <w:szCs w:val="18"/>
          <w:lang w:eastAsia="sk-SK"/>
        </w:rPr>
        <w:t>50</w:t>
      </w:r>
      <w:r w:rsidRPr="00020C88">
        <w:rPr>
          <w:rFonts w:ascii="Times New Roman" w:hAnsi="Times New Roman"/>
          <w:color w:val="000000"/>
          <w:sz w:val="18"/>
          <w:szCs w:val="18"/>
          <w:lang w:eastAsia="sk-SK"/>
        </w:rPr>
        <w:t xml:space="preserve"> € za výjazd je dostatočná motivácia pre prácu zdravotníckeho tímu, pokrytie nákladov za transport a ďalších nákladov</w:t>
      </w:r>
      <w:r w:rsidR="00D03701" w:rsidRPr="00020C88">
        <w:rPr>
          <w:rFonts w:ascii="Times New Roman" w:hAnsi="Times New Roman"/>
          <w:color w:val="000000"/>
          <w:sz w:val="18"/>
          <w:szCs w:val="18"/>
          <w:lang w:eastAsia="sk-SK"/>
        </w:rPr>
        <w:t>.</w:t>
      </w:r>
      <w:r w:rsidR="00995C98" w:rsidRPr="00020C88">
        <w:rPr>
          <w:rFonts w:ascii="Times New Roman" w:hAnsi="Times New Roman"/>
        </w:rPr>
        <w:t xml:space="preserve"> </w:t>
      </w:r>
      <w:r w:rsidR="00995C98" w:rsidRPr="00020C88">
        <w:rPr>
          <w:rFonts w:ascii="Times New Roman" w:hAnsi="Times New Roman"/>
          <w:color w:val="000000"/>
          <w:sz w:val="18"/>
          <w:szCs w:val="18"/>
          <w:lang w:eastAsia="sk-SK"/>
        </w:rPr>
        <w:t>Pacienti v mobilnom hospici spadajú sú prakticky imobilní a návšteva ambulancie je pre nich mimoriadne náročná. Majú zabezpečené sociálne podmienky na starostlivosť. Majú odkomunikovaný charakter svojho nevyliečiteľného ochorenia lekárom špecialistom, paliatívnym špecialistom v nemocnici, alebo svojím praktickým lekárom (na Slovensku skôr výnimka – praktický lekár neprichádza so zomierajúcim pacientom do užšieho kontaktu, väčšinou prichádzajú príbuzní predpisovať lieky.)</w:t>
      </w:r>
    </w:p>
    <w:p w14:paraId="41176B07" w14:textId="6A21376E" w:rsidR="00995C98" w:rsidRPr="00020C88" w:rsidRDefault="00995C98" w:rsidP="00995C98">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Pacienti v mobilnom hospici majú rôzne kombinácie závažných symptómov ako je bolesť, dýchavica, nauzea a vracanie, hnačky, dekubity, malígna črevná obštrukcia a narušená mobilizácia prípadne narušená komunikačná schopnosť s alebo bez kognitívnej dysfunkcie. </w:t>
      </w:r>
    </w:p>
    <w:p w14:paraId="3821641F" w14:textId="280AB310" w:rsidR="00995C98" w:rsidRPr="00020C88" w:rsidRDefault="00995C98" w:rsidP="00995C98">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Hradenie mobilného hospicu vychádza z náročnosti zabezpečenia paliatívnej starostlivosti v domácom prostredí. Náročnosť vychádza: </w:t>
      </w:r>
    </w:p>
    <w:p w14:paraId="740ACBE8" w14:textId="77777777" w:rsidR="00995C98" w:rsidRPr="00020C88" w:rsidRDefault="00995C98" w:rsidP="00995C98">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w:t>
      </w:r>
      <w:r w:rsidRPr="00020C88">
        <w:rPr>
          <w:rFonts w:ascii="Times New Roman" w:hAnsi="Times New Roman"/>
          <w:color w:val="000000"/>
          <w:sz w:val="18"/>
          <w:szCs w:val="18"/>
          <w:lang w:eastAsia="sk-SK"/>
        </w:rPr>
        <w:tab/>
        <w:t>Poskytovania zdravotnej starostlivosti v neštandardných podmienkach.</w:t>
      </w:r>
    </w:p>
    <w:p w14:paraId="5D3D6A88" w14:textId="77777777" w:rsidR="00995C98" w:rsidRPr="00020C88" w:rsidRDefault="00995C98" w:rsidP="00995C98">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w:t>
      </w:r>
      <w:r w:rsidRPr="00020C88">
        <w:rPr>
          <w:rFonts w:ascii="Times New Roman" w:hAnsi="Times New Roman"/>
          <w:color w:val="000000"/>
          <w:sz w:val="18"/>
          <w:szCs w:val="18"/>
          <w:lang w:eastAsia="sk-SK"/>
        </w:rPr>
        <w:tab/>
        <w:t>Nutnosť vycestovania za pacientom a časovej náročnosti presunov v rámci celého okresu.</w:t>
      </w:r>
    </w:p>
    <w:p w14:paraId="182CC8F0" w14:textId="798BAEEC" w:rsidR="00995C98" w:rsidRPr="00020C88" w:rsidRDefault="00995C98" w:rsidP="00995C98">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w:t>
      </w:r>
      <w:r w:rsidRPr="00020C88">
        <w:rPr>
          <w:rFonts w:ascii="Times New Roman" w:hAnsi="Times New Roman"/>
          <w:color w:val="000000"/>
          <w:sz w:val="18"/>
          <w:szCs w:val="18"/>
          <w:lang w:eastAsia="sk-SK"/>
        </w:rPr>
        <w:tab/>
        <w:t>Situácia na konci života pacienta s komunikačnou náročnosťou. Niektoré veci je potrebné odkomunikovať viackrát, viacerým členom rodiny, postarať sa, aby sa pacient a jeho najbližší vedeli zhodnúť na cieľoch liečby. Prehodnotenie hodnôt života s ohľadom na ohraničenú dĺžku života je jedným z najťažších komunikačných problémov. Situácia si často vyžaduje aj odbornú pomoc psychológa.</w:t>
      </w:r>
    </w:p>
    <w:p w14:paraId="09255763" w14:textId="77777777" w:rsidR="00995C98" w:rsidRPr="00020C88" w:rsidRDefault="00995C98" w:rsidP="00995C98">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w:t>
      </w:r>
      <w:r w:rsidRPr="00020C88">
        <w:rPr>
          <w:rFonts w:ascii="Times New Roman" w:hAnsi="Times New Roman"/>
          <w:color w:val="000000"/>
          <w:sz w:val="18"/>
          <w:szCs w:val="18"/>
          <w:lang w:eastAsia="sk-SK"/>
        </w:rPr>
        <w:tab/>
        <w:t>Zo zabezpečenia materiálno-technickej vybavenosti: potreba a údržba áut, schopnosť zabezpečiť kvalitnú zdravotnú starostlivosť v domácich podmienkach (analógia poskytovania záchrannej služby).</w:t>
      </w:r>
    </w:p>
    <w:p w14:paraId="5231439E" w14:textId="0B9E5A43" w:rsidR="00E2311B" w:rsidRPr="00020C88" w:rsidRDefault="00995C98" w:rsidP="00995C98">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Hradenie mobilného hospicu sa realizuje formou platby za jednu návštevu pacienta. Výška týchto nákladov je odhadnutá pre mobilný hospic s približne 2000 návštevami ročne (100-150 pacientov ročne v závislosti od dĺžky starostlivosti) pre okresné mesto a jeho spádový región.</w:t>
      </w:r>
    </w:p>
    <w:p w14:paraId="183B7E9A" w14:textId="77777777" w:rsidR="00995C98" w:rsidRPr="00020C88" w:rsidRDefault="00995C98" w:rsidP="00CB750F">
      <w:pPr>
        <w:spacing w:after="0" w:line="240" w:lineRule="auto"/>
        <w:jc w:val="both"/>
        <w:rPr>
          <w:rFonts w:ascii="Times New Roman" w:hAnsi="Times New Roman"/>
          <w:color w:val="000000"/>
          <w:sz w:val="18"/>
          <w:szCs w:val="18"/>
          <w:lang w:eastAsia="sk-SK"/>
        </w:rPr>
      </w:pPr>
    </w:p>
    <w:p w14:paraId="1014F132" w14:textId="77777777" w:rsidR="00E2311B" w:rsidRPr="00020C88" w:rsidRDefault="00E2311B" w:rsidP="00CB750F">
      <w:pPr>
        <w:spacing w:after="0" w:line="240" w:lineRule="auto"/>
        <w:jc w:val="both"/>
        <w:rPr>
          <w:rFonts w:ascii="Times New Roman" w:hAnsi="Times New Roman"/>
          <w:b/>
          <w:sz w:val="20"/>
          <w:szCs w:val="20"/>
        </w:rPr>
      </w:pPr>
    </w:p>
    <w:p w14:paraId="5B2FDD34" w14:textId="6C0828DF" w:rsidR="00E2311B" w:rsidRPr="00020C88" w:rsidRDefault="00E2311B" w:rsidP="00CB750F">
      <w:pPr>
        <w:spacing w:after="0" w:line="240" w:lineRule="auto"/>
        <w:jc w:val="both"/>
        <w:rPr>
          <w:rFonts w:ascii="Times New Roman" w:hAnsi="Times New Roman"/>
          <w:b/>
          <w:sz w:val="20"/>
          <w:szCs w:val="20"/>
        </w:rPr>
      </w:pPr>
      <w:r w:rsidRPr="00020C88">
        <w:rPr>
          <w:rFonts w:ascii="Times New Roman" w:hAnsi="Times New Roman"/>
          <w:b/>
          <w:sz w:val="20"/>
          <w:szCs w:val="20"/>
        </w:rPr>
        <w:t>Navrhované ceny pre mobilné hospice</w:t>
      </w:r>
    </w:p>
    <w:p w14:paraId="5645EE41"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V cenovom opatrení sa navrhuje regulovať ceny pre mobilné hospice, čím odpadne povinnosť dohodovať ceny so zdravotnými poisťovňami, zatiaľ sa navrhujú ceny v niekoľkých variantoch. Buď ako pevná cena za konkrétny výkon, alebo koeficient vynásobený priemernou mzdou alebo platbou za návštevu a platbou za dopravu:</w:t>
      </w:r>
    </w:p>
    <w:p w14:paraId="53D20FB3" w14:textId="77777777" w:rsidR="00E2311B" w:rsidRPr="00020C88" w:rsidRDefault="00E2311B" w:rsidP="00CB750F">
      <w:pPr>
        <w:numPr>
          <w:ilvl w:val="0"/>
          <w:numId w:val="20"/>
        </w:numPr>
        <w:spacing w:after="0" w:line="240" w:lineRule="auto"/>
        <w:contextualSpacing/>
        <w:jc w:val="both"/>
        <w:rPr>
          <w:rFonts w:ascii="Times New Roman" w:hAnsi="Times New Roman"/>
          <w:sz w:val="20"/>
          <w:szCs w:val="20"/>
        </w:rPr>
      </w:pPr>
      <w:r w:rsidRPr="00020C88">
        <w:rPr>
          <w:rFonts w:ascii="Times New Roman" w:hAnsi="Times New Roman"/>
          <w:sz w:val="20"/>
          <w:szCs w:val="20"/>
        </w:rPr>
        <w:t>Zoznam zdravotných výkonov a pevné ceny jednotlivých zdravotných výkonov sú uvedené v časti E.</w:t>
      </w:r>
    </w:p>
    <w:p w14:paraId="3CB128EF" w14:textId="77777777" w:rsidR="00E2311B" w:rsidRPr="00020C88" w:rsidRDefault="00E2311B" w:rsidP="00CB750F">
      <w:pPr>
        <w:numPr>
          <w:ilvl w:val="0"/>
          <w:numId w:val="20"/>
        </w:numPr>
        <w:tabs>
          <w:tab w:val="left" w:pos="426"/>
        </w:tabs>
        <w:spacing w:after="0" w:line="240" w:lineRule="auto"/>
        <w:contextualSpacing/>
        <w:jc w:val="both"/>
        <w:rPr>
          <w:rFonts w:ascii="Times New Roman" w:hAnsi="Times New Roman"/>
          <w:sz w:val="20"/>
          <w:szCs w:val="20"/>
        </w:rPr>
      </w:pPr>
      <w:r w:rsidRPr="00020C88">
        <w:rPr>
          <w:rFonts w:ascii="Times New Roman" w:hAnsi="Times New Roman"/>
          <w:sz w:val="20"/>
          <w:szCs w:val="20"/>
        </w:rPr>
        <w:t xml:space="preserve">Ku každej návšteve pacienta sa pripočítava cena dopravy vo výške 0,50 eura za jeden kilometer jazdy. </w:t>
      </w:r>
    </w:p>
    <w:p w14:paraId="737C29AB" w14:textId="77777777" w:rsidR="00E2311B" w:rsidRPr="00020C88" w:rsidRDefault="00E2311B" w:rsidP="00CB750F">
      <w:pPr>
        <w:spacing w:after="0" w:line="240" w:lineRule="auto"/>
        <w:ind w:left="720"/>
        <w:contextualSpacing/>
        <w:rPr>
          <w:rFonts w:ascii="Times New Roman" w:hAnsi="Times New Roman"/>
          <w:sz w:val="20"/>
          <w:szCs w:val="20"/>
        </w:rPr>
      </w:pPr>
      <w:r w:rsidRPr="00020C88">
        <w:rPr>
          <w:rFonts w:ascii="Times New Roman" w:hAnsi="Times New Roman"/>
          <w:sz w:val="20"/>
          <w:szCs w:val="20"/>
        </w:rPr>
        <w:t>alebo</w:t>
      </w:r>
    </w:p>
    <w:p w14:paraId="7D5784F2" w14:textId="58032BDB" w:rsidR="00E2311B" w:rsidRPr="00020C88" w:rsidRDefault="00E2311B" w:rsidP="00CB750F">
      <w:pPr>
        <w:pStyle w:val="Odsekzoznamu"/>
        <w:numPr>
          <w:ilvl w:val="0"/>
          <w:numId w:val="20"/>
        </w:numPr>
        <w:tabs>
          <w:tab w:val="left" w:pos="426"/>
        </w:tabs>
        <w:spacing w:after="0" w:line="240" w:lineRule="auto"/>
        <w:jc w:val="both"/>
        <w:rPr>
          <w:rFonts w:ascii="Times New Roman" w:hAnsi="Times New Roman"/>
          <w:sz w:val="20"/>
          <w:szCs w:val="20"/>
          <w:lang w:val="sk-SK"/>
        </w:rPr>
      </w:pPr>
      <w:r w:rsidRPr="00020C88">
        <w:rPr>
          <w:rFonts w:ascii="Times New Roman" w:hAnsi="Times New Roman"/>
          <w:sz w:val="20"/>
          <w:szCs w:val="20"/>
          <w:lang w:val="sk-SK"/>
        </w:rPr>
        <w:t xml:space="preserve">Zoznam zdravotných výkonov a koeficienty sú uvedené v časti E. Cena sa vypočíta vynásobením koeficientu a priemernej mesačnej mzdy zamestnanca v hospodárstve Slovenskej republiky zistenej štatistickým úradom za kalendárny rok, ktorý dva roky predchádza kalendárnemu roku, na ktorý sa stanovujú ceny. Ceny sa stanovujú vždy k 1. januáru kalendárneho roka. Ku každej návšteve pacienta sa pripočítava cena dopravy vo výške 0,50 eura za jeden kilometer jazdy. </w:t>
      </w:r>
    </w:p>
    <w:p w14:paraId="2194339F" w14:textId="77777777" w:rsidR="00E2311B" w:rsidRPr="00020C88" w:rsidRDefault="00E2311B" w:rsidP="00CB750F">
      <w:pPr>
        <w:spacing w:after="0" w:line="240" w:lineRule="auto"/>
        <w:ind w:left="720"/>
        <w:contextualSpacing/>
        <w:jc w:val="both"/>
        <w:rPr>
          <w:rFonts w:ascii="Times New Roman" w:hAnsi="Times New Roman"/>
          <w:sz w:val="20"/>
          <w:szCs w:val="20"/>
        </w:rPr>
      </w:pPr>
      <w:r w:rsidRPr="00020C88">
        <w:rPr>
          <w:rFonts w:ascii="Times New Roman" w:hAnsi="Times New Roman"/>
          <w:sz w:val="20"/>
          <w:szCs w:val="20"/>
        </w:rPr>
        <w:t>alebo</w:t>
      </w:r>
    </w:p>
    <w:p w14:paraId="4D8D3067" w14:textId="57A56D3A" w:rsidR="00E2311B" w:rsidRPr="00020C88" w:rsidRDefault="00E2311B" w:rsidP="00CB750F">
      <w:pPr>
        <w:numPr>
          <w:ilvl w:val="0"/>
          <w:numId w:val="21"/>
        </w:numPr>
        <w:tabs>
          <w:tab w:val="left" w:pos="426"/>
        </w:tabs>
        <w:spacing w:after="0" w:line="240" w:lineRule="auto"/>
        <w:contextualSpacing/>
        <w:jc w:val="both"/>
        <w:rPr>
          <w:rFonts w:ascii="Times New Roman" w:hAnsi="Times New Roman"/>
          <w:sz w:val="20"/>
          <w:szCs w:val="20"/>
        </w:rPr>
      </w:pPr>
      <w:r w:rsidRPr="00020C88">
        <w:rPr>
          <w:rFonts w:ascii="Times New Roman" w:hAnsi="Times New Roman"/>
          <w:sz w:val="20"/>
          <w:szCs w:val="20"/>
        </w:rPr>
        <w:t xml:space="preserve">Pevná cena návštevy pacienta lekárom je vo výške </w:t>
      </w:r>
      <w:r w:rsidR="00CB750F" w:rsidRPr="00020C88">
        <w:rPr>
          <w:rFonts w:ascii="Times New Roman" w:hAnsi="Times New Roman"/>
          <w:sz w:val="20"/>
          <w:szCs w:val="20"/>
        </w:rPr>
        <w:t>50</w:t>
      </w:r>
      <w:r w:rsidRPr="00020C88">
        <w:rPr>
          <w:rFonts w:ascii="Times New Roman" w:hAnsi="Times New Roman"/>
          <w:sz w:val="20"/>
          <w:szCs w:val="20"/>
        </w:rPr>
        <w:t xml:space="preserve"> eura za každú návštevu.</w:t>
      </w:r>
      <w:r w:rsidR="001A18CE" w:rsidRPr="00020C88">
        <w:rPr>
          <w:rFonts w:ascii="Times New Roman" w:hAnsi="Times New Roman"/>
        </w:rPr>
        <w:t xml:space="preserve"> </w:t>
      </w:r>
      <w:r w:rsidR="001A18CE" w:rsidRPr="00020C88">
        <w:rPr>
          <w:rFonts w:ascii="Times New Roman" w:hAnsi="Times New Roman"/>
          <w:sz w:val="20"/>
          <w:szCs w:val="20"/>
        </w:rPr>
        <w:t>Ku každej návšteve pacienta sa pri</w:t>
      </w:r>
      <w:r w:rsidR="00CB750F" w:rsidRPr="00020C88">
        <w:rPr>
          <w:rFonts w:ascii="Times New Roman" w:hAnsi="Times New Roman"/>
          <w:sz w:val="20"/>
          <w:szCs w:val="20"/>
        </w:rPr>
        <w:t>počítava cena dopravy vo výške 2</w:t>
      </w:r>
      <w:r w:rsidR="001A18CE" w:rsidRPr="00020C88">
        <w:rPr>
          <w:rFonts w:ascii="Times New Roman" w:hAnsi="Times New Roman"/>
          <w:sz w:val="20"/>
          <w:szCs w:val="20"/>
        </w:rPr>
        <w:t>,</w:t>
      </w:r>
      <w:r w:rsidR="00CB750F" w:rsidRPr="00020C88">
        <w:rPr>
          <w:rFonts w:ascii="Times New Roman" w:hAnsi="Times New Roman"/>
          <w:sz w:val="20"/>
          <w:szCs w:val="20"/>
        </w:rPr>
        <w:t>7</w:t>
      </w:r>
      <w:r w:rsidR="001A18CE" w:rsidRPr="00020C88">
        <w:rPr>
          <w:rFonts w:ascii="Times New Roman" w:hAnsi="Times New Roman"/>
          <w:sz w:val="20"/>
          <w:szCs w:val="20"/>
        </w:rPr>
        <w:t xml:space="preserve">5 eura za </w:t>
      </w:r>
      <w:r w:rsidR="00CB750F" w:rsidRPr="00020C88">
        <w:rPr>
          <w:rFonts w:ascii="Times New Roman" w:hAnsi="Times New Roman"/>
          <w:sz w:val="20"/>
          <w:szCs w:val="20"/>
        </w:rPr>
        <w:t>návštevu alebo ku každej návšteve pacienta sa pripočítava cena dopravy vo výške 0,50 eura za jeden kilometer jazdy</w:t>
      </w:r>
      <w:r w:rsidR="001A18CE" w:rsidRPr="00020C88">
        <w:rPr>
          <w:rFonts w:ascii="Times New Roman" w:hAnsi="Times New Roman"/>
          <w:sz w:val="20"/>
          <w:szCs w:val="20"/>
        </w:rPr>
        <w:t>.</w:t>
      </w:r>
    </w:p>
    <w:p w14:paraId="3C86D0DC" w14:textId="77777777" w:rsidR="00E2311B" w:rsidRPr="00020C88" w:rsidRDefault="00E2311B" w:rsidP="00CB750F">
      <w:pPr>
        <w:spacing w:after="0" w:line="240" w:lineRule="auto"/>
        <w:jc w:val="both"/>
        <w:rPr>
          <w:rFonts w:ascii="Times New Roman" w:hAnsi="Times New Roman"/>
          <w:b/>
          <w:sz w:val="20"/>
          <w:szCs w:val="20"/>
        </w:rPr>
      </w:pPr>
    </w:p>
    <w:p w14:paraId="1B0761EA" w14:textId="77777777" w:rsidR="00E2311B" w:rsidRPr="00020C88" w:rsidRDefault="00E2311B" w:rsidP="00CB750F">
      <w:pPr>
        <w:spacing w:after="0" w:line="240" w:lineRule="auto"/>
        <w:jc w:val="both"/>
        <w:rPr>
          <w:rFonts w:ascii="Times New Roman" w:hAnsi="Times New Roman"/>
          <w:b/>
          <w:sz w:val="20"/>
          <w:szCs w:val="20"/>
          <w:u w:val="single"/>
        </w:rPr>
      </w:pPr>
      <w:r w:rsidRPr="00020C88">
        <w:rPr>
          <w:rFonts w:ascii="Times New Roman" w:hAnsi="Times New Roman"/>
          <w:b/>
          <w:sz w:val="20"/>
          <w:szCs w:val="20"/>
          <w:u w:val="single"/>
        </w:rPr>
        <w:t>Posilnenie ADOSov (Agentúra domácej ošetrovateľskej starostlivosti):</w:t>
      </w:r>
    </w:p>
    <w:p w14:paraId="05440742"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ADOS – ja ambulantné zdravotnícke zariadenie tvorené zdravotníckymi pracovníkmi – sestrami a fyzioterapeutmi, ich zdravotné výkony sú indikované lekárom a sú uhrádzané z verejného zdravotného poistenia, ak majú uzatvorenú zmluvu so zdravotnými poisťovňami, nesmú vyberať žiadne poplatky od pacientov. Agentúra domácej ošetrovateľskej starostlivosti je určená na poskytovanie komplexnej domácej ošetrovateľskej starostlivosti a pôrodnej asistencie osobe, </w:t>
      </w:r>
    </w:p>
    <w:p w14:paraId="1DD719C3"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a) ktorej zdravotný stav vyžaduje poskytovanie zdravotnej starostlivosti v nadväznosti na ambulantnú zdravotnú starostlivosť alebo na ústavnú zdravotnú starostlivosť, pri ktorej sa predpokladá, že zdravotný stav osoby nebude vyžadovať nepretržitý pobyt v zdravotníckom zariadení ústavnej zdravotnej starostlivosti, </w:t>
      </w:r>
    </w:p>
    <w:p w14:paraId="60041CD0"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b) ktorá odmietla poskytnutie ústavnej zdravotnej starostlivosti alebo </w:t>
      </w:r>
    </w:p>
    <w:p w14:paraId="18D242A3"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c) ktorej zdravotný stav neumožňuje navštevovať zdravotnícke zariadenie.</w:t>
      </w:r>
    </w:p>
    <w:p w14:paraId="55533058" w14:textId="77777777" w:rsidR="00E2311B" w:rsidRPr="00020C88" w:rsidRDefault="00E2311B" w:rsidP="00CB750F">
      <w:pPr>
        <w:spacing w:after="0" w:line="240" w:lineRule="auto"/>
        <w:jc w:val="both"/>
        <w:rPr>
          <w:rFonts w:ascii="Times New Roman" w:hAnsi="Times New Roman"/>
          <w:sz w:val="20"/>
          <w:szCs w:val="20"/>
        </w:rPr>
      </w:pPr>
    </w:p>
    <w:p w14:paraId="73728498"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Verejná minimálna sieť podľa platného nariadenia vlády SR č. 640/2008 Z. z. pre ADOS je ustanovená 809 počtami  sesterských miest na celé územie Slovenskej republiky.</w:t>
      </w:r>
    </w:p>
    <w:p w14:paraId="0B55B940"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Navrhujeme počet sesterských miest zvýšiť z 809 na 1128 (nárast je </w:t>
      </w:r>
      <w:r w:rsidRPr="00020C88">
        <w:rPr>
          <w:rFonts w:ascii="Times New Roman" w:hAnsi="Times New Roman"/>
          <w:b/>
          <w:sz w:val="20"/>
          <w:szCs w:val="20"/>
          <w:u w:val="single"/>
        </w:rPr>
        <w:t>319</w:t>
      </w:r>
      <w:r w:rsidRPr="00020C88">
        <w:rPr>
          <w:rFonts w:ascii="Times New Roman" w:hAnsi="Times New Roman"/>
          <w:sz w:val="20"/>
          <w:szCs w:val="20"/>
        </w:rPr>
        <w:t xml:space="preserve"> sesterských miest) takto:</w:t>
      </w:r>
    </w:p>
    <w:p w14:paraId="72B093CE" w14:textId="77777777" w:rsidR="00E2311B" w:rsidRPr="00020C88" w:rsidRDefault="00E2311B" w:rsidP="00CB750F">
      <w:pPr>
        <w:spacing w:after="0" w:line="240" w:lineRule="auto"/>
        <w:jc w:val="center"/>
        <w:rPr>
          <w:rFonts w:ascii="Times New Roman" w:hAnsi="Times New Roman"/>
          <w:b/>
          <w:bCs/>
          <w:sz w:val="20"/>
          <w:szCs w:val="20"/>
        </w:rPr>
      </w:pPr>
    </w:p>
    <w:tbl>
      <w:tblPr>
        <w:tblW w:w="10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039"/>
        <w:gridCol w:w="1283"/>
        <w:gridCol w:w="1128"/>
        <w:gridCol w:w="917"/>
        <w:gridCol w:w="1650"/>
        <w:gridCol w:w="1083"/>
        <w:gridCol w:w="905"/>
        <w:gridCol w:w="1072"/>
      </w:tblGrid>
      <w:tr w:rsidR="00E2311B" w:rsidRPr="00020C88" w14:paraId="423FE24A" w14:textId="77777777" w:rsidTr="00020C88">
        <w:tc>
          <w:tcPr>
            <w:tcW w:w="1283" w:type="dxa"/>
            <w:shd w:val="clear" w:color="auto" w:fill="auto"/>
          </w:tcPr>
          <w:p w14:paraId="7B233194"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b/>
                <w:bCs/>
                <w:sz w:val="20"/>
                <w:szCs w:val="20"/>
              </w:rPr>
              <w:t>Bratislavský kraj</w:t>
            </w:r>
          </w:p>
        </w:tc>
        <w:tc>
          <w:tcPr>
            <w:tcW w:w="1039" w:type="dxa"/>
            <w:shd w:val="clear" w:color="auto" w:fill="auto"/>
          </w:tcPr>
          <w:p w14:paraId="103202C4"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b/>
                <w:bCs/>
                <w:sz w:val="20"/>
                <w:szCs w:val="20"/>
              </w:rPr>
              <w:t>Trnavský kraj</w:t>
            </w:r>
          </w:p>
        </w:tc>
        <w:tc>
          <w:tcPr>
            <w:tcW w:w="1283" w:type="dxa"/>
            <w:shd w:val="clear" w:color="auto" w:fill="auto"/>
          </w:tcPr>
          <w:p w14:paraId="69A0C063"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b/>
                <w:bCs/>
                <w:sz w:val="20"/>
                <w:szCs w:val="20"/>
              </w:rPr>
              <w:t>Trenčiansky kraj</w:t>
            </w:r>
          </w:p>
        </w:tc>
        <w:tc>
          <w:tcPr>
            <w:tcW w:w="1128" w:type="dxa"/>
            <w:shd w:val="clear" w:color="auto" w:fill="auto"/>
          </w:tcPr>
          <w:p w14:paraId="57019617"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b/>
                <w:bCs/>
                <w:sz w:val="20"/>
                <w:szCs w:val="20"/>
              </w:rPr>
              <w:t>Nitriansky kraj</w:t>
            </w:r>
          </w:p>
        </w:tc>
        <w:tc>
          <w:tcPr>
            <w:tcW w:w="917" w:type="dxa"/>
            <w:shd w:val="clear" w:color="auto" w:fill="auto"/>
          </w:tcPr>
          <w:p w14:paraId="72E7E16B"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b/>
                <w:bCs/>
                <w:sz w:val="20"/>
                <w:szCs w:val="20"/>
              </w:rPr>
              <w:t>Žilinský kraj</w:t>
            </w:r>
          </w:p>
        </w:tc>
        <w:tc>
          <w:tcPr>
            <w:tcW w:w="1650" w:type="dxa"/>
            <w:shd w:val="clear" w:color="auto" w:fill="auto"/>
          </w:tcPr>
          <w:p w14:paraId="44BFC9BF"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b/>
                <w:bCs/>
                <w:sz w:val="20"/>
                <w:szCs w:val="20"/>
              </w:rPr>
              <w:t>Banskobystrický kraj</w:t>
            </w:r>
          </w:p>
        </w:tc>
        <w:tc>
          <w:tcPr>
            <w:tcW w:w="1083" w:type="dxa"/>
            <w:shd w:val="clear" w:color="auto" w:fill="auto"/>
          </w:tcPr>
          <w:p w14:paraId="0CAB723E"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b/>
                <w:bCs/>
                <w:sz w:val="20"/>
                <w:szCs w:val="20"/>
              </w:rPr>
              <w:t>Prešovský kraj</w:t>
            </w:r>
          </w:p>
        </w:tc>
        <w:tc>
          <w:tcPr>
            <w:tcW w:w="905" w:type="dxa"/>
            <w:shd w:val="clear" w:color="auto" w:fill="auto"/>
          </w:tcPr>
          <w:p w14:paraId="284A5D70"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b/>
                <w:bCs/>
                <w:sz w:val="20"/>
                <w:szCs w:val="20"/>
              </w:rPr>
              <w:t>Košický kraj</w:t>
            </w:r>
          </w:p>
        </w:tc>
        <w:tc>
          <w:tcPr>
            <w:tcW w:w="1072" w:type="dxa"/>
            <w:shd w:val="clear" w:color="auto" w:fill="auto"/>
          </w:tcPr>
          <w:p w14:paraId="47EF4BE8"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b/>
                <w:bCs/>
                <w:sz w:val="20"/>
                <w:szCs w:val="20"/>
              </w:rPr>
              <w:t>Slovenská republika</w:t>
            </w:r>
          </w:p>
        </w:tc>
      </w:tr>
      <w:tr w:rsidR="00E2311B" w:rsidRPr="00020C88" w14:paraId="2BF866FA" w14:textId="77777777" w:rsidTr="00020C88">
        <w:tc>
          <w:tcPr>
            <w:tcW w:w="1283" w:type="dxa"/>
            <w:shd w:val="clear" w:color="auto" w:fill="auto"/>
            <w:vAlign w:val="bottom"/>
          </w:tcPr>
          <w:p w14:paraId="27D91703"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126,53</w:t>
            </w:r>
          </w:p>
        </w:tc>
        <w:tc>
          <w:tcPr>
            <w:tcW w:w="1039" w:type="dxa"/>
            <w:shd w:val="clear" w:color="auto" w:fill="auto"/>
            <w:vAlign w:val="bottom"/>
          </w:tcPr>
          <w:p w14:paraId="4E5497AB"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116,06</w:t>
            </w:r>
          </w:p>
        </w:tc>
        <w:tc>
          <w:tcPr>
            <w:tcW w:w="1283" w:type="dxa"/>
            <w:shd w:val="clear" w:color="auto" w:fill="auto"/>
            <w:vAlign w:val="bottom"/>
          </w:tcPr>
          <w:p w14:paraId="1E4B6333"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125,55</w:t>
            </w:r>
          </w:p>
        </w:tc>
        <w:tc>
          <w:tcPr>
            <w:tcW w:w="1128" w:type="dxa"/>
            <w:shd w:val="clear" w:color="auto" w:fill="auto"/>
            <w:vAlign w:val="bottom"/>
          </w:tcPr>
          <w:p w14:paraId="4D295A77"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148,15</w:t>
            </w:r>
          </w:p>
        </w:tc>
        <w:tc>
          <w:tcPr>
            <w:tcW w:w="917" w:type="dxa"/>
            <w:shd w:val="clear" w:color="auto" w:fill="auto"/>
            <w:vAlign w:val="bottom"/>
          </w:tcPr>
          <w:p w14:paraId="46807740"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145,36</w:t>
            </w:r>
          </w:p>
        </w:tc>
        <w:tc>
          <w:tcPr>
            <w:tcW w:w="1650" w:type="dxa"/>
            <w:shd w:val="clear" w:color="auto" w:fill="auto"/>
            <w:vAlign w:val="bottom"/>
          </w:tcPr>
          <w:p w14:paraId="496B9AEE"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137,41</w:t>
            </w:r>
          </w:p>
        </w:tc>
        <w:tc>
          <w:tcPr>
            <w:tcW w:w="1083" w:type="dxa"/>
            <w:shd w:val="clear" w:color="auto" w:fill="auto"/>
            <w:vAlign w:val="bottom"/>
          </w:tcPr>
          <w:p w14:paraId="40237DA5"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167,26</w:t>
            </w:r>
          </w:p>
        </w:tc>
        <w:tc>
          <w:tcPr>
            <w:tcW w:w="905" w:type="dxa"/>
            <w:shd w:val="clear" w:color="auto" w:fill="auto"/>
            <w:vAlign w:val="bottom"/>
          </w:tcPr>
          <w:p w14:paraId="2C97ECF9"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color w:val="000000"/>
                <w:sz w:val="20"/>
                <w:szCs w:val="20"/>
              </w:rPr>
              <w:t>161,68</w:t>
            </w:r>
          </w:p>
        </w:tc>
        <w:tc>
          <w:tcPr>
            <w:tcW w:w="1072" w:type="dxa"/>
            <w:shd w:val="clear" w:color="auto" w:fill="auto"/>
          </w:tcPr>
          <w:p w14:paraId="5B6AD19D" w14:textId="77777777" w:rsidR="00E2311B" w:rsidRPr="00020C88" w:rsidRDefault="00E2311B" w:rsidP="00CB750F">
            <w:pPr>
              <w:spacing w:after="0" w:line="240" w:lineRule="auto"/>
              <w:jc w:val="center"/>
              <w:rPr>
                <w:rFonts w:ascii="Times New Roman" w:hAnsi="Times New Roman"/>
                <w:b/>
                <w:bCs/>
                <w:sz w:val="20"/>
                <w:szCs w:val="20"/>
              </w:rPr>
            </w:pPr>
            <w:r w:rsidRPr="00020C88">
              <w:rPr>
                <w:rFonts w:ascii="Times New Roman" w:hAnsi="Times New Roman"/>
                <w:b/>
                <w:bCs/>
                <w:sz w:val="20"/>
                <w:szCs w:val="20"/>
              </w:rPr>
              <w:t>1128</w:t>
            </w:r>
          </w:p>
        </w:tc>
      </w:tr>
    </w:tbl>
    <w:p w14:paraId="739350B8" w14:textId="77777777" w:rsidR="00E2311B" w:rsidRPr="00020C88" w:rsidRDefault="00E2311B" w:rsidP="00CB750F">
      <w:pPr>
        <w:spacing w:after="0" w:line="240" w:lineRule="auto"/>
        <w:jc w:val="both"/>
        <w:rPr>
          <w:rFonts w:ascii="Times New Roman" w:hAnsi="Times New Roman"/>
          <w:sz w:val="20"/>
          <w:szCs w:val="20"/>
        </w:rPr>
      </w:pPr>
    </w:p>
    <w:p w14:paraId="6392B824" w14:textId="6503EC3D" w:rsidR="00023FC4" w:rsidRPr="00020C88" w:rsidRDefault="00023FC4" w:rsidP="00CB750F">
      <w:pPr>
        <w:spacing w:after="0" w:line="240" w:lineRule="auto"/>
        <w:jc w:val="both"/>
        <w:rPr>
          <w:rFonts w:ascii="Times New Roman" w:hAnsi="Times New Roman"/>
          <w:b/>
          <w:sz w:val="20"/>
          <w:szCs w:val="20"/>
        </w:rPr>
      </w:pPr>
      <w:r w:rsidRPr="00020C88">
        <w:rPr>
          <w:rFonts w:ascii="Times New Roman" w:hAnsi="Times New Roman"/>
          <w:b/>
          <w:sz w:val="20"/>
          <w:szCs w:val="20"/>
        </w:rPr>
        <w:t>Súčasný stav:</w:t>
      </w:r>
    </w:p>
    <w:p w14:paraId="628AC397" w14:textId="4128A9C5" w:rsidR="00023FC4" w:rsidRPr="00020C88" w:rsidRDefault="00023FC4" w:rsidP="00CB750F">
      <w:pPr>
        <w:spacing w:after="0" w:line="240" w:lineRule="auto"/>
        <w:jc w:val="both"/>
        <w:rPr>
          <w:rFonts w:ascii="Times New Roman" w:hAnsi="Times New Roman"/>
          <w:b/>
          <w:sz w:val="20"/>
          <w:szCs w:val="20"/>
        </w:rPr>
      </w:pPr>
    </w:p>
    <w:tbl>
      <w:tblPr>
        <w:tblW w:w="8120" w:type="dxa"/>
        <w:tblInd w:w="-10" w:type="dxa"/>
        <w:tblCellMar>
          <w:left w:w="70" w:type="dxa"/>
          <w:right w:w="70" w:type="dxa"/>
        </w:tblCellMar>
        <w:tblLook w:val="04A0" w:firstRow="1" w:lastRow="0" w:firstColumn="1" w:lastColumn="0" w:noHBand="0" w:noVBand="1"/>
      </w:tblPr>
      <w:tblGrid>
        <w:gridCol w:w="2200"/>
        <w:gridCol w:w="960"/>
        <w:gridCol w:w="960"/>
        <w:gridCol w:w="960"/>
        <w:gridCol w:w="1120"/>
        <w:gridCol w:w="960"/>
        <w:gridCol w:w="960"/>
      </w:tblGrid>
      <w:tr w:rsidR="00023FC4" w:rsidRPr="00020C88" w14:paraId="3172B3D4" w14:textId="77777777" w:rsidTr="00023FC4">
        <w:trPr>
          <w:trHeight w:val="300"/>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A969B"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40094FF"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2017</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560C891"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2018*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CFB128E"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2019*</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0703AE0D"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2020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338E1BF"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2021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83918A1"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2022</w:t>
            </w:r>
          </w:p>
        </w:tc>
      </w:tr>
      <w:tr w:rsidR="00023FC4" w:rsidRPr="00020C88" w14:paraId="3CA692FE"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18698F9B"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počet poskytovateľov</w:t>
            </w:r>
          </w:p>
        </w:tc>
        <w:tc>
          <w:tcPr>
            <w:tcW w:w="960" w:type="dxa"/>
            <w:tcBorders>
              <w:top w:val="nil"/>
              <w:left w:val="nil"/>
              <w:bottom w:val="single" w:sz="8" w:space="0" w:color="auto"/>
              <w:right w:val="single" w:sz="8" w:space="0" w:color="auto"/>
            </w:tcBorders>
            <w:shd w:val="clear" w:color="auto" w:fill="auto"/>
            <w:noWrap/>
            <w:vAlign w:val="center"/>
            <w:hideMark/>
          </w:tcPr>
          <w:p w14:paraId="24B6DAA4"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189</w:t>
            </w:r>
          </w:p>
        </w:tc>
        <w:tc>
          <w:tcPr>
            <w:tcW w:w="960" w:type="dxa"/>
            <w:tcBorders>
              <w:top w:val="nil"/>
              <w:left w:val="nil"/>
              <w:bottom w:val="single" w:sz="8" w:space="0" w:color="auto"/>
              <w:right w:val="single" w:sz="8" w:space="0" w:color="auto"/>
            </w:tcBorders>
            <w:shd w:val="clear" w:color="auto" w:fill="auto"/>
            <w:noWrap/>
            <w:vAlign w:val="center"/>
            <w:hideMark/>
          </w:tcPr>
          <w:p w14:paraId="15EE9B4D"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186</w:t>
            </w:r>
          </w:p>
        </w:tc>
        <w:tc>
          <w:tcPr>
            <w:tcW w:w="960" w:type="dxa"/>
            <w:tcBorders>
              <w:top w:val="nil"/>
              <w:left w:val="nil"/>
              <w:bottom w:val="single" w:sz="8" w:space="0" w:color="auto"/>
              <w:right w:val="single" w:sz="8" w:space="0" w:color="auto"/>
            </w:tcBorders>
            <w:shd w:val="clear" w:color="auto" w:fill="auto"/>
            <w:noWrap/>
            <w:vAlign w:val="center"/>
            <w:hideMark/>
          </w:tcPr>
          <w:p w14:paraId="7DC884A7"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188</w:t>
            </w:r>
          </w:p>
        </w:tc>
        <w:tc>
          <w:tcPr>
            <w:tcW w:w="1120" w:type="dxa"/>
            <w:tcBorders>
              <w:top w:val="nil"/>
              <w:left w:val="nil"/>
              <w:bottom w:val="single" w:sz="8" w:space="0" w:color="auto"/>
              <w:right w:val="single" w:sz="8" w:space="0" w:color="auto"/>
            </w:tcBorders>
            <w:shd w:val="clear" w:color="auto" w:fill="auto"/>
            <w:noWrap/>
            <w:vAlign w:val="center"/>
            <w:hideMark/>
          </w:tcPr>
          <w:p w14:paraId="1095F6E7"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189</w:t>
            </w:r>
          </w:p>
        </w:tc>
        <w:tc>
          <w:tcPr>
            <w:tcW w:w="960" w:type="dxa"/>
            <w:tcBorders>
              <w:top w:val="nil"/>
              <w:left w:val="nil"/>
              <w:bottom w:val="single" w:sz="8" w:space="0" w:color="auto"/>
              <w:right w:val="single" w:sz="8" w:space="0" w:color="auto"/>
            </w:tcBorders>
            <w:shd w:val="clear" w:color="auto" w:fill="auto"/>
            <w:noWrap/>
            <w:vAlign w:val="center"/>
            <w:hideMark/>
          </w:tcPr>
          <w:p w14:paraId="642DB5B0"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189</w:t>
            </w:r>
          </w:p>
        </w:tc>
        <w:tc>
          <w:tcPr>
            <w:tcW w:w="960" w:type="dxa"/>
            <w:tcBorders>
              <w:top w:val="nil"/>
              <w:left w:val="nil"/>
              <w:bottom w:val="single" w:sz="8" w:space="0" w:color="auto"/>
              <w:right w:val="single" w:sz="8" w:space="0" w:color="auto"/>
            </w:tcBorders>
            <w:shd w:val="clear" w:color="auto" w:fill="auto"/>
            <w:noWrap/>
            <w:vAlign w:val="center"/>
            <w:hideMark/>
          </w:tcPr>
          <w:p w14:paraId="489FFC80"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189</w:t>
            </w:r>
          </w:p>
        </w:tc>
      </w:tr>
      <w:tr w:rsidR="00023FC4" w:rsidRPr="00020C88" w14:paraId="04AE4EC8"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5D61E19B"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Počet sestier</w:t>
            </w:r>
          </w:p>
        </w:tc>
        <w:tc>
          <w:tcPr>
            <w:tcW w:w="960" w:type="dxa"/>
            <w:tcBorders>
              <w:top w:val="nil"/>
              <w:left w:val="nil"/>
              <w:bottom w:val="single" w:sz="8" w:space="0" w:color="auto"/>
              <w:right w:val="single" w:sz="8" w:space="0" w:color="auto"/>
            </w:tcBorders>
            <w:shd w:val="clear" w:color="auto" w:fill="auto"/>
            <w:noWrap/>
            <w:vAlign w:val="center"/>
            <w:hideMark/>
          </w:tcPr>
          <w:p w14:paraId="0F18CE27"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802</w:t>
            </w:r>
          </w:p>
        </w:tc>
        <w:tc>
          <w:tcPr>
            <w:tcW w:w="960" w:type="dxa"/>
            <w:tcBorders>
              <w:top w:val="nil"/>
              <w:left w:val="nil"/>
              <w:bottom w:val="single" w:sz="8" w:space="0" w:color="auto"/>
              <w:right w:val="single" w:sz="8" w:space="0" w:color="auto"/>
            </w:tcBorders>
            <w:shd w:val="clear" w:color="auto" w:fill="auto"/>
            <w:noWrap/>
            <w:vAlign w:val="center"/>
            <w:hideMark/>
          </w:tcPr>
          <w:p w14:paraId="45A975A6"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804</w:t>
            </w:r>
          </w:p>
        </w:tc>
        <w:tc>
          <w:tcPr>
            <w:tcW w:w="960" w:type="dxa"/>
            <w:tcBorders>
              <w:top w:val="nil"/>
              <w:left w:val="nil"/>
              <w:bottom w:val="single" w:sz="8" w:space="0" w:color="auto"/>
              <w:right w:val="single" w:sz="8" w:space="0" w:color="auto"/>
            </w:tcBorders>
            <w:shd w:val="clear" w:color="auto" w:fill="auto"/>
            <w:noWrap/>
            <w:vAlign w:val="center"/>
            <w:hideMark/>
          </w:tcPr>
          <w:p w14:paraId="11134616"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809</w:t>
            </w:r>
          </w:p>
        </w:tc>
        <w:tc>
          <w:tcPr>
            <w:tcW w:w="1120" w:type="dxa"/>
            <w:tcBorders>
              <w:top w:val="nil"/>
              <w:left w:val="nil"/>
              <w:bottom w:val="single" w:sz="8" w:space="0" w:color="auto"/>
              <w:right w:val="single" w:sz="8" w:space="0" w:color="auto"/>
            </w:tcBorders>
            <w:shd w:val="clear" w:color="auto" w:fill="auto"/>
            <w:noWrap/>
            <w:vAlign w:val="center"/>
            <w:hideMark/>
          </w:tcPr>
          <w:p w14:paraId="2B74793C"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809</w:t>
            </w:r>
          </w:p>
        </w:tc>
        <w:tc>
          <w:tcPr>
            <w:tcW w:w="960" w:type="dxa"/>
            <w:tcBorders>
              <w:top w:val="nil"/>
              <w:left w:val="nil"/>
              <w:bottom w:val="single" w:sz="8" w:space="0" w:color="auto"/>
              <w:right w:val="single" w:sz="8" w:space="0" w:color="auto"/>
            </w:tcBorders>
            <w:shd w:val="clear" w:color="auto" w:fill="auto"/>
            <w:noWrap/>
            <w:vAlign w:val="center"/>
            <w:hideMark/>
          </w:tcPr>
          <w:p w14:paraId="2E5BB1F6"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809</w:t>
            </w:r>
          </w:p>
        </w:tc>
        <w:tc>
          <w:tcPr>
            <w:tcW w:w="960" w:type="dxa"/>
            <w:tcBorders>
              <w:top w:val="nil"/>
              <w:left w:val="nil"/>
              <w:bottom w:val="single" w:sz="8" w:space="0" w:color="auto"/>
              <w:right w:val="single" w:sz="8" w:space="0" w:color="auto"/>
            </w:tcBorders>
            <w:shd w:val="clear" w:color="auto" w:fill="auto"/>
            <w:noWrap/>
            <w:vAlign w:val="center"/>
            <w:hideMark/>
          </w:tcPr>
          <w:p w14:paraId="0EC708EE"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809</w:t>
            </w:r>
          </w:p>
        </w:tc>
      </w:tr>
      <w:tr w:rsidR="00023FC4" w:rsidRPr="00020C88" w14:paraId="09357CB6"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2E110A9A"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Počet návštev</w:t>
            </w:r>
          </w:p>
        </w:tc>
        <w:tc>
          <w:tcPr>
            <w:tcW w:w="960" w:type="dxa"/>
            <w:tcBorders>
              <w:top w:val="nil"/>
              <w:left w:val="nil"/>
              <w:bottom w:val="single" w:sz="8" w:space="0" w:color="auto"/>
              <w:right w:val="single" w:sz="8" w:space="0" w:color="auto"/>
            </w:tcBorders>
            <w:shd w:val="clear" w:color="auto" w:fill="auto"/>
            <w:noWrap/>
            <w:vAlign w:val="center"/>
            <w:hideMark/>
          </w:tcPr>
          <w:p w14:paraId="5ED07568"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1 534 668</w:t>
            </w:r>
          </w:p>
        </w:tc>
        <w:tc>
          <w:tcPr>
            <w:tcW w:w="960" w:type="dxa"/>
            <w:tcBorders>
              <w:top w:val="nil"/>
              <w:left w:val="nil"/>
              <w:bottom w:val="single" w:sz="8" w:space="0" w:color="auto"/>
              <w:right w:val="single" w:sz="8" w:space="0" w:color="auto"/>
            </w:tcBorders>
            <w:shd w:val="clear" w:color="auto" w:fill="auto"/>
            <w:noWrap/>
            <w:vAlign w:val="center"/>
            <w:hideMark/>
          </w:tcPr>
          <w:p w14:paraId="7E351136"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1 541 268</w:t>
            </w:r>
          </w:p>
        </w:tc>
        <w:tc>
          <w:tcPr>
            <w:tcW w:w="960" w:type="dxa"/>
            <w:tcBorders>
              <w:top w:val="nil"/>
              <w:left w:val="nil"/>
              <w:bottom w:val="single" w:sz="8" w:space="0" w:color="auto"/>
              <w:right w:val="single" w:sz="8" w:space="0" w:color="auto"/>
            </w:tcBorders>
            <w:shd w:val="clear" w:color="auto" w:fill="auto"/>
            <w:noWrap/>
            <w:vAlign w:val="center"/>
            <w:hideMark/>
          </w:tcPr>
          <w:p w14:paraId="54E23D2D"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1 550 853</w:t>
            </w:r>
          </w:p>
        </w:tc>
        <w:tc>
          <w:tcPr>
            <w:tcW w:w="1120" w:type="dxa"/>
            <w:tcBorders>
              <w:top w:val="nil"/>
              <w:left w:val="nil"/>
              <w:bottom w:val="single" w:sz="8" w:space="0" w:color="auto"/>
              <w:right w:val="single" w:sz="8" w:space="0" w:color="auto"/>
            </w:tcBorders>
            <w:shd w:val="clear" w:color="auto" w:fill="auto"/>
            <w:noWrap/>
            <w:vAlign w:val="center"/>
            <w:hideMark/>
          </w:tcPr>
          <w:p w14:paraId="0651CB3B"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1 550 853</w:t>
            </w:r>
          </w:p>
        </w:tc>
        <w:tc>
          <w:tcPr>
            <w:tcW w:w="960" w:type="dxa"/>
            <w:tcBorders>
              <w:top w:val="nil"/>
              <w:left w:val="nil"/>
              <w:bottom w:val="single" w:sz="8" w:space="0" w:color="auto"/>
              <w:right w:val="single" w:sz="8" w:space="0" w:color="auto"/>
            </w:tcBorders>
            <w:shd w:val="clear" w:color="auto" w:fill="auto"/>
            <w:noWrap/>
            <w:vAlign w:val="center"/>
            <w:hideMark/>
          </w:tcPr>
          <w:p w14:paraId="0AEE4EC9"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1 550 853</w:t>
            </w:r>
          </w:p>
        </w:tc>
        <w:tc>
          <w:tcPr>
            <w:tcW w:w="960" w:type="dxa"/>
            <w:tcBorders>
              <w:top w:val="nil"/>
              <w:left w:val="nil"/>
              <w:bottom w:val="single" w:sz="8" w:space="0" w:color="auto"/>
              <w:right w:val="single" w:sz="8" w:space="0" w:color="auto"/>
            </w:tcBorders>
            <w:shd w:val="clear" w:color="auto" w:fill="auto"/>
            <w:noWrap/>
            <w:vAlign w:val="center"/>
            <w:hideMark/>
          </w:tcPr>
          <w:p w14:paraId="735118E8"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1 550 853</w:t>
            </w:r>
          </w:p>
        </w:tc>
      </w:tr>
      <w:tr w:rsidR="00023FC4" w:rsidRPr="00020C88" w14:paraId="0408B9A7"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63FE127B"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Celkové úhrady od ZP</w:t>
            </w:r>
          </w:p>
        </w:tc>
        <w:tc>
          <w:tcPr>
            <w:tcW w:w="960" w:type="dxa"/>
            <w:tcBorders>
              <w:top w:val="nil"/>
              <w:left w:val="nil"/>
              <w:bottom w:val="single" w:sz="8" w:space="0" w:color="auto"/>
              <w:right w:val="single" w:sz="8" w:space="0" w:color="auto"/>
            </w:tcBorders>
            <w:shd w:val="clear" w:color="auto" w:fill="auto"/>
            <w:noWrap/>
            <w:vAlign w:val="center"/>
            <w:hideMark/>
          </w:tcPr>
          <w:p w14:paraId="2517D3A6"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17 000 000 €</w:t>
            </w:r>
          </w:p>
        </w:tc>
        <w:tc>
          <w:tcPr>
            <w:tcW w:w="960" w:type="dxa"/>
            <w:tcBorders>
              <w:top w:val="nil"/>
              <w:left w:val="nil"/>
              <w:bottom w:val="single" w:sz="8" w:space="0" w:color="auto"/>
              <w:right w:val="single" w:sz="8" w:space="0" w:color="auto"/>
            </w:tcBorders>
            <w:shd w:val="clear" w:color="auto" w:fill="auto"/>
            <w:noWrap/>
            <w:vAlign w:val="center"/>
            <w:hideMark/>
          </w:tcPr>
          <w:p w14:paraId="1E1F4E6A"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18 495 216 €</w:t>
            </w:r>
          </w:p>
        </w:tc>
        <w:tc>
          <w:tcPr>
            <w:tcW w:w="960" w:type="dxa"/>
            <w:tcBorders>
              <w:top w:val="nil"/>
              <w:left w:val="nil"/>
              <w:bottom w:val="single" w:sz="8" w:space="0" w:color="auto"/>
              <w:right w:val="single" w:sz="8" w:space="0" w:color="auto"/>
            </w:tcBorders>
            <w:shd w:val="clear" w:color="auto" w:fill="auto"/>
            <w:noWrap/>
            <w:vAlign w:val="center"/>
            <w:hideMark/>
          </w:tcPr>
          <w:p w14:paraId="320FFA72"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18 610 236 €</w:t>
            </w:r>
          </w:p>
        </w:tc>
        <w:tc>
          <w:tcPr>
            <w:tcW w:w="1120" w:type="dxa"/>
            <w:tcBorders>
              <w:top w:val="nil"/>
              <w:left w:val="nil"/>
              <w:bottom w:val="single" w:sz="8" w:space="0" w:color="auto"/>
              <w:right w:val="single" w:sz="8" w:space="0" w:color="auto"/>
            </w:tcBorders>
            <w:shd w:val="clear" w:color="auto" w:fill="auto"/>
            <w:noWrap/>
            <w:vAlign w:val="center"/>
            <w:hideMark/>
          </w:tcPr>
          <w:p w14:paraId="2A07BB43"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18 610 236 €</w:t>
            </w:r>
          </w:p>
        </w:tc>
        <w:tc>
          <w:tcPr>
            <w:tcW w:w="960" w:type="dxa"/>
            <w:tcBorders>
              <w:top w:val="nil"/>
              <w:left w:val="nil"/>
              <w:bottom w:val="single" w:sz="8" w:space="0" w:color="auto"/>
              <w:right w:val="single" w:sz="8" w:space="0" w:color="auto"/>
            </w:tcBorders>
            <w:shd w:val="clear" w:color="auto" w:fill="auto"/>
            <w:noWrap/>
            <w:vAlign w:val="center"/>
            <w:hideMark/>
          </w:tcPr>
          <w:p w14:paraId="05A7B6A3"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18 610 236 €</w:t>
            </w:r>
          </w:p>
        </w:tc>
        <w:tc>
          <w:tcPr>
            <w:tcW w:w="960" w:type="dxa"/>
            <w:tcBorders>
              <w:top w:val="nil"/>
              <w:left w:val="nil"/>
              <w:bottom w:val="single" w:sz="8" w:space="0" w:color="auto"/>
              <w:right w:val="single" w:sz="8" w:space="0" w:color="auto"/>
            </w:tcBorders>
            <w:shd w:val="clear" w:color="auto" w:fill="auto"/>
            <w:noWrap/>
            <w:vAlign w:val="center"/>
            <w:hideMark/>
          </w:tcPr>
          <w:p w14:paraId="0E162EA9"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18 610 236 €</w:t>
            </w:r>
          </w:p>
        </w:tc>
      </w:tr>
      <w:tr w:rsidR="00023FC4" w:rsidRPr="00020C88" w14:paraId="69D21B5D"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5DC6EE3E"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Priemerná úhrada za návštevu</w:t>
            </w:r>
          </w:p>
        </w:tc>
        <w:tc>
          <w:tcPr>
            <w:tcW w:w="960" w:type="dxa"/>
            <w:tcBorders>
              <w:top w:val="nil"/>
              <w:left w:val="nil"/>
              <w:bottom w:val="single" w:sz="8" w:space="0" w:color="auto"/>
              <w:right w:val="single" w:sz="8" w:space="0" w:color="auto"/>
            </w:tcBorders>
            <w:shd w:val="clear" w:color="auto" w:fill="auto"/>
            <w:noWrap/>
            <w:vAlign w:val="center"/>
            <w:hideMark/>
          </w:tcPr>
          <w:p w14:paraId="33AEB1AB"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11 €</w:t>
            </w:r>
          </w:p>
        </w:tc>
        <w:tc>
          <w:tcPr>
            <w:tcW w:w="960" w:type="dxa"/>
            <w:tcBorders>
              <w:top w:val="nil"/>
              <w:left w:val="nil"/>
              <w:bottom w:val="single" w:sz="8" w:space="0" w:color="auto"/>
              <w:right w:val="single" w:sz="8" w:space="0" w:color="auto"/>
            </w:tcBorders>
            <w:shd w:val="clear" w:color="auto" w:fill="auto"/>
            <w:noWrap/>
            <w:vAlign w:val="center"/>
            <w:hideMark/>
          </w:tcPr>
          <w:p w14:paraId="4FE2AB3C"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14:paraId="45D00CE4"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1120" w:type="dxa"/>
            <w:tcBorders>
              <w:top w:val="nil"/>
              <w:left w:val="nil"/>
              <w:bottom w:val="single" w:sz="8" w:space="0" w:color="auto"/>
              <w:right w:val="single" w:sz="8" w:space="0" w:color="auto"/>
            </w:tcBorders>
            <w:shd w:val="clear" w:color="auto" w:fill="auto"/>
            <w:noWrap/>
            <w:vAlign w:val="center"/>
            <w:hideMark/>
          </w:tcPr>
          <w:p w14:paraId="598B567A"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14:paraId="51816361"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14:paraId="6BCE7101"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r>
    </w:tbl>
    <w:p w14:paraId="478DC19E" w14:textId="77777777" w:rsidR="00023FC4" w:rsidRPr="00020C88" w:rsidRDefault="00023FC4" w:rsidP="00023FC4">
      <w:pPr>
        <w:spacing w:after="0" w:line="240" w:lineRule="auto"/>
        <w:jc w:val="both"/>
        <w:rPr>
          <w:rFonts w:ascii="Times New Roman" w:hAnsi="Times New Roman"/>
          <w:sz w:val="20"/>
          <w:szCs w:val="20"/>
        </w:rPr>
      </w:pPr>
      <w:r w:rsidRPr="00020C88">
        <w:rPr>
          <w:rFonts w:ascii="Times New Roman" w:hAnsi="Times New Roman"/>
          <w:sz w:val="20"/>
          <w:szCs w:val="20"/>
        </w:rPr>
        <w:t xml:space="preserve">zdroj: NCZI, </w:t>
      </w:r>
      <w:r w:rsidRPr="00020C88">
        <w:rPr>
          <w:rFonts w:ascii="Times New Roman" w:hAnsi="Times New Roman"/>
          <w:color w:val="000000"/>
          <w:sz w:val="18"/>
          <w:szCs w:val="18"/>
          <w:lang w:eastAsia="sk-SK"/>
        </w:rPr>
        <w:t>údaje za rok 2018 a za rok 2019 nie sú dostupné – počítali sme s 0,8% nárastom za každý rok</w:t>
      </w:r>
    </w:p>
    <w:p w14:paraId="5005C48E" w14:textId="77777777" w:rsidR="00023FC4" w:rsidRPr="00020C88" w:rsidRDefault="00023FC4" w:rsidP="00CB750F">
      <w:pPr>
        <w:spacing w:after="0" w:line="240" w:lineRule="auto"/>
        <w:jc w:val="both"/>
        <w:rPr>
          <w:rFonts w:ascii="Times New Roman" w:hAnsi="Times New Roman"/>
          <w:b/>
          <w:sz w:val="20"/>
          <w:szCs w:val="20"/>
        </w:rPr>
      </w:pPr>
    </w:p>
    <w:p w14:paraId="2BE9A04F" w14:textId="77777777" w:rsidR="00023FC4" w:rsidRPr="00020C88" w:rsidRDefault="00023FC4" w:rsidP="00CB750F">
      <w:pPr>
        <w:spacing w:after="0" w:line="240" w:lineRule="auto"/>
        <w:jc w:val="both"/>
        <w:rPr>
          <w:rFonts w:ascii="Times New Roman" w:hAnsi="Times New Roman"/>
          <w:b/>
          <w:sz w:val="20"/>
          <w:szCs w:val="20"/>
        </w:rPr>
      </w:pPr>
    </w:p>
    <w:p w14:paraId="2F5AB4E7" w14:textId="1EF4A4E2" w:rsidR="00E2311B" w:rsidRPr="00020C88" w:rsidRDefault="00023FC4" w:rsidP="00CB750F">
      <w:pPr>
        <w:spacing w:after="0" w:line="240" w:lineRule="auto"/>
        <w:jc w:val="both"/>
        <w:rPr>
          <w:rFonts w:ascii="Times New Roman" w:hAnsi="Times New Roman"/>
          <w:b/>
          <w:sz w:val="20"/>
          <w:szCs w:val="20"/>
        </w:rPr>
      </w:pPr>
      <w:r w:rsidRPr="00020C88">
        <w:rPr>
          <w:rFonts w:ascii="Times New Roman" w:hAnsi="Times New Roman"/>
          <w:b/>
          <w:sz w:val="20"/>
          <w:szCs w:val="20"/>
        </w:rPr>
        <w:t>N</w:t>
      </w:r>
      <w:r w:rsidR="00E2311B" w:rsidRPr="00020C88">
        <w:rPr>
          <w:rFonts w:ascii="Times New Roman" w:hAnsi="Times New Roman"/>
          <w:b/>
          <w:sz w:val="20"/>
          <w:szCs w:val="20"/>
        </w:rPr>
        <w:t>ávrhy pre Ados:</w:t>
      </w:r>
    </w:p>
    <w:tbl>
      <w:tblPr>
        <w:tblW w:w="8120" w:type="dxa"/>
        <w:tblInd w:w="-10" w:type="dxa"/>
        <w:tblCellMar>
          <w:left w:w="70" w:type="dxa"/>
          <w:right w:w="70" w:type="dxa"/>
        </w:tblCellMar>
        <w:tblLook w:val="04A0" w:firstRow="1" w:lastRow="0" w:firstColumn="1" w:lastColumn="0" w:noHBand="0" w:noVBand="1"/>
      </w:tblPr>
      <w:tblGrid>
        <w:gridCol w:w="2200"/>
        <w:gridCol w:w="960"/>
        <w:gridCol w:w="960"/>
        <w:gridCol w:w="960"/>
        <w:gridCol w:w="1120"/>
        <w:gridCol w:w="960"/>
        <w:gridCol w:w="960"/>
      </w:tblGrid>
      <w:tr w:rsidR="00023FC4" w:rsidRPr="00020C88" w14:paraId="55C6F69B" w14:textId="77777777" w:rsidTr="00023FC4">
        <w:trPr>
          <w:trHeight w:val="300"/>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6AD01E"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BBF097B"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2017</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ADB93D0"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2018*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4C2947D"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2019*</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47C7580D"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2020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589BFFE"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2021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09741DF"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2022</w:t>
            </w:r>
          </w:p>
        </w:tc>
      </w:tr>
      <w:tr w:rsidR="00023FC4" w:rsidRPr="00020C88" w14:paraId="6443CE6A"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4CEF760B"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počet poskytovateľov</w:t>
            </w:r>
          </w:p>
        </w:tc>
        <w:tc>
          <w:tcPr>
            <w:tcW w:w="960" w:type="dxa"/>
            <w:tcBorders>
              <w:top w:val="nil"/>
              <w:left w:val="nil"/>
              <w:bottom w:val="single" w:sz="8" w:space="0" w:color="auto"/>
              <w:right w:val="single" w:sz="8" w:space="0" w:color="auto"/>
            </w:tcBorders>
            <w:shd w:val="clear" w:color="auto" w:fill="auto"/>
            <w:noWrap/>
            <w:vAlign w:val="center"/>
            <w:hideMark/>
          </w:tcPr>
          <w:p w14:paraId="199066C1"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189</w:t>
            </w:r>
          </w:p>
        </w:tc>
        <w:tc>
          <w:tcPr>
            <w:tcW w:w="960" w:type="dxa"/>
            <w:tcBorders>
              <w:top w:val="nil"/>
              <w:left w:val="nil"/>
              <w:bottom w:val="single" w:sz="8" w:space="0" w:color="auto"/>
              <w:right w:val="single" w:sz="8" w:space="0" w:color="auto"/>
            </w:tcBorders>
            <w:shd w:val="clear" w:color="auto" w:fill="auto"/>
            <w:noWrap/>
            <w:vAlign w:val="center"/>
            <w:hideMark/>
          </w:tcPr>
          <w:p w14:paraId="53C2BD06"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186</w:t>
            </w:r>
          </w:p>
        </w:tc>
        <w:tc>
          <w:tcPr>
            <w:tcW w:w="960" w:type="dxa"/>
            <w:tcBorders>
              <w:top w:val="nil"/>
              <w:left w:val="nil"/>
              <w:bottom w:val="single" w:sz="8" w:space="0" w:color="auto"/>
              <w:right w:val="single" w:sz="8" w:space="0" w:color="auto"/>
            </w:tcBorders>
            <w:shd w:val="clear" w:color="auto" w:fill="auto"/>
            <w:noWrap/>
            <w:vAlign w:val="center"/>
            <w:hideMark/>
          </w:tcPr>
          <w:p w14:paraId="70DA70E2"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188</w:t>
            </w:r>
          </w:p>
        </w:tc>
        <w:tc>
          <w:tcPr>
            <w:tcW w:w="1120" w:type="dxa"/>
            <w:tcBorders>
              <w:top w:val="nil"/>
              <w:left w:val="nil"/>
              <w:bottom w:val="single" w:sz="8" w:space="0" w:color="auto"/>
              <w:right w:val="single" w:sz="8" w:space="0" w:color="auto"/>
            </w:tcBorders>
            <w:shd w:val="clear" w:color="auto" w:fill="auto"/>
            <w:noWrap/>
            <w:vAlign w:val="center"/>
            <w:hideMark/>
          </w:tcPr>
          <w:p w14:paraId="072988EA"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194</w:t>
            </w:r>
          </w:p>
        </w:tc>
        <w:tc>
          <w:tcPr>
            <w:tcW w:w="960" w:type="dxa"/>
            <w:tcBorders>
              <w:top w:val="nil"/>
              <w:left w:val="nil"/>
              <w:bottom w:val="single" w:sz="8" w:space="0" w:color="auto"/>
              <w:right w:val="single" w:sz="8" w:space="0" w:color="auto"/>
            </w:tcBorders>
            <w:shd w:val="clear" w:color="auto" w:fill="auto"/>
            <w:noWrap/>
            <w:vAlign w:val="center"/>
            <w:hideMark/>
          </w:tcPr>
          <w:p w14:paraId="5F762164"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200</w:t>
            </w:r>
          </w:p>
        </w:tc>
        <w:tc>
          <w:tcPr>
            <w:tcW w:w="960" w:type="dxa"/>
            <w:tcBorders>
              <w:top w:val="nil"/>
              <w:left w:val="nil"/>
              <w:bottom w:val="single" w:sz="8" w:space="0" w:color="auto"/>
              <w:right w:val="single" w:sz="8" w:space="0" w:color="auto"/>
            </w:tcBorders>
            <w:shd w:val="clear" w:color="auto" w:fill="auto"/>
            <w:noWrap/>
            <w:vAlign w:val="center"/>
            <w:hideMark/>
          </w:tcPr>
          <w:p w14:paraId="51EBF5DC"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205</w:t>
            </w:r>
          </w:p>
        </w:tc>
      </w:tr>
      <w:tr w:rsidR="00023FC4" w:rsidRPr="00020C88" w14:paraId="1445C8CA"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18529C04"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Počet sestier</w:t>
            </w:r>
          </w:p>
        </w:tc>
        <w:tc>
          <w:tcPr>
            <w:tcW w:w="960" w:type="dxa"/>
            <w:tcBorders>
              <w:top w:val="nil"/>
              <w:left w:val="nil"/>
              <w:bottom w:val="single" w:sz="8" w:space="0" w:color="auto"/>
              <w:right w:val="single" w:sz="8" w:space="0" w:color="auto"/>
            </w:tcBorders>
            <w:shd w:val="clear" w:color="auto" w:fill="auto"/>
            <w:noWrap/>
            <w:vAlign w:val="center"/>
            <w:hideMark/>
          </w:tcPr>
          <w:p w14:paraId="34380152"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802</w:t>
            </w:r>
          </w:p>
        </w:tc>
        <w:tc>
          <w:tcPr>
            <w:tcW w:w="960" w:type="dxa"/>
            <w:tcBorders>
              <w:top w:val="nil"/>
              <w:left w:val="nil"/>
              <w:bottom w:val="single" w:sz="8" w:space="0" w:color="auto"/>
              <w:right w:val="single" w:sz="8" w:space="0" w:color="auto"/>
            </w:tcBorders>
            <w:shd w:val="clear" w:color="auto" w:fill="auto"/>
            <w:noWrap/>
            <w:vAlign w:val="center"/>
            <w:hideMark/>
          </w:tcPr>
          <w:p w14:paraId="639785A5"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804</w:t>
            </w:r>
          </w:p>
        </w:tc>
        <w:tc>
          <w:tcPr>
            <w:tcW w:w="960" w:type="dxa"/>
            <w:tcBorders>
              <w:top w:val="nil"/>
              <w:left w:val="nil"/>
              <w:bottom w:val="single" w:sz="8" w:space="0" w:color="auto"/>
              <w:right w:val="single" w:sz="8" w:space="0" w:color="auto"/>
            </w:tcBorders>
            <w:shd w:val="clear" w:color="auto" w:fill="auto"/>
            <w:noWrap/>
            <w:vAlign w:val="center"/>
            <w:hideMark/>
          </w:tcPr>
          <w:p w14:paraId="46EF097F"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809</w:t>
            </w:r>
          </w:p>
        </w:tc>
        <w:tc>
          <w:tcPr>
            <w:tcW w:w="1120" w:type="dxa"/>
            <w:tcBorders>
              <w:top w:val="nil"/>
              <w:left w:val="nil"/>
              <w:bottom w:val="single" w:sz="8" w:space="0" w:color="auto"/>
              <w:right w:val="single" w:sz="8" w:space="0" w:color="auto"/>
            </w:tcBorders>
            <w:shd w:val="clear" w:color="auto" w:fill="auto"/>
            <w:noWrap/>
            <w:vAlign w:val="center"/>
            <w:hideMark/>
          </w:tcPr>
          <w:p w14:paraId="5B4C1EF5"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820</w:t>
            </w:r>
          </w:p>
        </w:tc>
        <w:tc>
          <w:tcPr>
            <w:tcW w:w="960" w:type="dxa"/>
            <w:tcBorders>
              <w:top w:val="nil"/>
              <w:left w:val="nil"/>
              <w:bottom w:val="single" w:sz="8" w:space="0" w:color="auto"/>
              <w:right w:val="single" w:sz="8" w:space="0" w:color="auto"/>
            </w:tcBorders>
            <w:shd w:val="clear" w:color="auto" w:fill="auto"/>
            <w:noWrap/>
            <w:vAlign w:val="center"/>
            <w:hideMark/>
          </w:tcPr>
          <w:p w14:paraId="124C8455"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825</w:t>
            </w:r>
          </w:p>
        </w:tc>
        <w:tc>
          <w:tcPr>
            <w:tcW w:w="960" w:type="dxa"/>
            <w:tcBorders>
              <w:top w:val="nil"/>
              <w:left w:val="nil"/>
              <w:bottom w:val="single" w:sz="8" w:space="0" w:color="auto"/>
              <w:right w:val="single" w:sz="8" w:space="0" w:color="auto"/>
            </w:tcBorders>
            <w:shd w:val="clear" w:color="auto" w:fill="auto"/>
            <w:noWrap/>
            <w:vAlign w:val="center"/>
            <w:hideMark/>
          </w:tcPr>
          <w:p w14:paraId="1C7D76DD"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830</w:t>
            </w:r>
          </w:p>
        </w:tc>
      </w:tr>
      <w:tr w:rsidR="00023FC4" w:rsidRPr="00020C88" w14:paraId="6CBC60A0"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5434B251"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Počet návštev</w:t>
            </w:r>
          </w:p>
        </w:tc>
        <w:tc>
          <w:tcPr>
            <w:tcW w:w="960" w:type="dxa"/>
            <w:tcBorders>
              <w:top w:val="nil"/>
              <w:left w:val="nil"/>
              <w:bottom w:val="single" w:sz="8" w:space="0" w:color="auto"/>
              <w:right w:val="single" w:sz="8" w:space="0" w:color="auto"/>
            </w:tcBorders>
            <w:shd w:val="clear" w:color="auto" w:fill="auto"/>
            <w:noWrap/>
            <w:vAlign w:val="center"/>
            <w:hideMark/>
          </w:tcPr>
          <w:p w14:paraId="04A9AB77"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1 534 668</w:t>
            </w:r>
          </w:p>
        </w:tc>
        <w:tc>
          <w:tcPr>
            <w:tcW w:w="960" w:type="dxa"/>
            <w:tcBorders>
              <w:top w:val="nil"/>
              <w:left w:val="nil"/>
              <w:bottom w:val="single" w:sz="8" w:space="0" w:color="auto"/>
              <w:right w:val="single" w:sz="8" w:space="0" w:color="auto"/>
            </w:tcBorders>
            <w:shd w:val="clear" w:color="auto" w:fill="auto"/>
            <w:noWrap/>
            <w:vAlign w:val="center"/>
            <w:hideMark/>
          </w:tcPr>
          <w:p w14:paraId="7C23A621"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1 541 268</w:t>
            </w:r>
          </w:p>
        </w:tc>
        <w:tc>
          <w:tcPr>
            <w:tcW w:w="960" w:type="dxa"/>
            <w:tcBorders>
              <w:top w:val="nil"/>
              <w:left w:val="nil"/>
              <w:bottom w:val="single" w:sz="8" w:space="0" w:color="auto"/>
              <w:right w:val="single" w:sz="8" w:space="0" w:color="auto"/>
            </w:tcBorders>
            <w:shd w:val="clear" w:color="auto" w:fill="auto"/>
            <w:noWrap/>
            <w:vAlign w:val="center"/>
            <w:hideMark/>
          </w:tcPr>
          <w:p w14:paraId="7EA93F23"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1 550 853</w:t>
            </w:r>
          </w:p>
        </w:tc>
        <w:tc>
          <w:tcPr>
            <w:tcW w:w="1120" w:type="dxa"/>
            <w:tcBorders>
              <w:top w:val="nil"/>
              <w:left w:val="nil"/>
              <w:bottom w:val="single" w:sz="8" w:space="0" w:color="auto"/>
              <w:right w:val="single" w:sz="8" w:space="0" w:color="auto"/>
            </w:tcBorders>
            <w:shd w:val="clear" w:color="auto" w:fill="auto"/>
            <w:noWrap/>
            <w:vAlign w:val="center"/>
            <w:hideMark/>
          </w:tcPr>
          <w:p w14:paraId="3DE82B5C"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1 571 940</w:t>
            </w:r>
          </w:p>
        </w:tc>
        <w:tc>
          <w:tcPr>
            <w:tcW w:w="960" w:type="dxa"/>
            <w:tcBorders>
              <w:top w:val="nil"/>
              <w:left w:val="nil"/>
              <w:bottom w:val="single" w:sz="8" w:space="0" w:color="auto"/>
              <w:right w:val="single" w:sz="8" w:space="0" w:color="auto"/>
            </w:tcBorders>
            <w:shd w:val="clear" w:color="auto" w:fill="auto"/>
            <w:noWrap/>
            <w:vAlign w:val="center"/>
            <w:hideMark/>
          </w:tcPr>
          <w:p w14:paraId="0ED435D3"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1 581 525</w:t>
            </w:r>
          </w:p>
        </w:tc>
        <w:tc>
          <w:tcPr>
            <w:tcW w:w="960" w:type="dxa"/>
            <w:tcBorders>
              <w:top w:val="nil"/>
              <w:left w:val="nil"/>
              <w:bottom w:val="single" w:sz="8" w:space="0" w:color="auto"/>
              <w:right w:val="single" w:sz="8" w:space="0" w:color="auto"/>
            </w:tcBorders>
            <w:shd w:val="clear" w:color="auto" w:fill="auto"/>
            <w:noWrap/>
            <w:vAlign w:val="center"/>
            <w:hideMark/>
          </w:tcPr>
          <w:p w14:paraId="7E21AB7A"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1 591 110</w:t>
            </w:r>
          </w:p>
        </w:tc>
      </w:tr>
      <w:tr w:rsidR="00023FC4" w:rsidRPr="00020C88" w14:paraId="2372B588"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11D3DD54"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Celkové úhrady od ZP</w:t>
            </w:r>
          </w:p>
        </w:tc>
        <w:tc>
          <w:tcPr>
            <w:tcW w:w="960" w:type="dxa"/>
            <w:tcBorders>
              <w:top w:val="nil"/>
              <w:left w:val="nil"/>
              <w:bottom w:val="single" w:sz="8" w:space="0" w:color="auto"/>
              <w:right w:val="single" w:sz="8" w:space="0" w:color="auto"/>
            </w:tcBorders>
            <w:shd w:val="clear" w:color="auto" w:fill="auto"/>
            <w:noWrap/>
            <w:vAlign w:val="center"/>
            <w:hideMark/>
          </w:tcPr>
          <w:p w14:paraId="07DE9518"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17 000 000 €</w:t>
            </w:r>
          </w:p>
        </w:tc>
        <w:tc>
          <w:tcPr>
            <w:tcW w:w="960" w:type="dxa"/>
            <w:tcBorders>
              <w:top w:val="nil"/>
              <w:left w:val="nil"/>
              <w:bottom w:val="single" w:sz="8" w:space="0" w:color="auto"/>
              <w:right w:val="single" w:sz="8" w:space="0" w:color="auto"/>
            </w:tcBorders>
            <w:shd w:val="clear" w:color="auto" w:fill="auto"/>
            <w:noWrap/>
            <w:vAlign w:val="center"/>
            <w:hideMark/>
          </w:tcPr>
          <w:p w14:paraId="010A6854"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18 495 216 €</w:t>
            </w:r>
          </w:p>
        </w:tc>
        <w:tc>
          <w:tcPr>
            <w:tcW w:w="960" w:type="dxa"/>
            <w:tcBorders>
              <w:top w:val="nil"/>
              <w:left w:val="nil"/>
              <w:bottom w:val="single" w:sz="8" w:space="0" w:color="auto"/>
              <w:right w:val="single" w:sz="8" w:space="0" w:color="auto"/>
            </w:tcBorders>
            <w:shd w:val="clear" w:color="auto" w:fill="auto"/>
            <w:noWrap/>
            <w:vAlign w:val="center"/>
            <w:hideMark/>
          </w:tcPr>
          <w:p w14:paraId="0751113F"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18 610 236 €</w:t>
            </w:r>
          </w:p>
        </w:tc>
        <w:tc>
          <w:tcPr>
            <w:tcW w:w="1120" w:type="dxa"/>
            <w:tcBorders>
              <w:top w:val="nil"/>
              <w:left w:val="nil"/>
              <w:bottom w:val="single" w:sz="8" w:space="0" w:color="auto"/>
              <w:right w:val="single" w:sz="8" w:space="0" w:color="auto"/>
            </w:tcBorders>
            <w:shd w:val="clear" w:color="auto" w:fill="auto"/>
            <w:noWrap/>
            <w:vAlign w:val="center"/>
            <w:hideMark/>
          </w:tcPr>
          <w:p w14:paraId="4C0F503D"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18 863 280 €</w:t>
            </w:r>
          </w:p>
        </w:tc>
        <w:tc>
          <w:tcPr>
            <w:tcW w:w="960" w:type="dxa"/>
            <w:tcBorders>
              <w:top w:val="nil"/>
              <w:left w:val="nil"/>
              <w:bottom w:val="single" w:sz="8" w:space="0" w:color="auto"/>
              <w:right w:val="single" w:sz="8" w:space="0" w:color="auto"/>
            </w:tcBorders>
            <w:shd w:val="clear" w:color="auto" w:fill="auto"/>
            <w:noWrap/>
            <w:vAlign w:val="center"/>
            <w:hideMark/>
          </w:tcPr>
          <w:p w14:paraId="02861BE7"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20 559 825 €</w:t>
            </w:r>
          </w:p>
        </w:tc>
        <w:tc>
          <w:tcPr>
            <w:tcW w:w="960" w:type="dxa"/>
            <w:tcBorders>
              <w:top w:val="nil"/>
              <w:left w:val="nil"/>
              <w:bottom w:val="single" w:sz="8" w:space="0" w:color="auto"/>
              <w:right w:val="single" w:sz="8" w:space="0" w:color="auto"/>
            </w:tcBorders>
            <w:shd w:val="clear" w:color="auto" w:fill="auto"/>
            <w:noWrap/>
            <w:vAlign w:val="center"/>
            <w:hideMark/>
          </w:tcPr>
          <w:p w14:paraId="6DE91FB8"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20 684 430 €</w:t>
            </w:r>
          </w:p>
        </w:tc>
      </w:tr>
      <w:tr w:rsidR="00023FC4" w:rsidRPr="00020C88" w14:paraId="253A9364" w14:textId="77777777" w:rsidTr="00023FC4">
        <w:trPr>
          <w:trHeight w:val="30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02AAEB2A"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Priemerná úhrada za návštevu</w:t>
            </w:r>
          </w:p>
        </w:tc>
        <w:tc>
          <w:tcPr>
            <w:tcW w:w="960" w:type="dxa"/>
            <w:tcBorders>
              <w:top w:val="nil"/>
              <w:left w:val="nil"/>
              <w:bottom w:val="single" w:sz="8" w:space="0" w:color="auto"/>
              <w:right w:val="single" w:sz="8" w:space="0" w:color="auto"/>
            </w:tcBorders>
            <w:shd w:val="clear" w:color="auto" w:fill="auto"/>
            <w:noWrap/>
            <w:vAlign w:val="center"/>
            <w:hideMark/>
          </w:tcPr>
          <w:p w14:paraId="720C6C0B"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11 €</w:t>
            </w:r>
          </w:p>
        </w:tc>
        <w:tc>
          <w:tcPr>
            <w:tcW w:w="960" w:type="dxa"/>
            <w:tcBorders>
              <w:top w:val="nil"/>
              <w:left w:val="nil"/>
              <w:bottom w:val="single" w:sz="8" w:space="0" w:color="auto"/>
              <w:right w:val="single" w:sz="8" w:space="0" w:color="auto"/>
            </w:tcBorders>
            <w:shd w:val="clear" w:color="auto" w:fill="auto"/>
            <w:noWrap/>
            <w:vAlign w:val="center"/>
            <w:hideMark/>
          </w:tcPr>
          <w:p w14:paraId="6199CE45"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14:paraId="648B099A"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1120" w:type="dxa"/>
            <w:tcBorders>
              <w:top w:val="nil"/>
              <w:left w:val="nil"/>
              <w:bottom w:val="single" w:sz="8" w:space="0" w:color="auto"/>
              <w:right w:val="single" w:sz="8" w:space="0" w:color="auto"/>
            </w:tcBorders>
            <w:shd w:val="clear" w:color="auto" w:fill="auto"/>
            <w:noWrap/>
            <w:vAlign w:val="center"/>
            <w:hideMark/>
          </w:tcPr>
          <w:p w14:paraId="44FC3F4C"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14:paraId="1C152519"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13 €</w:t>
            </w:r>
          </w:p>
        </w:tc>
        <w:tc>
          <w:tcPr>
            <w:tcW w:w="960" w:type="dxa"/>
            <w:tcBorders>
              <w:top w:val="nil"/>
              <w:left w:val="nil"/>
              <w:bottom w:val="single" w:sz="8" w:space="0" w:color="auto"/>
              <w:right w:val="single" w:sz="8" w:space="0" w:color="auto"/>
            </w:tcBorders>
            <w:shd w:val="clear" w:color="auto" w:fill="auto"/>
            <w:noWrap/>
            <w:vAlign w:val="center"/>
            <w:hideMark/>
          </w:tcPr>
          <w:p w14:paraId="723CE56E"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13 €</w:t>
            </w:r>
          </w:p>
        </w:tc>
      </w:tr>
      <w:tr w:rsidR="00023FC4" w:rsidRPr="00020C88" w14:paraId="31E1FE4F" w14:textId="77777777" w:rsidTr="00023FC4">
        <w:trPr>
          <w:trHeight w:val="430"/>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5335227E"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Cena za dopravu - 2,75 € za návštevu</w:t>
            </w:r>
          </w:p>
        </w:tc>
        <w:tc>
          <w:tcPr>
            <w:tcW w:w="960" w:type="dxa"/>
            <w:tcBorders>
              <w:top w:val="nil"/>
              <w:left w:val="nil"/>
              <w:bottom w:val="single" w:sz="8" w:space="0" w:color="auto"/>
              <w:right w:val="single" w:sz="8" w:space="0" w:color="auto"/>
            </w:tcBorders>
            <w:shd w:val="clear" w:color="auto" w:fill="auto"/>
            <w:noWrap/>
            <w:hideMark/>
          </w:tcPr>
          <w:p w14:paraId="38791A55" w14:textId="77777777" w:rsidR="00023FC4" w:rsidRPr="00020C88" w:rsidRDefault="00023FC4" w:rsidP="00023FC4">
            <w:pPr>
              <w:spacing w:after="0" w:line="240" w:lineRule="auto"/>
              <w:rPr>
                <w:rFonts w:ascii="Times New Roman" w:hAnsi="Times New Roman"/>
                <w:color w:val="000000"/>
                <w:lang w:eastAsia="sk-SK"/>
              </w:rPr>
            </w:pPr>
            <w:r w:rsidRPr="00020C88">
              <w:rPr>
                <w:rFonts w:ascii="Times New Roman" w:hAnsi="Times New Roman"/>
                <w:color w:val="000000"/>
                <w:lang w:eastAsia="sk-SK"/>
              </w:rPr>
              <w:t> </w:t>
            </w:r>
          </w:p>
        </w:tc>
        <w:tc>
          <w:tcPr>
            <w:tcW w:w="960" w:type="dxa"/>
            <w:tcBorders>
              <w:top w:val="nil"/>
              <w:left w:val="nil"/>
              <w:bottom w:val="single" w:sz="8" w:space="0" w:color="auto"/>
              <w:right w:val="single" w:sz="8" w:space="0" w:color="auto"/>
            </w:tcBorders>
            <w:shd w:val="clear" w:color="auto" w:fill="auto"/>
            <w:noWrap/>
            <w:vAlign w:val="center"/>
            <w:hideMark/>
          </w:tcPr>
          <w:p w14:paraId="18F41190"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960" w:type="dxa"/>
            <w:tcBorders>
              <w:top w:val="nil"/>
              <w:left w:val="nil"/>
              <w:bottom w:val="single" w:sz="8" w:space="0" w:color="auto"/>
              <w:right w:val="single" w:sz="8" w:space="0" w:color="auto"/>
            </w:tcBorders>
            <w:shd w:val="clear" w:color="auto" w:fill="auto"/>
            <w:noWrap/>
            <w:vAlign w:val="center"/>
            <w:hideMark/>
          </w:tcPr>
          <w:p w14:paraId="66527D41"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noWrap/>
            <w:vAlign w:val="center"/>
            <w:hideMark/>
          </w:tcPr>
          <w:p w14:paraId="059C0C72"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5 262 266 €</w:t>
            </w:r>
          </w:p>
        </w:tc>
        <w:tc>
          <w:tcPr>
            <w:tcW w:w="960" w:type="dxa"/>
            <w:tcBorders>
              <w:top w:val="nil"/>
              <w:left w:val="nil"/>
              <w:bottom w:val="single" w:sz="8" w:space="0" w:color="auto"/>
              <w:right w:val="single" w:sz="8" w:space="0" w:color="auto"/>
            </w:tcBorders>
            <w:shd w:val="clear" w:color="auto" w:fill="auto"/>
            <w:noWrap/>
            <w:vAlign w:val="center"/>
            <w:hideMark/>
          </w:tcPr>
          <w:p w14:paraId="4E961F1F"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5 599 051 €</w:t>
            </w:r>
          </w:p>
        </w:tc>
        <w:tc>
          <w:tcPr>
            <w:tcW w:w="960" w:type="dxa"/>
            <w:tcBorders>
              <w:top w:val="nil"/>
              <w:left w:val="nil"/>
              <w:bottom w:val="single" w:sz="8" w:space="0" w:color="auto"/>
              <w:right w:val="single" w:sz="8" w:space="0" w:color="auto"/>
            </w:tcBorders>
            <w:shd w:val="clear" w:color="auto" w:fill="auto"/>
            <w:noWrap/>
            <w:vAlign w:val="center"/>
            <w:hideMark/>
          </w:tcPr>
          <w:p w14:paraId="7034BA75"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5 935 836 €</w:t>
            </w:r>
          </w:p>
        </w:tc>
      </w:tr>
      <w:tr w:rsidR="00023FC4" w:rsidRPr="00020C88" w14:paraId="362B12E1" w14:textId="77777777" w:rsidTr="00023FC4">
        <w:trPr>
          <w:trHeight w:val="70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5E5F471" w14:textId="77777777" w:rsidR="00023FC4" w:rsidRPr="00020C88" w:rsidRDefault="00023FC4" w:rsidP="00023F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Rozdiel pri rozšírenej sieti oproti stavu bez legislatívnej zmeny</w:t>
            </w:r>
          </w:p>
        </w:tc>
        <w:tc>
          <w:tcPr>
            <w:tcW w:w="960" w:type="dxa"/>
            <w:tcBorders>
              <w:top w:val="nil"/>
              <w:left w:val="nil"/>
              <w:bottom w:val="single" w:sz="8" w:space="0" w:color="auto"/>
              <w:right w:val="single" w:sz="8" w:space="0" w:color="auto"/>
            </w:tcBorders>
            <w:shd w:val="clear" w:color="auto" w:fill="auto"/>
            <w:noWrap/>
            <w:hideMark/>
          </w:tcPr>
          <w:p w14:paraId="21DF616E" w14:textId="77777777" w:rsidR="00023FC4" w:rsidRPr="00020C88" w:rsidRDefault="00023FC4" w:rsidP="00023FC4">
            <w:pPr>
              <w:spacing w:after="0" w:line="240" w:lineRule="auto"/>
              <w:rPr>
                <w:rFonts w:ascii="Times New Roman" w:hAnsi="Times New Roman"/>
                <w:color w:val="000000"/>
                <w:lang w:eastAsia="sk-SK"/>
              </w:rPr>
            </w:pPr>
            <w:r w:rsidRPr="00020C88">
              <w:rPr>
                <w:rFonts w:ascii="Times New Roman" w:hAnsi="Times New Roman"/>
                <w:color w:val="000000"/>
                <w:lang w:eastAsia="sk-SK"/>
              </w:rPr>
              <w:t> </w:t>
            </w:r>
          </w:p>
        </w:tc>
        <w:tc>
          <w:tcPr>
            <w:tcW w:w="960" w:type="dxa"/>
            <w:tcBorders>
              <w:top w:val="nil"/>
              <w:left w:val="nil"/>
              <w:bottom w:val="single" w:sz="8" w:space="0" w:color="auto"/>
              <w:right w:val="single" w:sz="8" w:space="0" w:color="auto"/>
            </w:tcBorders>
            <w:shd w:val="clear" w:color="auto" w:fill="auto"/>
            <w:noWrap/>
            <w:vAlign w:val="center"/>
            <w:hideMark/>
          </w:tcPr>
          <w:p w14:paraId="11A96C4A"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960" w:type="dxa"/>
            <w:tcBorders>
              <w:top w:val="nil"/>
              <w:left w:val="nil"/>
              <w:bottom w:val="single" w:sz="8" w:space="0" w:color="auto"/>
              <w:right w:val="single" w:sz="8" w:space="0" w:color="auto"/>
            </w:tcBorders>
            <w:shd w:val="clear" w:color="auto" w:fill="auto"/>
            <w:noWrap/>
            <w:vAlign w:val="center"/>
            <w:hideMark/>
          </w:tcPr>
          <w:p w14:paraId="2BAC169F"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noWrap/>
            <w:vAlign w:val="center"/>
            <w:hideMark/>
          </w:tcPr>
          <w:p w14:paraId="03EC8D09"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253 044 €</w:t>
            </w:r>
          </w:p>
        </w:tc>
        <w:tc>
          <w:tcPr>
            <w:tcW w:w="960" w:type="dxa"/>
            <w:tcBorders>
              <w:top w:val="nil"/>
              <w:left w:val="nil"/>
              <w:bottom w:val="single" w:sz="8" w:space="0" w:color="auto"/>
              <w:right w:val="single" w:sz="8" w:space="0" w:color="auto"/>
            </w:tcBorders>
            <w:shd w:val="clear" w:color="auto" w:fill="auto"/>
            <w:noWrap/>
            <w:vAlign w:val="center"/>
            <w:hideMark/>
          </w:tcPr>
          <w:p w14:paraId="24EB3962"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1 949 589 €</w:t>
            </w:r>
          </w:p>
        </w:tc>
        <w:tc>
          <w:tcPr>
            <w:tcW w:w="960" w:type="dxa"/>
            <w:tcBorders>
              <w:top w:val="nil"/>
              <w:left w:val="nil"/>
              <w:bottom w:val="single" w:sz="8" w:space="0" w:color="auto"/>
              <w:right w:val="single" w:sz="8" w:space="0" w:color="auto"/>
            </w:tcBorders>
            <w:shd w:val="clear" w:color="auto" w:fill="auto"/>
            <w:noWrap/>
            <w:vAlign w:val="center"/>
            <w:hideMark/>
          </w:tcPr>
          <w:p w14:paraId="6F053765"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2 074 194 €</w:t>
            </w:r>
          </w:p>
        </w:tc>
      </w:tr>
      <w:tr w:rsidR="00023FC4" w:rsidRPr="00020C88" w14:paraId="02A6D52B" w14:textId="77777777" w:rsidTr="00023FC4">
        <w:trPr>
          <w:trHeight w:val="460"/>
        </w:trPr>
        <w:tc>
          <w:tcPr>
            <w:tcW w:w="2200" w:type="dxa"/>
            <w:tcBorders>
              <w:top w:val="nil"/>
              <w:left w:val="single" w:sz="8" w:space="0" w:color="auto"/>
              <w:bottom w:val="nil"/>
              <w:right w:val="single" w:sz="8" w:space="0" w:color="auto"/>
            </w:tcBorders>
            <w:shd w:val="clear" w:color="auto" w:fill="auto"/>
            <w:vAlign w:val="center"/>
            <w:hideMark/>
          </w:tcPr>
          <w:p w14:paraId="2D801EE0" w14:textId="77777777" w:rsidR="00023FC4" w:rsidRPr="00020C88" w:rsidRDefault="00023FC4" w:rsidP="00023F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Rozdiel pri doprave oproti stavu bez legislatívnej zmeny</w:t>
            </w:r>
          </w:p>
        </w:tc>
        <w:tc>
          <w:tcPr>
            <w:tcW w:w="960" w:type="dxa"/>
            <w:tcBorders>
              <w:top w:val="nil"/>
              <w:left w:val="nil"/>
              <w:bottom w:val="nil"/>
              <w:right w:val="single" w:sz="8" w:space="0" w:color="auto"/>
            </w:tcBorders>
            <w:shd w:val="clear" w:color="auto" w:fill="auto"/>
            <w:noWrap/>
            <w:vAlign w:val="center"/>
            <w:hideMark/>
          </w:tcPr>
          <w:p w14:paraId="272D48C0"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960" w:type="dxa"/>
            <w:tcBorders>
              <w:top w:val="nil"/>
              <w:left w:val="nil"/>
              <w:bottom w:val="nil"/>
              <w:right w:val="single" w:sz="8" w:space="0" w:color="auto"/>
            </w:tcBorders>
            <w:shd w:val="clear" w:color="auto" w:fill="auto"/>
            <w:noWrap/>
            <w:vAlign w:val="center"/>
            <w:hideMark/>
          </w:tcPr>
          <w:p w14:paraId="0F4CAB45"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960" w:type="dxa"/>
            <w:tcBorders>
              <w:top w:val="nil"/>
              <w:left w:val="nil"/>
              <w:bottom w:val="nil"/>
              <w:right w:val="single" w:sz="8" w:space="0" w:color="auto"/>
            </w:tcBorders>
            <w:shd w:val="clear" w:color="auto" w:fill="auto"/>
            <w:noWrap/>
            <w:vAlign w:val="center"/>
            <w:hideMark/>
          </w:tcPr>
          <w:p w14:paraId="0B532E6B" w14:textId="77777777" w:rsidR="00023FC4" w:rsidRPr="00020C88" w:rsidRDefault="00023FC4" w:rsidP="00023FC4">
            <w:pPr>
              <w:spacing w:after="0" w:line="240" w:lineRule="auto"/>
              <w:jc w:val="both"/>
              <w:rPr>
                <w:rFonts w:ascii="Times New Roman" w:hAnsi="Times New Roman"/>
                <w:color w:val="000000"/>
                <w:sz w:val="16"/>
                <w:szCs w:val="16"/>
                <w:lang w:eastAsia="sk-SK"/>
              </w:rPr>
            </w:pPr>
            <w:r w:rsidRPr="00020C88">
              <w:rPr>
                <w:rFonts w:ascii="Times New Roman" w:hAnsi="Times New Roman"/>
                <w:color w:val="000000"/>
                <w:sz w:val="16"/>
                <w:szCs w:val="16"/>
                <w:lang w:eastAsia="sk-SK"/>
              </w:rPr>
              <w:t> </w:t>
            </w:r>
          </w:p>
        </w:tc>
        <w:tc>
          <w:tcPr>
            <w:tcW w:w="1120" w:type="dxa"/>
            <w:tcBorders>
              <w:top w:val="nil"/>
              <w:left w:val="nil"/>
              <w:bottom w:val="nil"/>
              <w:right w:val="single" w:sz="8" w:space="0" w:color="auto"/>
            </w:tcBorders>
            <w:shd w:val="clear" w:color="auto" w:fill="auto"/>
            <w:noWrap/>
            <w:vAlign w:val="center"/>
            <w:hideMark/>
          </w:tcPr>
          <w:p w14:paraId="112862C4"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5 262 266 €</w:t>
            </w:r>
          </w:p>
        </w:tc>
        <w:tc>
          <w:tcPr>
            <w:tcW w:w="960" w:type="dxa"/>
            <w:tcBorders>
              <w:top w:val="nil"/>
              <w:left w:val="nil"/>
              <w:bottom w:val="nil"/>
              <w:right w:val="single" w:sz="8" w:space="0" w:color="auto"/>
            </w:tcBorders>
            <w:shd w:val="clear" w:color="auto" w:fill="auto"/>
            <w:noWrap/>
            <w:vAlign w:val="center"/>
            <w:hideMark/>
          </w:tcPr>
          <w:p w14:paraId="5561ACE7"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5 599 051 €</w:t>
            </w:r>
          </w:p>
        </w:tc>
        <w:tc>
          <w:tcPr>
            <w:tcW w:w="960" w:type="dxa"/>
            <w:tcBorders>
              <w:top w:val="nil"/>
              <w:left w:val="nil"/>
              <w:bottom w:val="nil"/>
              <w:right w:val="single" w:sz="8" w:space="0" w:color="auto"/>
            </w:tcBorders>
            <w:shd w:val="clear" w:color="auto" w:fill="auto"/>
            <w:noWrap/>
            <w:vAlign w:val="center"/>
            <w:hideMark/>
          </w:tcPr>
          <w:p w14:paraId="1F33007F"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5 935 836 €</w:t>
            </w:r>
          </w:p>
        </w:tc>
      </w:tr>
      <w:tr w:rsidR="00023FC4" w:rsidRPr="00020C88" w14:paraId="4A288F80" w14:textId="77777777" w:rsidTr="00023FC4">
        <w:trPr>
          <w:trHeight w:val="46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C7B9B" w14:textId="77777777" w:rsidR="00023FC4" w:rsidRPr="00020C88" w:rsidRDefault="00023FC4" w:rsidP="00023FC4">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Rozdiel spolu oproti stavu bez legislatívnej zmeny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2ED0DC" w14:textId="77777777" w:rsidR="00023FC4" w:rsidRPr="00020C88" w:rsidRDefault="00023FC4" w:rsidP="00023FC4">
            <w:pPr>
              <w:spacing w:after="0" w:line="240" w:lineRule="auto"/>
              <w:rPr>
                <w:rFonts w:ascii="Times New Roman" w:hAnsi="Times New Roman"/>
                <w:color w:val="000000"/>
                <w:lang w:eastAsia="sk-SK"/>
              </w:rPr>
            </w:pPr>
            <w:r w:rsidRPr="00020C88">
              <w:rPr>
                <w:rFonts w:ascii="Times New Roman" w:hAnsi="Times New Roman"/>
                <w:color w:val="000000"/>
                <w:lang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0F79D1" w14:textId="77777777" w:rsidR="00023FC4" w:rsidRPr="00020C88" w:rsidRDefault="00023FC4" w:rsidP="00023FC4">
            <w:pPr>
              <w:spacing w:after="0" w:line="240" w:lineRule="auto"/>
              <w:rPr>
                <w:rFonts w:ascii="Times New Roman" w:hAnsi="Times New Roman"/>
                <w:color w:val="000000"/>
                <w:lang w:eastAsia="sk-SK"/>
              </w:rPr>
            </w:pPr>
            <w:r w:rsidRPr="00020C88">
              <w:rPr>
                <w:rFonts w:ascii="Times New Roman" w:hAnsi="Times New Roman"/>
                <w:color w:val="000000"/>
                <w:lang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C0FE00" w14:textId="77777777" w:rsidR="00023FC4" w:rsidRPr="00020C88" w:rsidRDefault="00023FC4" w:rsidP="00023FC4">
            <w:pPr>
              <w:spacing w:after="0" w:line="240" w:lineRule="auto"/>
              <w:rPr>
                <w:rFonts w:ascii="Times New Roman" w:hAnsi="Times New Roman"/>
                <w:color w:val="000000"/>
                <w:lang w:eastAsia="sk-SK"/>
              </w:rPr>
            </w:pPr>
            <w:r w:rsidRPr="00020C88">
              <w:rPr>
                <w:rFonts w:ascii="Times New Roman" w:hAnsi="Times New Roman"/>
                <w:color w:val="000000"/>
                <w:lang w:eastAsia="sk-SK"/>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3DD0CE2"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5 515 310 €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2440D7F"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7 548 640 €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C6A158" w14:textId="77777777" w:rsidR="00023FC4" w:rsidRPr="00020C88" w:rsidRDefault="00023FC4" w:rsidP="00023FC4">
            <w:pPr>
              <w:spacing w:after="0" w:line="240" w:lineRule="auto"/>
              <w:jc w:val="both"/>
              <w:rPr>
                <w:rFonts w:ascii="Times New Roman" w:hAnsi="Times New Roman"/>
                <w:b/>
                <w:bCs/>
                <w:color w:val="000000"/>
                <w:sz w:val="16"/>
                <w:szCs w:val="16"/>
                <w:lang w:eastAsia="sk-SK"/>
              </w:rPr>
            </w:pPr>
            <w:r w:rsidRPr="00020C88">
              <w:rPr>
                <w:rFonts w:ascii="Times New Roman" w:hAnsi="Times New Roman"/>
                <w:b/>
                <w:bCs/>
                <w:color w:val="000000"/>
                <w:sz w:val="16"/>
                <w:szCs w:val="16"/>
                <w:lang w:eastAsia="sk-SK"/>
              </w:rPr>
              <w:t>8 010 030 €</w:t>
            </w:r>
          </w:p>
        </w:tc>
      </w:tr>
    </w:tbl>
    <w:p w14:paraId="382F58B4" w14:textId="77777777" w:rsidR="007B5E08" w:rsidRPr="00020C88" w:rsidRDefault="007B5E08" w:rsidP="00CB750F">
      <w:pPr>
        <w:spacing w:after="0" w:line="240" w:lineRule="auto"/>
        <w:jc w:val="both"/>
        <w:rPr>
          <w:rFonts w:ascii="Times New Roman" w:hAnsi="Times New Roman"/>
          <w:sz w:val="20"/>
          <w:szCs w:val="20"/>
        </w:rPr>
      </w:pPr>
    </w:p>
    <w:p w14:paraId="31FD6835" w14:textId="77777777" w:rsidR="007B5E08" w:rsidRPr="00020C88" w:rsidRDefault="007B5E08" w:rsidP="00CB750F">
      <w:pPr>
        <w:spacing w:after="0" w:line="240" w:lineRule="auto"/>
        <w:jc w:val="both"/>
        <w:rPr>
          <w:rFonts w:ascii="Times New Roman" w:hAnsi="Times New Roman"/>
          <w:sz w:val="20"/>
          <w:szCs w:val="20"/>
        </w:rPr>
      </w:pPr>
    </w:p>
    <w:p w14:paraId="7E650776" w14:textId="77777777" w:rsidR="007B5E08" w:rsidRPr="00020C88" w:rsidRDefault="007B5E08" w:rsidP="00CB750F">
      <w:pPr>
        <w:spacing w:after="0" w:line="240" w:lineRule="auto"/>
        <w:jc w:val="both"/>
        <w:rPr>
          <w:rFonts w:ascii="Times New Roman" w:hAnsi="Times New Roman"/>
          <w:sz w:val="20"/>
          <w:szCs w:val="20"/>
        </w:rPr>
      </w:pPr>
    </w:p>
    <w:p w14:paraId="25E8C1FB" w14:textId="77777777" w:rsidR="00E2311B" w:rsidRPr="00020C88" w:rsidRDefault="00E2311B" w:rsidP="00CB750F">
      <w:pPr>
        <w:spacing w:after="0" w:line="240" w:lineRule="auto"/>
        <w:jc w:val="both"/>
        <w:rPr>
          <w:rFonts w:ascii="Times New Roman" w:hAnsi="Times New Roman"/>
          <w:sz w:val="20"/>
          <w:szCs w:val="20"/>
        </w:rPr>
      </w:pPr>
    </w:p>
    <w:p w14:paraId="2AA256D7" w14:textId="77777777" w:rsidR="00E2311B" w:rsidRPr="00020C88" w:rsidRDefault="00E2311B" w:rsidP="00CB750F">
      <w:pPr>
        <w:spacing w:after="0" w:line="240" w:lineRule="auto"/>
        <w:jc w:val="both"/>
        <w:rPr>
          <w:rFonts w:ascii="Times New Roman" w:hAnsi="Times New Roman"/>
          <w:b/>
          <w:sz w:val="20"/>
          <w:szCs w:val="20"/>
        </w:rPr>
      </w:pPr>
      <w:r w:rsidRPr="00020C88">
        <w:rPr>
          <w:rFonts w:ascii="Times New Roman" w:hAnsi="Times New Roman"/>
          <w:b/>
          <w:sz w:val="20"/>
          <w:szCs w:val="20"/>
        </w:rPr>
        <w:t>Navrhované ceny pre Ados:</w:t>
      </w:r>
    </w:p>
    <w:p w14:paraId="30EA3499"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V cenovom opatrení sa navrhuje regulovať ceny pre Ados, čím odpadne povinnosť dohodovať ceny so zdravotnými poisťovňami, zatiaľ sa navrhujú ceny v niekoľkých variantoch. Buď ako pevná cena za konkrétny výkon, alebo koeficient vynásobený priemernou mzdou alebo platbou za návštevu a platbou za dopravu:</w:t>
      </w:r>
    </w:p>
    <w:p w14:paraId="23F097CB" w14:textId="77777777" w:rsidR="00E2311B" w:rsidRPr="00020C88" w:rsidRDefault="00E2311B" w:rsidP="00CB750F">
      <w:pPr>
        <w:numPr>
          <w:ilvl w:val="0"/>
          <w:numId w:val="21"/>
        </w:numPr>
        <w:spacing w:after="0" w:line="240" w:lineRule="auto"/>
        <w:contextualSpacing/>
        <w:jc w:val="both"/>
        <w:rPr>
          <w:rFonts w:ascii="Times New Roman" w:hAnsi="Times New Roman"/>
          <w:sz w:val="20"/>
          <w:szCs w:val="20"/>
        </w:rPr>
      </w:pPr>
      <w:r w:rsidRPr="00020C88">
        <w:rPr>
          <w:rFonts w:ascii="Times New Roman" w:hAnsi="Times New Roman"/>
          <w:sz w:val="20"/>
          <w:szCs w:val="20"/>
        </w:rPr>
        <w:t>Zoznam zdravotných výkonov a pevné ceny jednotlivých zdravotných výkonov sú uvedené v časti D. alebo</w:t>
      </w:r>
    </w:p>
    <w:p w14:paraId="5FFC01CA" w14:textId="36300355" w:rsidR="00E2311B" w:rsidRPr="00020C88" w:rsidRDefault="00E2311B" w:rsidP="00CB750F">
      <w:pPr>
        <w:numPr>
          <w:ilvl w:val="0"/>
          <w:numId w:val="21"/>
        </w:numPr>
        <w:spacing w:after="0" w:line="240" w:lineRule="auto"/>
        <w:contextualSpacing/>
        <w:jc w:val="both"/>
        <w:rPr>
          <w:rFonts w:ascii="Times New Roman" w:hAnsi="Times New Roman"/>
          <w:sz w:val="20"/>
          <w:szCs w:val="20"/>
        </w:rPr>
      </w:pPr>
      <w:r w:rsidRPr="00020C88">
        <w:rPr>
          <w:rFonts w:ascii="Times New Roman" w:hAnsi="Times New Roman"/>
          <w:sz w:val="20"/>
          <w:szCs w:val="20"/>
        </w:rPr>
        <w:t>Zoznam zdravotných výkonov a koeficienty sú uvedené v časti D. Cena sa vypočíta vynásobením koeficientu a priemernej mesačnej mzdy zamestnanca v hospodárstve Slovenskej republiky zistenej S</w:t>
      </w:r>
      <w:r w:rsidR="00023FC4" w:rsidRPr="00020C88">
        <w:rPr>
          <w:rFonts w:ascii="Times New Roman" w:hAnsi="Times New Roman"/>
          <w:sz w:val="20"/>
          <w:szCs w:val="20"/>
        </w:rPr>
        <w:t>lovenskej republiky (ďalej len „</w:t>
      </w:r>
      <w:r w:rsidRPr="00020C88">
        <w:rPr>
          <w:rFonts w:ascii="Times New Roman" w:hAnsi="Times New Roman"/>
          <w:sz w:val="20"/>
          <w:szCs w:val="20"/>
        </w:rPr>
        <w:t>štatistický úrad") za kalendárny rok, ktorý dva roky predchádza kalendárnemu roku, na ktorý sa stanovujú ceny. Ceny sa stanovujú vždy k 1. januáru kalendárneho roka.</w:t>
      </w:r>
    </w:p>
    <w:p w14:paraId="61DD8151" w14:textId="77777777" w:rsidR="00E2311B" w:rsidRPr="00020C88" w:rsidRDefault="00E2311B" w:rsidP="00CB750F">
      <w:pPr>
        <w:tabs>
          <w:tab w:val="left" w:pos="426"/>
        </w:tabs>
        <w:spacing w:after="0" w:line="240" w:lineRule="auto"/>
        <w:ind w:left="720"/>
        <w:contextualSpacing/>
        <w:jc w:val="both"/>
        <w:rPr>
          <w:rFonts w:ascii="Times New Roman" w:hAnsi="Times New Roman"/>
          <w:sz w:val="20"/>
          <w:szCs w:val="20"/>
        </w:rPr>
      </w:pPr>
      <w:r w:rsidRPr="00020C88">
        <w:rPr>
          <w:rFonts w:ascii="Times New Roman" w:hAnsi="Times New Roman"/>
          <w:sz w:val="20"/>
          <w:szCs w:val="20"/>
        </w:rPr>
        <w:t>a k alternatíve k a) a b)</w:t>
      </w:r>
    </w:p>
    <w:p w14:paraId="09B6DF97" w14:textId="2E8E5F9E" w:rsidR="00E2311B" w:rsidRPr="00020C88" w:rsidRDefault="00E2311B" w:rsidP="00CB750F">
      <w:pPr>
        <w:numPr>
          <w:ilvl w:val="0"/>
          <w:numId w:val="21"/>
        </w:numPr>
        <w:tabs>
          <w:tab w:val="left" w:pos="426"/>
        </w:tabs>
        <w:spacing w:after="0" w:line="240" w:lineRule="auto"/>
        <w:contextualSpacing/>
        <w:jc w:val="both"/>
        <w:rPr>
          <w:rFonts w:ascii="Times New Roman" w:hAnsi="Times New Roman"/>
          <w:sz w:val="20"/>
          <w:szCs w:val="20"/>
        </w:rPr>
      </w:pPr>
      <w:r w:rsidRPr="00020C88">
        <w:rPr>
          <w:rFonts w:ascii="Times New Roman" w:hAnsi="Times New Roman"/>
          <w:sz w:val="20"/>
          <w:szCs w:val="20"/>
        </w:rPr>
        <w:t>Ku každej návšteve pacienta sa pripočítava cena dopravy vo výške 2,75 eura. alebo</w:t>
      </w:r>
    </w:p>
    <w:p w14:paraId="47AC4B31" w14:textId="77777777" w:rsidR="00E2311B" w:rsidRPr="00020C88" w:rsidRDefault="00E2311B" w:rsidP="00CB750F">
      <w:pPr>
        <w:numPr>
          <w:ilvl w:val="0"/>
          <w:numId w:val="21"/>
        </w:numPr>
        <w:tabs>
          <w:tab w:val="left" w:pos="426"/>
        </w:tabs>
        <w:spacing w:after="0" w:line="240" w:lineRule="auto"/>
        <w:contextualSpacing/>
        <w:jc w:val="both"/>
        <w:rPr>
          <w:rFonts w:ascii="Times New Roman" w:hAnsi="Times New Roman"/>
          <w:sz w:val="20"/>
          <w:szCs w:val="20"/>
        </w:rPr>
      </w:pPr>
      <w:r w:rsidRPr="00020C88">
        <w:rPr>
          <w:rFonts w:ascii="Times New Roman" w:hAnsi="Times New Roman"/>
          <w:sz w:val="20"/>
          <w:szCs w:val="20"/>
        </w:rPr>
        <w:t xml:space="preserve">Ku každej návšteve pacienta sa pripočítava cena dopravy vo výške 0,50 eura za jeden kilometer jazdy. </w:t>
      </w:r>
    </w:p>
    <w:p w14:paraId="37CD7E81" w14:textId="77777777" w:rsidR="00E2311B" w:rsidRPr="00020C88" w:rsidRDefault="00E2311B" w:rsidP="00CB750F">
      <w:pPr>
        <w:spacing w:after="0" w:line="240" w:lineRule="auto"/>
        <w:jc w:val="both"/>
        <w:rPr>
          <w:rFonts w:ascii="Times New Roman" w:hAnsi="Times New Roman"/>
          <w:b/>
          <w:sz w:val="20"/>
          <w:szCs w:val="20"/>
        </w:rPr>
      </w:pPr>
    </w:p>
    <w:p w14:paraId="617ADD53" w14:textId="053FD3EB"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lastRenderedPageBreak/>
        <w:t>Od posilnenia týchto zdravotníckych zariadení si sľubujeme poskytovanie zdravotnej starostlivosti v domácom prostredí osoby v širšom meradle, t. j. očakávame, že posilnením týchto subjektov sa zníži alebo zabráni hospitalizácii týchto osôb a v končenom dôsledku môže dôjsť k zníženiu nákladov verejného zdravotného poistenie. Avšak najväčším prínosom je, že pacient ostáva doma a za ním prichádza lekár, sestra, fyzioterapeut a ošetrujú ho doma v jeho prirodzenom prostredí, pričom sa odbúrava stres spojený s cestovaním pacienta za lekárom a skracuje sa tým aj čakanie.</w:t>
      </w:r>
    </w:p>
    <w:p w14:paraId="7CB18A47" w14:textId="7496B140" w:rsidR="00B328BC" w:rsidRPr="00020C88" w:rsidRDefault="00B328BC" w:rsidP="00CB750F">
      <w:pPr>
        <w:spacing w:after="0" w:line="240" w:lineRule="auto"/>
        <w:jc w:val="both"/>
        <w:rPr>
          <w:rFonts w:ascii="Times New Roman" w:hAnsi="Times New Roman"/>
          <w:sz w:val="20"/>
          <w:szCs w:val="20"/>
        </w:rPr>
      </w:pPr>
    </w:p>
    <w:p w14:paraId="1C7B8039" w14:textId="244D660A" w:rsidR="00B328BC" w:rsidRPr="00020C88" w:rsidRDefault="00B328BC" w:rsidP="00B328BC">
      <w:pPr>
        <w:spacing w:after="0" w:line="240" w:lineRule="auto"/>
        <w:jc w:val="both"/>
        <w:rPr>
          <w:rFonts w:ascii="Times New Roman" w:hAnsi="Times New Roman"/>
          <w:sz w:val="20"/>
          <w:szCs w:val="20"/>
        </w:rPr>
      </w:pPr>
      <w:r w:rsidRPr="00020C88">
        <w:rPr>
          <w:rFonts w:ascii="Times New Roman" w:hAnsi="Times New Roman"/>
          <w:sz w:val="20"/>
          <w:szCs w:val="20"/>
        </w:rPr>
        <w:t xml:space="preserve">Pre ADOS </w:t>
      </w:r>
      <w:r w:rsidR="00023FC4" w:rsidRPr="00020C88">
        <w:rPr>
          <w:rFonts w:ascii="Times New Roman" w:hAnsi="Times New Roman"/>
          <w:sz w:val="20"/>
          <w:szCs w:val="20"/>
        </w:rPr>
        <w:t xml:space="preserve">navrhujeme </w:t>
      </w:r>
      <w:r w:rsidRPr="00020C88">
        <w:rPr>
          <w:rFonts w:ascii="Times New Roman" w:hAnsi="Times New Roman"/>
          <w:sz w:val="20"/>
          <w:szCs w:val="20"/>
        </w:rPr>
        <w:t>navýš</w:t>
      </w:r>
      <w:r w:rsidR="00023FC4" w:rsidRPr="00020C88">
        <w:rPr>
          <w:rFonts w:ascii="Times New Roman" w:hAnsi="Times New Roman"/>
          <w:sz w:val="20"/>
          <w:szCs w:val="20"/>
        </w:rPr>
        <w:t>iť</w:t>
      </w:r>
      <w:r w:rsidRPr="00020C88">
        <w:rPr>
          <w:rFonts w:ascii="Times New Roman" w:hAnsi="Times New Roman"/>
          <w:sz w:val="20"/>
          <w:szCs w:val="20"/>
        </w:rPr>
        <w:t xml:space="preserve"> celoslovenský normatív, ktorý je aktuálne fixovaný na </w:t>
      </w:r>
      <w:r w:rsidR="00023FC4" w:rsidRPr="00020C88">
        <w:rPr>
          <w:rFonts w:ascii="Times New Roman" w:hAnsi="Times New Roman"/>
          <w:sz w:val="20"/>
          <w:szCs w:val="20"/>
        </w:rPr>
        <w:t xml:space="preserve">cca </w:t>
      </w:r>
      <w:r w:rsidRPr="00020C88">
        <w:rPr>
          <w:rFonts w:ascii="Times New Roman" w:hAnsi="Times New Roman"/>
          <w:sz w:val="20"/>
          <w:szCs w:val="20"/>
        </w:rPr>
        <w:t>800 sestier, pretože sa nemenil od roku 2008 a nezohľadňuje meniacu sa vekovú štruktúru obyvateľstva. Počet obyvateľov nad 75 rokov narástol za desať rokov o 15% a medzir</w:t>
      </w:r>
      <w:r w:rsidR="00023FC4" w:rsidRPr="00020C88">
        <w:rPr>
          <w:rFonts w:ascii="Times New Roman" w:hAnsi="Times New Roman"/>
          <w:sz w:val="20"/>
          <w:szCs w:val="20"/>
        </w:rPr>
        <w:t>očný nárast predstavuje cca 2%</w:t>
      </w:r>
      <w:r w:rsidRPr="00020C88">
        <w:rPr>
          <w:rFonts w:ascii="Times New Roman" w:hAnsi="Times New Roman"/>
          <w:sz w:val="20"/>
          <w:szCs w:val="20"/>
        </w:rPr>
        <w:t xml:space="preserve">. </w:t>
      </w:r>
    </w:p>
    <w:p w14:paraId="48F2D7A8" w14:textId="520EA583" w:rsidR="00B328BC" w:rsidRPr="00020C88" w:rsidRDefault="00B328BC" w:rsidP="00B328BC">
      <w:pPr>
        <w:spacing w:after="0" w:line="240" w:lineRule="auto"/>
        <w:jc w:val="both"/>
        <w:rPr>
          <w:rFonts w:ascii="Times New Roman" w:hAnsi="Times New Roman"/>
          <w:sz w:val="20"/>
          <w:szCs w:val="20"/>
        </w:rPr>
      </w:pPr>
      <w:r w:rsidRPr="00020C88">
        <w:rPr>
          <w:rFonts w:ascii="Times New Roman" w:hAnsi="Times New Roman"/>
          <w:sz w:val="20"/>
          <w:szCs w:val="20"/>
        </w:rPr>
        <w:t xml:space="preserve">Priemerná cena 1 návštevy ADOS narástla z 9€ v roku 2014 na 11€ v 2017 (celkové náklady z 13 mil. € na 17 mil. €). Ročne je týchto návštev cca 1,5 mil. a polovicu z nich tvoria návštevy pacientov nad 75 rokov. </w:t>
      </w:r>
    </w:p>
    <w:p w14:paraId="274836C7" w14:textId="77777777" w:rsidR="00B328BC" w:rsidRPr="00020C88" w:rsidRDefault="00B328BC" w:rsidP="00B328BC">
      <w:pPr>
        <w:spacing w:after="0" w:line="240" w:lineRule="auto"/>
        <w:jc w:val="both"/>
        <w:rPr>
          <w:rFonts w:ascii="Times New Roman" w:hAnsi="Times New Roman"/>
          <w:sz w:val="20"/>
          <w:szCs w:val="20"/>
        </w:rPr>
      </w:pPr>
      <w:r w:rsidRPr="00020C88">
        <w:rPr>
          <w:rFonts w:ascii="Times New Roman" w:hAnsi="Times New Roman"/>
          <w:sz w:val="20"/>
          <w:szCs w:val="20"/>
        </w:rPr>
        <w:t>Cestovné náklady:</w:t>
      </w:r>
    </w:p>
    <w:p w14:paraId="541AC761" w14:textId="06DBFE1B" w:rsidR="00B328BC" w:rsidRPr="00020C88" w:rsidRDefault="00B328BC" w:rsidP="00B328BC">
      <w:pPr>
        <w:spacing w:after="0" w:line="240" w:lineRule="auto"/>
        <w:jc w:val="both"/>
        <w:rPr>
          <w:rFonts w:ascii="Times New Roman" w:hAnsi="Times New Roman"/>
          <w:sz w:val="20"/>
          <w:szCs w:val="20"/>
        </w:rPr>
      </w:pPr>
      <w:r w:rsidRPr="00020C88">
        <w:rPr>
          <w:rFonts w:ascii="Times New Roman" w:hAnsi="Times New Roman"/>
          <w:sz w:val="20"/>
          <w:szCs w:val="20"/>
        </w:rPr>
        <w:t xml:space="preserve">Za deň navštívi sestra priemerne 10 pacientov. </w:t>
      </w:r>
      <w:r w:rsidR="00C303B5" w:rsidRPr="00020C88">
        <w:rPr>
          <w:rFonts w:ascii="Times New Roman" w:hAnsi="Times New Roman"/>
          <w:sz w:val="20"/>
          <w:szCs w:val="20"/>
        </w:rPr>
        <w:t>Použitie dopravného prostriedku sa predpokladá</w:t>
      </w:r>
      <w:r w:rsidRPr="00020C88">
        <w:rPr>
          <w:rFonts w:ascii="Times New Roman" w:hAnsi="Times New Roman"/>
          <w:sz w:val="20"/>
          <w:szCs w:val="20"/>
        </w:rPr>
        <w:t xml:space="preserve"> kumulatívne najviac 2 hodiny a náklady na pohonné hmoty budú cca 20 €. </w:t>
      </w:r>
    </w:p>
    <w:p w14:paraId="2AF933FB" w14:textId="36DA1D9A" w:rsidR="00CC29EE" w:rsidRPr="00020C88" w:rsidRDefault="00C303B5" w:rsidP="00B328BC">
      <w:pPr>
        <w:spacing w:after="0" w:line="240" w:lineRule="auto"/>
        <w:jc w:val="both"/>
        <w:rPr>
          <w:rFonts w:ascii="Times New Roman" w:hAnsi="Times New Roman"/>
          <w:sz w:val="20"/>
          <w:szCs w:val="20"/>
        </w:rPr>
      </w:pPr>
      <w:r w:rsidRPr="00020C88">
        <w:rPr>
          <w:rFonts w:ascii="Times New Roman" w:hAnsi="Times New Roman"/>
          <w:sz w:val="20"/>
          <w:szCs w:val="20"/>
        </w:rPr>
        <w:t xml:space="preserve">Suma ďalších nákladov, vzniknutých na tejto ceste je odhadnutá vo výške </w:t>
      </w:r>
      <w:r w:rsidR="00CC29EE" w:rsidRPr="00020C88">
        <w:rPr>
          <w:rFonts w:ascii="Times New Roman" w:hAnsi="Times New Roman"/>
          <w:sz w:val="20"/>
          <w:szCs w:val="20"/>
        </w:rPr>
        <w:t>7,50 eur.</w:t>
      </w:r>
    </w:p>
    <w:p w14:paraId="2DA5FBD0" w14:textId="2A20F48F" w:rsidR="00CC29EE" w:rsidRPr="00020C88" w:rsidRDefault="00CC29EE" w:rsidP="00B328BC">
      <w:pPr>
        <w:spacing w:after="0" w:line="240" w:lineRule="auto"/>
        <w:jc w:val="both"/>
        <w:rPr>
          <w:rFonts w:ascii="Times New Roman" w:hAnsi="Times New Roman"/>
          <w:sz w:val="20"/>
          <w:szCs w:val="20"/>
        </w:rPr>
      </w:pPr>
      <w:r w:rsidRPr="00020C88">
        <w:rPr>
          <w:rFonts w:ascii="Times New Roman" w:hAnsi="Times New Roman"/>
          <w:sz w:val="20"/>
          <w:szCs w:val="20"/>
        </w:rPr>
        <w:t>Celkové náklady pri 10 pacientoch sú teda 20 eur + 7,50 eur = 27,50 eura, t. j. na jednu návštevu priemerne 2,75 eur.</w:t>
      </w:r>
    </w:p>
    <w:p w14:paraId="4189976A" w14:textId="77777777" w:rsidR="00E2311B" w:rsidRPr="00020C88" w:rsidRDefault="00E2311B" w:rsidP="00CB750F">
      <w:pPr>
        <w:spacing w:after="0" w:line="240" w:lineRule="auto"/>
        <w:jc w:val="both"/>
        <w:rPr>
          <w:rFonts w:ascii="Times New Roman" w:hAnsi="Times New Roman"/>
          <w:b/>
          <w:sz w:val="20"/>
          <w:szCs w:val="20"/>
          <w:u w:val="single"/>
        </w:rPr>
      </w:pPr>
    </w:p>
    <w:p w14:paraId="56828450" w14:textId="77777777" w:rsidR="00E2311B" w:rsidRPr="00020C88" w:rsidRDefault="00E2311B" w:rsidP="00CB750F">
      <w:pPr>
        <w:spacing w:after="0" w:line="240" w:lineRule="auto"/>
        <w:jc w:val="both"/>
        <w:rPr>
          <w:rFonts w:ascii="Times New Roman" w:hAnsi="Times New Roman"/>
          <w:b/>
          <w:sz w:val="20"/>
          <w:szCs w:val="20"/>
          <w:u w:val="single"/>
        </w:rPr>
      </w:pPr>
      <w:r w:rsidRPr="00020C88">
        <w:rPr>
          <w:rFonts w:ascii="Times New Roman" w:hAnsi="Times New Roman"/>
          <w:b/>
          <w:sz w:val="20"/>
          <w:szCs w:val="20"/>
          <w:u w:val="single"/>
        </w:rPr>
        <w:t>Následná zdravotná starostlivosť</w:t>
      </w:r>
    </w:p>
    <w:p w14:paraId="681AE3DA" w14:textId="77777777" w:rsidR="00E2311B" w:rsidRPr="00020C88" w:rsidRDefault="00E2311B" w:rsidP="00CB750F">
      <w:pPr>
        <w:spacing w:after="0" w:line="240" w:lineRule="auto"/>
        <w:jc w:val="both"/>
        <w:rPr>
          <w:rFonts w:ascii="Times New Roman" w:hAnsi="Times New Roman"/>
          <w:b/>
          <w:sz w:val="20"/>
          <w:szCs w:val="20"/>
          <w:u w:val="single"/>
        </w:rPr>
      </w:pPr>
    </w:p>
    <w:p w14:paraId="430A2100" w14:textId="3264FEE7" w:rsidR="00C51274" w:rsidRPr="00020C88" w:rsidRDefault="00C51274" w:rsidP="00CB750F">
      <w:pPr>
        <w:tabs>
          <w:tab w:val="left" w:pos="284"/>
        </w:tabs>
        <w:spacing w:after="0" w:line="240" w:lineRule="auto"/>
        <w:jc w:val="both"/>
        <w:rPr>
          <w:rFonts w:ascii="Times New Roman" w:hAnsi="Times New Roman"/>
          <w:sz w:val="20"/>
          <w:szCs w:val="20"/>
        </w:rPr>
      </w:pPr>
      <w:r w:rsidRPr="00020C88">
        <w:rPr>
          <w:rFonts w:ascii="Times New Roman" w:hAnsi="Times New Roman"/>
          <w:sz w:val="20"/>
          <w:szCs w:val="20"/>
        </w:rPr>
        <w:t>V rámci ústavnej starostlivosti sa poskytuje aj následná ústavná starostlivosť. Následná ústavná starostlivosť sa poskytuje do stavu umožňujúceho prepustenie osoby do ambulantnej starostlivosti, najviac však do troch mesiacov od prijatia do ústavnej zdravotnej starostlivosti. Následná ústavná starostlivosť sa môže poskytovať, ak ide o nemocnicu na oddeleniach dlhodobo chorých, doliečovacích, paliatívnej medicíny, fyziatrie, balneológi</w:t>
      </w:r>
      <w:r w:rsidR="009A021F" w:rsidRPr="00020C88">
        <w:rPr>
          <w:rFonts w:ascii="Times New Roman" w:hAnsi="Times New Roman"/>
          <w:sz w:val="20"/>
          <w:szCs w:val="20"/>
        </w:rPr>
        <w:t>e</w:t>
      </w:r>
      <w:r w:rsidRPr="00020C88">
        <w:rPr>
          <w:rFonts w:ascii="Times New Roman" w:hAnsi="Times New Roman"/>
          <w:sz w:val="20"/>
          <w:szCs w:val="20"/>
        </w:rPr>
        <w:t xml:space="preserve"> a liečebnej rehabilitácie, psychiatrie, v hospicoch a liečebniach. Maximálna doba poskytovania následnej ústavnej starostlivosti podľa predchádzajúcej vety sa predlžuje podľa indikácie konzília (§ 2 ods. 5) a po predchádzajúcom súhlase zdravotnej poisťovne, ak ide o</w:t>
      </w:r>
    </w:p>
    <w:p w14:paraId="76A0D975" w14:textId="77777777" w:rsidR="00C51274" w:rsidRPr="00020C88" w:rsidRDefault="00C51274" w:rsidP="00CB750F">
      <w:pPr>
        <w:tabs>
          <w:tab w:val="left" w:pos="284"/>
        </w:tabs>
        <w:spacing w:after="0" w:line="240" w:lineRule="auto"/>
        <w:ind w:left="284" w:hanging="284"/>
        <w:jc w:val="both"/>
        <w:rPr>
          <w:rFonts w:ascii="Times New Roman" w:hAnsi="Times New Roman"/>
          <w:sz w:val="20"/>
          <w:szCs w:val="20"/>
        </w:rPr>
      </w:pPr>
      <w:r w:rsidRPr="00020C88">
        <w:rPr>
          <w:rFonts w:ascii="Times New Roman" w:hAnsi="Times New Roman"/>
          <w:sz w:val="20"/>
          <w:szCs w:val="20"/>
        </w:rPr>
        <w:t>a)</w:t>
      </w:r>
      <w:r w:rsidRPr="00020C88">
        <w:rPr>
          <w:rFonts w:ascii="Times New Roman" w:hAnsi="Times New Roman"/>
          <w:sz w:val="20"/>
          <w:szCs w:val="20"/>
        </w:rPr>
        <w:tab/>
        <w:t>osobu s poruchou základných životných funkcií a nie je možné podstatne zlepšiť jej zdravotný stav, alebo</w:t>
      </w:r>
    </w:p>
    <w:p w14:paraId="13C36341" w14:textId="77777777" w:rsidR="00C51274" w:rsidRPr="00020C88" w:rsidRDefault="00C51274" w:rsidP="00CB750F">
      <w:pPr>
        <w:tabs>
          <w:tab w:val="left" w:pos="284"/>
        </w:tabs>
        <w:spacing w:after="0" w:line="240" w:lineRule="auto"/>
        <w:ind w:left="284" w:hanging="284"/>
        <w:jc w:val="both"/>
        <w:rPr>
          <w:rFonts w:ascii="Times New Roman" w:hAnsi="Times New Roman"/>
          <w:sz w:val="20"/>
          <w:szCs w:val="20"/>
        </w:rPr>
      </w:pPr>
      <w:r w:rsidRPr="00020C88">
        <w:rPr>
          <w:rFonts w:ascii="Times New Roman" w:hAnsi="Times New Roman"/>
          <w:sz w:val="20"/>
          <w:szCs w:val="20"/>
        </w:rPr>
        <w:t>b)</w:t>
      </w:r>
      <w:r w:rsidRPr="00020C88">
        <w:rPr>
          <w:rFonts w:ascii="Times New Roman" w:hAnsi="Times New Roman"/>
          <w:sz w:val="20"/>
          <w:szCs w:val="20"/>
        </w:rPr>
        <w:tab/>
        <w:t>osobu, ktorá v dôsledku duševnej choroby alebo s príznakmi duševnej poruchy ohrozuje seba alebo svoje okolie, ak hrozí vážne zhoršenie jej zdravotného stavu a vyžaduje si poskytovanie ústavnej zdravotnej starostlivosti v špecializovanom zdravotníckom zariadení v odbore psychiatria.</w:t>
      </w:r>
    </w:p>
    <w:p w14:paraId="4465821C" w14:textId="75C50692" w:rsidR="00C51274" w:rsidRPr="00020C88" w:rsidRDefault="00C51274" w:rsidP="00CB750F">
      <w:pPr>
        <w:tabs>
          <w:tab w:val="left" w:pos="284"/>
        </w:tabs>
        <w:spacing w:after="0" w:line="240" w:lineRule="auto"/>
        <w:jc w:val="both"/>
        <w:rPr>
          <w:rFonts w:ascii="Times New Roman" w:hAnsi="Times New Roman"/>
          <w:sz w:val="20"/>
          <w:szCs w:val="20"/>
        </w:rPr>
      </w:pPr>
      <w:r w:rsidRPr="00020C88">
        <w:rPr>
          <w:rFonts w:ascii="Times New Roman" w:hAnsi="Times New Roman"/>
          <w:sz w:val="20"/>
          <w:szCs w:val="20"/>
        </w:rPr>
        <w:t>Následná ústavná ošetrovateľská starostlivosť (ďalej len „následná ošetrovateľská starostlivosť“) je poskytovanie ošetrovateľskej starostlivosti osobe na základe indikácie lekára a sestry, ktorá vyžaduje celodennú dostupnosť ošetrovateľskej starostlivosti, nevyžaduje sústavnú zdravotnú starostlivosť poskytovanú lekárom a nemožno ju vykonávať v prirodzenom sociálnom prostredí osoby. Následná ošetrovateľská starostlivosť sa poskytuje do stavu umožňujúceho prepustenie osoby do ambulantnej starostlivosti, najviac však do šiestich mesiacov od prijatia v dome ošetrovateľskej starostlivosti. Po uplynutí šiestich mesiacov sa následná ošetrovateľská starostlivosť predlžuje podľa indikácie konzília (§ 2 ods. 5) a po predchádzajúcom súhlase zdravotnej poisťovne.</w:t>
      </w:r>
    </w:p>
    <w:p w14:paraId="27E0FDA3" w14:textId="77777777" w:rsidR="00E2311B" w:rsidRPr="00020C88" w:rsidRDefault="00E2311B" w:rsidP="00CB750F">
      <w:pPr>
        <w:tabs>
          <w:tab w:val="left" w:pos="284"/>
        </w:tabs>
        <w:spacing w:after="0" w:line="240" w:lineRule="auto"/>
        <w:jc w:val="both"/>
        <w:rPr>
          <w:rFonts w:ascii="Times New Roman" w:hAnsi="Times New Roman"/>
          <w:sz w:val="20"/>
          <w:szCs w:val="20"/>
        </w:rPr>
      </w:pPr>
    </w:p>
    <w:p w14:paraId="334D7C50" w14:textId="77777777" w:rsidR="00E2311B" w:rsidRPr="00020C88" w:rsidRDefault="00E2311B" w:rsidP="00CB750F">
      <w:pPr>
        <w:spacing w:after="0" w:line="240" w:lineRule="auto"/>
        <w:jc w:val="both"/>
        <w:rPr>
          <w:rFonts w:ascii="Times New Roman" w:hAnsi="Times New Roman"/>
          <w:b/>
          <w:sz w:val="20"/>
          <w:szCs w:val="20"/>
          <w:u w:val="single"/>
        </w:rPr>
      </w:pPr>
    </w:p>
    <w:p w14:paraId="3EA6EA9F" w14:textId="285BDA3D" w:rsidR="00E2311B" w:rsidRPr="00020C88" w:rsidRDefault="00E2311B" w:rsidP="00CB750F">
      <w:pPr>
        <w:spacing w:after="0" w:line="240" w:lineRule="auto"/>
        <w:jc w:val="both"/>
        <w:rPr>
          <w:rFonts w:ascii="Times New Roman" w:hAnsi="Times New Roman"/>
          <w:b/>
          <w:sz w:val="20"/>
          <w:szCs w:val="20"/>
          <w:u w:val="single"/>
        </w:rPr>
      </w:pPr>
      <w:r w:rsidRPr="00020C88">
        <w:rPr>
          <w:rFonts w:ascii="Times New Roman" w:hAnsi="Times New Roman"/>
          <w:b/>
          <w:sz w:val="20"/>
          <w:szCs w:val="20"/>
          <w:u w:val="single"/>
        </w:rPr>
        <w:t>Navrhuje sa v cenovom opatrení stanoviť pevnú cenu za lôžko-deň</w:t>
      </w:r>
      <w:r w:rsidR="00C51274" w:rsidRPr="00020C88">
        <w:rPr>
          <w:rFonts w:ascii="Times New Roman" w:hAnsi="Times New Roman"/>
          <w:b/>
          <w:sz w:val="20"/>
          <w:szCs w:val="20"/>
          <w:u w:val="single"/>
        </w:rPr>
        <w:t>, resp. ukončenú hospitalizáciu</w:t>
      </w:r>
      <w:r w:rsidRPr="00020C88">
        <w:rPr>
          <w:rFonts w:ascii="Times New Roman" w:hAnsi="Times New Roman"/>
          <w:b/>
          <w:sz w:val="20"/>
          <w:szCs w:val="20"/>
          <w:u w:val="single"/>
        </w:rPr>
        <w:t xml:space="preserve"> takto:</w:t>
      </w:r>
    </w:p>
    <w:p w14:paraId="24839C45" w14:textId="77777777" w:rsidR="00E2311B" w:rsidRPr="00020C88" w:rsidRDefault="00E2311B" w:rsidP="00CB750F">
      <w:pPr>
        <w:spacing w:after="0" w:line="240" w:lineRule="auto"/>
        <w:jc w:val="both"/>
        <w:rPr>
          <w:rFonts w:ascii="Times New Roman" w:hAnsi="Times New Roman"/>
          <w:sz w:val="20"/>
          <w:szCs w:val="20"/>
        </w:rPr>
      </w:pPr>
    </w:p>
    <w:tbl>
      <w:tblPr>
        <w:tblW w:w="7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0"/>
        <w:gridCol w:w="1540"/>
      </w:tblGrid>
      <w:tr w:rsidR="00E2311B" w:rsidRPr="00020C88" w14:paraId="2374A670" w14:textId="77777777" w:rsidTr="00BB7F52">
        <w:trPr>
          <w:trHeight w:val="50"/>
        </w:trPr>
        <w:tc>
          <w:tcPr>
            <w:tcW w:w="5780" w:type="dxa"/>
            <w:shd w:val="clear" w:color="auto" w:fill="auto"/>
            <w:noWrap/>
            <w:vAlign w:val="bottom"/>
            <w:hideMark/>
          </w:tcPr>
          <w:p w14:paraId="6DA49439" w14:textId="77777777" w:rsidR="00E2311B" w:rsidRPr="00020C88" w:rsidRDefault="00E2311B" w:rsidP="00CB750F">
            <w:pPr>
              <w:numPr>
                <w:ilvl w:val="0"/>
                <w:numId w:val="22"/>
              </w:numPr>
              <w:spacing w:after="0" w:line="240" w:lineRule="auto"/>
              <w:contextualSpacing/>
              <w:jc w:val="both"/>
              <w:rPr>
                <w:rFonts w:ascii="Times New Roman" w:hAnsi="Times New Roman"/>
                <w:sz w:val="20"/>
                <w:szCs w:val="20"/>
              </w:rPr>
            </w:pPr>
            <w:r w:rsidRPr="00020C88">
              <w:rPr>
                <w:rFonts w:ascii="Times New Roman" w:hAnsi="Times New Roman"/>
                <w:sz w:val="20"/>
                <w:szCs w:val="20"/>
              </w:rPr>
              <w:t>ústavná ošetrovateľská starostlivosť (DOS)</w:t>
            </w:r>
          </w:p>
        </w:tc>
        <w:tc>
          <w:tcPr>
            <w:tcW w:w="1540" w:type="dxa"/>
            <w:shd w:val="clear" w:color="auto" w:fill="auto"/>
            <w:noWrap/>
            <w:vAlign w:val="bottom"/>
            <w:hideMark/>
          </w:tcPr>
          <w:p w14:paraId="5DD730B6"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65 € </w:t>
            </w:r>
          </w:p>
        </w:tc>
      </w:tr>
      <w:tr w:rsidR="00E2311B" w:rsidRPr="00020C88" w14:paraId="18487038" w14:textId="77777777" w:rsidTr="00BB7F52">
        <w:trPr>
          <w:trHeight w:val="290"/>
        </w:trPr>
        <w:tc>
          <w:tcPr>
            <w:tcW w:w="5780" w:type="dxa"/>
            <w:shd w:val="clear" w:color="auto" w:fill="auto"/>
            <w:noWrap/>
            <w:vAlign w:val="bottom"/>
            <w:hideMark/>
          </w:tcPr>
          <w:p w14:paraId="4D21D4E1" w14:textId="77777777" w:rsidR="00E2311B" w:rsidRPr="00020C88" w:rsidRDefault="00E2311B" w:rsidP="00CB750F">
            <w:pPr>
              <w:numPr>
                <w:ilvl w:val="0"/>
                <w:numId w:val="22"/>
              </w:numPr>
              <w:spacing w:after="0" w:line="240" w:lineRule="auto"/>
              <w:contextualSpacing/>
              <w:jc w:val="both"/>
              <w:rPr>
                <w:rFonts w:ascii="Times New Roman" w:hAnsi="Times New Roman"/>
                <w:sz w:val="20"/>
                <w:szCs w:val="20"/>
              </w:rPr>
            </w:pPr>
            <w:r w:rsidRPr="00020C88">
              <w:rPr>
                <w:rFonts w:ascii="Times New Roman" w:hAnsi="Times New Roman"/>
                <w:sz w:val="20"/>
                <w:szCs w:val="20"/>
              </w:rPr>
              <w:t>ústavná hospicová starostlivosť</w:t>
            </w:r>
          </w:p>
        </w:tc>
        <w:tc>
          <w:tcPr>
            <w:tcW w:w="1540" w:type="dxa"/>
            <w:shd w:val="clear" w:color="auto" w:fill="auto"/>
            <w:noWrap/>
            <w:vAlign w:val="bottom"/>
            <w:hideMark/>
          </w:tcPr>
          <w:p w14:paraId="25F08C70"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85 € </w:t>
            </w:r>
          </w:p>
        </w:tc>
      </w:tr>
      <w:tr w:rsidR="00E2311B" w:rsidRPr="00020C88" w14:paraId="19C65583" w14:textId="77777777" w:rsidTr="002C4A2F">
        <w:trPr>
          <w:trHeight w:val="290"/>
        </w:trPr>
        <w:tc>
          <w:tcPr>
            <w:tcW w:w="5780" w:type="dxa"/>
            <w:shd w:val="clear" w:color="auto" w:fill="auto"/>
            <w:noWrap/>
            <w:vAlign w:val="bottom"/>
          </w:tcPr>
          <w:p w14:paraId="2E05CB6B" w14:textId="7997EFF1" w:rsidR="00E2311B" w:rsidRPr="00020C88" w:rsidRDefault="002C4A2F" w:rsidP="00CB750F">
            <w:pPr>
              <w:numPr>
                <w:ilvl w:val="0"/>
                <w:numId w:val="22"/>
              </w:numPr>
              <w:spacing w:after="0" w:line="240" w:lineRule="auto"/>
              <w:contextualSpacing/>
              <w:jc w:val="both"/>
              <w:rPr>
                <w:rFonts w:ascii="Times New Roman" w:hAnsi="Times New Roman"/>
                <w:sz w:val="20"/>
                <w:szCs w:val="20"/>
              </w:rPr>
            </w:pPr>
            <w:r w:rsidRPr="00020C88">
              <w:rPr>
                <w:rFonts w:ascii="Times New Roman" w:hAnsi="Times New Roman"/>
                <w:sz w:val="20"/>
                <w:szCs w:val="20"/>
              </w:rPr>
              <w:t>paliatívna medicína</w:t>
            </w:r>
          </w:p>
        </w:tc>
        <w:tc>
          <w:tcPr>
            <w:tcW w:w="1540" w:type="dxa"/>
            <w:shd w:val="clear" w:color="auto" w:fill="auto"/>
            <w:noWrap/>
            <w:vAlign w:val="bottom"/>
          </w:tcPr>
          <w:p w14:paraId="2F598EC1" w14:textId="5B0CBD7E" w:rsidR="00E2311B" w:rsidRPr="00020C88" w:rsidRDefault="002C4A2F" w:rsidP="00CB750F">
            <w:pPr>
              <w:spacing w:after="0" w:line="240" w:lineRule="auto"/>
              <w:jc w:val="both"/>
              <w:rPr>
                <w:rFonts w:ascii="Times New Roman" w:hAnsi="Times New Roman"/>
                <w:sz w:val="20"/>
                <w:szCs w:val="20"/>
              </w:rPr>
            </w:pPr>
            <w:r w:rsidRPr="00020C88">
              <w:rPr>
                <w:rFonts w:ascii="Times New Roman" w:hAnsi="Times New Roman"/>
                <w:sz w:val="20"/>
                <w:szCs w:val="20"/>
              </w:rPr>
              <w:t>85 €</w:t>
            </w:r>
          </w:p>
        </w:tc>
      </w:tr>
    </w:tbl>
    <w:p w14:paraId="729856EC" w14:textId="77777777" w:rsidR="00E2311B" w:rsidRPr="00020C88" w:rsidRDefault="00E2311B" w:rsidP="00CB750F">
      <w:pPr>
        <w:spacing w:after="0" w:line="240" w:lineRule="auto"/>
        <w:jc w:val="both"/>
        <w:rPr>
          <w:rFonts w:ascii="Times New Roman" w:hAnsi="Times New Roman"/>
          <w:bCs/>
          <w:sz w:val="20"/>
          <w:szCs w:val="20"/>
        </w:rPr>
      </w:pPr>
    </w:p>
    <w:p w14:paraId="594B9677" w14:textId="34A40CE4" w:rsidR="00E2311B" w:rsidRPr="00020C88" w:rsidRDefault="00E2311B" w:rsidP="00CB750F">
      <w:pPr>
        <w:spacing w:after="0" w:line="240" w:lineRule="auto"/>
        <w:jc w:val="both"/>
        <w:rPr>
          <w:rFonts w:ascii="Times New Roman" w:hAnsi="Times New Roman"/>
          <w:bCs/>
          <w:sz w:val="20"/>
          <w:szCs w:val="20"/>
        </w:rPr>
      </w:pPr>
      <w:r w:rsidRPr="00020C88">
        <w:rPr>
          <w:rFonts w:ascii="Times New Roman" w:hAnsi="Times New Roman"/>
          <w:bCs/>
          <w:sz w:val="20"/>
          <w:szCs w:val="20"/>
        </w:rPr>
        <w:t>Verejná minimálna sieť oddelení chorých, doliečovacích oddelení, paliatívnej medicíny a oddelení fyziatrie, balneológie a liečebnej rehabilitácie stanovuje nariadenie vlády SR č. 640/2008 Z. z. počtom lôžok na kraje a na celé územie SR.</w:t>
      </w:r>
    </w:p>
    <w:p w14:paraId="43D84173" w14:textId="77777777" w:rsidR="00E2311B" w:rsidRPr="00020C88" w:rsidRDefault="00E2311B" w:rsidP="00CB750F">
      <w:pPr>
        <w:spacing w:after="0" w:line="240" w:lineRule="auto"/>
        <w:jc w:val="both"/>
        <w:rPr>
          <w:rFonts w:ascii="Times New Roman" w:hAnsi="Times New Roman"/>
          <w:bCs/>
          <w:sz w:val="20"/>
          <w:szCs w:val="20"/>
        </w:rPr>
      </w:pPr>
    </w:p>
    <w:p w14:paraId="5A53BA08" w14:textId="497AD763"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b/>
          <w:bCs/>
          <w:sz w:val="20"/>
          <w:szCs w:val="20"/>
          <w:u w:val="single"/>
        </w:rPr>
        <w:t>Hospic</w:t>
      </w:r>
      <w:r w:rsidRPr="00020C88">
        <w:rPr>
          <w:rFonts w:ascii="Times New Roman" w:hAnsi="Times New Roman"/>
          <w:bCs/>
          <w:sz w:val="20"/>
          <w:szCs w:val="20"/>
        </w:rPr>
        <w:t xml:space="preserve"> </w:t>
      </w:r>
      <w:r w:rsidRPr="00020C88">
        <w:rPr>
          <w:rFonts w:ascii="Times New Roman" w:hAnsi="Times New Roman"/>
          <w:sz w:val="20"/>
          <w:szCs w:val="20"/>
        </w:rPr>
        <w:t xml:space="preserve">je určený na poskytovanie následnej ústavnej zdravotnej starostlivosti osobe s nevyliečiteľnou a zároveň pokročilou a aktívne progredujúcou chorobou, ktorá spravidla vedie k smrti. Cieľom zdravotnej starostlivosti poskytovanej v hospici je zlepšenie kvality života, zmiernenie utrpenia a stabilizácia zdravotného stavu a </w:t>
      </w:r>
      <w:r w:rsidRPr="00020C88">
        <w:rPr>
          <w:rFonts w:ascii="Times New Roman" w:hAnsi="Times New Roman"/>
          <w:bCs/>
          <w:sz w:val="20"/>
          <w:szCs w:val="20"/>
        </w:rPr>
        <w:t xml:space="preserve">bol v súčasnosti určený najmenej 1 na každý kraj bez definovania počtu lôžok, preto sa navrhuje určiť ho </w:t>
      </w:r>
      <w:r w:rsidRPr="00020C88">
        <w:rPr>
          <w:rFonts w:ascii="Times New Roman" w:hAnsi="Times New Roman"/>
          <w:sz w:val="20"/>
          <w:szCs w:val="20"/>
        </w:rPr>
        <w:t>najmenej dvoma hospicmi na územie samosprávneho kraja s minimálnym počtom lôžok 286 spolu na celé územie SR.</w:t>
      </w:r>
      <w:r w:rsidR="00C51274" w:rsidRPr="00020C88">
        <w:rPr>
          <w:rFonts w:ascii="Times New Roman" w:hAnsi="Times New Roman"/>
        </w:rPr>
        <w:t xml:space="preserve"> </w:t>
      </w:r>
      <w:r w:rsidR="00C51274" w:rsidRPr="00020C88">
        <w:rPr>
          <w:rFonts w:ascii="Times New Roman" w:hAnsi="Times New Roman"/>
          <w:sz w:val="20"/>
          <w:szCs w:val="20"/>
        </w:rPr>
        <w:t>Lôžka v hospicovej ústavnej zdravotnej starostlivosti nie sú započítané v rámci transformácie akútnych lôžok na lôžka následnej starostlivosti v rámci stratifikácie.</w:t>
      </w:r>
      <w:r w:rsidR="001B2716" w:rsidRPr="00020C88">
        <w:rPr>
          <w:rFonts w:ascii="Times New Roman" w:hAnsi="Times New Roman"/>
          <w:sz w:val="20"/>
          <w:szCs w:val="20"/>
        </w:rPr>
        <w:t xml:space="preserve"> Ústavná ošetrovateľská starostlivosť (DOS) a paliatívna medicína sú započítané v stratifikácii.</w:t>
      </w:r>
    </w:p>
    <w:p w14:paraId="7CC445D2" w14:textId="77777777" w:rsidR="009040BA" w:rsidRPr="00020C88" w:rsidRDefault="009040BA" w:rsidP="009040BA">
      <w:pPr>
        <w:jc w:val="both"/>
        <w:rPr>
          <w:rFonts w:ascii="Times New Roman" w:hAnsi="Times New Roman"/>
          <w:sz w:val="20"/>
          <w:szCs w:val="20"/>
        </w:rPr>
      </w:pPr>
      <w:r w:rsidRPr="00020C88">
        <w:rPr>
          <w:rFonts w:ascii="Times New Roman" w:hAnsi="Times New Roman"/>
          <w:sz w:val="20"/>
          <w:szCs w:val="20"/>
        </w:rPr>
        <w:t xml:space="preserve">Ide o poskytovanie špecializovanej paliatívnej starostlivosti u pacienta, ktorý má nevyliečiteľné ochorenie a predpokladaná dĺžka života je do 6 mesiacov.  V hospici je zabezpečená denná medicínska starostlivosť, starostlivosť o príznaky pri zlom zomieraní, ktoré môže nasledovať po fáze kompenzovaného nevyliečiteľného ochorenia. Musí byť zabezpečená minimálne on-call lekárska starostlivosť mimo riadneho pracovného času a opatrovateľsko-ošetrovateľská starostlivosť musí byť zabezpečená dodržaním pomeru počtu stredných zdravotných pracovníkov : počtu pacientov v pomere 1-1,2:1. (Radbruch </w:t>
      </w:r>
      <w:r w:rsidRPr="00020C88">
        <w:rPr>
          <w:rFonts w:ascii="Times New Roman" w:hAnsi="Times New Roman"/>
          <w:sz w:val="20"/>
          <w:szCs w:val="20"/>
        </w:rPr>
        <w:lastRenderedPageBreak/>
        <w:t xml:space="preserve">2011) Nevyhnutnou súčasťou personálneho tímu v hospici je psychológ, nepovinnými ale žiadúcimi je rehabilitačný pracovník, liečebný pedagóg a duchovný. Materiálno-technické vybavenie v hospicoch väčšinou z filozofie hospicovej starostlivosti spĺňa požiadavku zabezpečenia zomierania s najbližšími, čo vyžaduje mať určitý počet jednotkových izieb, možnosť súkromia pri psychologickej alebo spirituálnej intervencii pacientov a príbuzných.  </w:t>
      </w:r>
    </w:p>
    <w:p w14:paraId="08A5D90B" w14:textId="171AF1DE" w:rsidR="009040BA" w:rsidRPr="00020C88" w:rsidRDefault="00023FC4" w:rsidP="00CB750F">
      <w:pPr>
        <w:spacing w:after="0" w:line="240" w:lineRule="auto"/>
        <w:jc w:val="both"/>
        <w:rPr>
          <w:rFonts w:ascii="Times New Roman" w:hAnsi="Times New Roman"/>
          <w:sz w:val="20"/>
          <w:szCs w:val="20"/>
        </w:rPr>
      </w:pPr>
      <w:r w:rsidRPr="00020C88">
        <w:rPr>
          <w:rFonts w:ascii="Times New Roman" w:hAnsi="Times New Roman"/>
          <w:sz w:val="20"/>
          <w:szCs w:val="20"/>
        </w:rPr>
        <w:t>Súčasný stav:</w:t>
      </w:r>
    </w:p>
    <w:tbl>
      <w:tblPr>
        <w:tblW w:w="10148" w:type="dxa"/>
        <w:tblInd w:w="-10" w:type="dxa"/>
        <w:tblCellMar>
          <w:left w:w="70" w:type="dxa"/>
          <w:right w:w="70" w:type="dxa"/>
        </w:tblCellMar>
        <w:tblLook w:val="04A0" w:firstRow="1" w:lastRow="0" w:firstColumn="1" w:lastColumn="0" w:noHBand="0" w:noVBand="1"/>
      </w:tblPr>
      <w:tblGrid>
        <w:gridCol w:w="2706"/>
        <w:gridCol w:w="1495"/>
        <w:gridCol w:w="1647"/>
        <w:gridCol w:w="1882"/>
        <w:gridCol w:w="806"/>
        <w:gridCol w:w="806"/>
        <w:gridCol w:w="806"/>
      </w:tblGrid>
      <w:tr w:rsidR="00023FC4" w:rsidRPr="00020C88" w14:paraId="3D2834E1" w14:textId="77777777" w:rsidTr="00023FC4">
        <w:trPr>
          <w:trHeight w:val="259"/>
        </w:trPr>
        <w:tc>
          <w:tcPr>
            <w:tcW w:w="27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4698D" w14:textId="77777777" w:rsidR="00023FC4" w:rsidRPr="00020C88" w:rsidRDefault="00023FC4" w:rsidP="00023FC4">
            <w:pPr>
              <w:spacing w:after="0" w:line="240" w:lineRule="auto"/>
              <w:jc w:val="both"/>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495" w:type="dxa"/>
            <w:tcBorders>
              <w:top w:val="single" w:sz="8" w:space="0" w:color="auto"/>
              <w:left w:val="nil"/>
              <w:bottom w:val="single" w:sz="8" w:space="0" w:color="auto"/>
              <w:right w:val="single" w:sz="8" w:space="0" w:color="auto"/>
            </w:tcBorders>
            <w:shd w:val="clear" w:color="auto" w:fill="auto"/>
            <w:noWrap/>
            <w:vAlign w:val="center"/>
            <w:hideMark/>
          </w:tcPr>
          <w:p w14:paraId="4451F547"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1647" w:type="dxa"/>
            <w:tcBorders>
              <w:top w:val="single" w:sz="8" w:space="0" w:color="auto"/>
              <w:left w:val="nil"/>
              <w:bottom w:val="single" w:sz="8" w:space="0" w:color="auto"/>
              <w:right w:val="single" w:sz="8" w:space="0" w:color="auto"/>
            </w:tcBorders>
            <w:shd w:val="clear" w:color="auto" w:fill="auto"/>
            <w:noWrap/>
            <w:vAlign w:val="center"/>
            <w:hideMark/>
          </w:tcPr>
          <w:p w14:paraId="173B8155"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1882" w:type="dxa"/>
            <w:tcBorders>
              <w:top w:val="single" w:sz="8" w:space="0" w:color="auto"/>
              <w:left w:val="nil"/>
              <w:bottom w:val="single" w:sz="8" w:space="0" w:color="auto"/>
              <w:right w:val="single" w:sz="8" w:space="0" w:color="auto"/>
            </w:tcBorders>
            <w:shd w:val="clear" w:color="auto" w:fill="auto"/>
            <w:noWrap/>
            <w:vAlign w:val="center"/>
            <w:hideMark/>
          </w:tcPr>
          <w:p w14:paraId="60DD67BA"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28E14036"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646911D6"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2DDE1DC1" w14:textId="77777777" w:rsidR="00023FC4" w:rsidRPr="00020C88" w:rsidRDefault="00023FC4" w:rsidP="00023FC4">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r>
      <w:tr w:rsidR="00023FC4" w:rsidRPr="00020C88" w14:paraId="241ABE04" w14:textId="77777777" w:rsidTr="00023FC4">
        <w:trPr>
          <w:trHeight w:val="259"/>
        </w:trPr>
        <w:tc>
          <w:tcPr>
            <w:tcW w:w="2706" w:type="dxa"/>
            <w:tcBorders>
              <w:top w:val="nil"/>
              <w:left w:val="single" w:sz="8" w:space="0" w:color="auto"/>
              <w:bottom w:val="single" w:sz="8" w:space="0" w:color="auto"/>
              <w:right w:val="single" w:sz="8" w:space="0" w:color="auto"/>
            </w:tcBorders>
            <w:shd w:val="clear" w:color="auto" w:fill="auto"/>
            <w:noWrap/>
            <w:vAlign w:val="center"/>
            <w:hideMark/>
          </w:tcPr>
          <w:p w14:paraId="4A816551"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poskytovateľov</w:t>
            </w:r>
          </w:p>
        </w:tc>
        <w:tc>
          <w:tcPr>
            <w:tcW w:w="1495" w:type="dxa"/>
            <w:tcBorders>
              <w:top w:val="nil"/>
              <w:left w:val="nil"/>
              <w:bottom w:val="single" w:sz="8" w:space="0" w:color="auto"/>
              <w:right w:val="single" w:sz="8" w:space="0" w:color="auto"/>
            </w:tcBorders>
            <w:shd w:val="clear" w:color="auto" w:fill="auto"/>
            <w:noWrap/>
            <w:vAlign w:val="center"/>
            <w:hideMark/>
          </w:tcPr>
          <w:p w14:paraId="6118BC80"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c>
          <w:tcPr>
            <w:tcW w:w="1647" w:type="dxa"/>
            <w:tcBorders>
              <w:top w:val="nil"/>
              <w:left w:val="nil"/>
              <w:bottom w:val="single" w:sz="8" w:space="0" w:color="auto"/>
              <w:right w:val="single" w:sz="8" w:space="0" w:color="auto"/>
            </w:tcBorders>
            <w:shd w:val="clear" w:color="auto" w:fill="auto"/>
            <w:noWrap/>
            <w:vAlign w:val="center"/>
            <w:hideMark/>
          </w:tcPr>
          <w:p w14:paraId="0D045FCE"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c>
          <w:tcPr>
            <w:tcW w:w="1882" w:type="dxa"/>
            <w:tcBorders>
              <w:top w:val="nil"/>
              <w:left w:val="nil"/>
              <w:bottom w:val="single" w:sz="8" w:space="0" w:color="auto"/>
              <w:right w:val="single" w:sz="8" w:space="0" w:color="auto"/>
            </w:tcBorders>
            <w:shd w:val="clear" w:color="auto" w:fill="auto"/>
            <w:noWrap/>
            <w:vAlign w:val="center"/>
            <w:hideMark/>
          </w:tcPr>
          <w:p w14:paraId="7BDC2B7D"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c>
          <w:tcPr>
            <w:tcW w:w="806" w:type="dxa"/>
            <w:tcBorders>
              <w:top w:val="nil"/>
              <w:left w:val="nil"/>
              <w:bottom w:val="single" w:sz="8" w:space="0" w:color="auto"/>
              <w:right w:val="single" w:sz="8" w:space="0" w:color="auto"/>
            </w:tcBorders>
            <w:shd w:val="clear" w:color="auto" w:fill="auto"/>
            <w:vAlign w:val="center"/>
            <w:hideMark/>
          </w:tcPr>
          <w:p w14:paraId="487D4974"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c>
          <w:tcPr>
            <w:tcW w:w="806" w:type="dxa"/>
            <w:tcBorders>
              <w:top w:val="nil"/>
              <w:left w:val="nil"/>
              <w:bottom w:val="single" w:sz="8" w:space="0" w:color="auto"/>
              <w:right w:val="single" w:sz="8" w:space="0" w:color="auto"/>
            </w:tcBorders>
            <w:shd w:val="clear" w:color="auto" w:fill="auto"/>
            <w:vAlign w:val="center"/>
            <w:hideMark/>
          </w:tcPr>
          <w:p w14:paraId="0977C87A"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c>
          <w:tcPr>
            <w:tcW w:w="806" w:type="dxa"/>
            <w:tcBorders>
              <w:top w:val="nil"/>
              <w:left w:val="nil"/>
              <w:bottom w:val="single" w:sz="8" w:space="0" w:color="auto"/>
              <w:right w:val="single" w:sz="8" w:space="0" w:color="auto"/>
            </w:tcBorders>
            <w:shd w:val="clear" w:color="auto" w:fill="auto"/>
            <w:vAlign w:val="center"/>
            <w:hideMark/>
          </w:tcPr>
          <w:p w14:paraId="5352A1EC"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r>
      <w:tr w:rsidR="00023FC4" w:rsidRPr="00020C88" w14:paraId="3D06778D" w14:textId="77777777" w:rsidTr="00023FC4">
        <w:trPr>
          <w:trHeight w:val="259"/>
        </w:trPr>
        <w:tc>
          <w:tcPr>
            <w:tcW w:w="2706" w:type="dxa"/>
            <w:tcBorders>
              <w:top w:val="nil"/>
              <w:left w:val="single" w:sz="8" w:space="0" w:color="auto"/>
              <w:bottom w:val="single" w:sz="8" w:space="0" w:color="auto"/>
              <w:right w:val="single" w:sz="8" w:space="0" w:color="auto"/>
            </w:tcBorders>
            <w:shd w:val="clear" w:color="auto" w:fill="auto"/>
            <w:noWrap/>
            <w:vAlign w:val="center"/>
            <w:hideMark/>
          </w:tcPr>
          <w:p w14:paraId="30F86CC8"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ukončených hospitalizácií</w:t>
            </w:r>
          </w:p>
        </w:tc>
        <w:tc>
          <w:tcPr>
            <w:tcW w:w="1495" w:type="dxa"/>
            <w:tcBorders>
              <w:top w:val="nil"/>
              <w:left w:val="nil"/>
              <w:bottom w:val="single" w:sz="8" w:space="0" w:color="auto"/>
              <w:right w:val="single" w:sz="8" w:space="0" w:color="auto"/>
            </w:tcBorders>
            <w:shd w:val="clear" w:color="auto" w:fill="auto"/>
            <w:noWrap/>
            <w:vAlign w:val="center"/>
            <w:hideMark/>
          </w:tcPr>
          <w:p w14:paraId="4571F984"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1207</w:t>
            </w:r>
          </w:p>
        </w:tc>
        <w:tc>
          <w:tcPr>
            <w:tcW w:w="1647" w:type="dxa"/>
            <w:tcBorders>
              <w:top w:val="nil"/>
              <w:left w:val="nil"/>
              <w:bottom w:val="single" w:sz="8" w:space="0" w:color="auto"/>
              <w:right w:val="single" w:sz="8" w:space="0" w:color="auto"/>
            </w:tcBorders>
            <w:shd w:val="clear" w:color="auto" w:fill="auto"/>
            <w:noWrap/>
            <w:vAlign w:val="center"/>
            <w:hideMark/>
          </w:tcPr>
          <w:p w14:paraId="407E1405"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1317</w:t>
            </w:r>
          </w:p>
        </w:tc>
        <w:tc>
          <w:tcPr>
            <w:tcW w:w="1882" w:type="dxa"/>
            <w:tcBorders>
              <w:top w:val="nil"/>
              <w:left w:val="nil"/>
              <w:bottom w:val="single" w:sz="8" w:space="0" w:color="auto"/>
              <w:right w:val="single" w:sz="8" w:space="0" w:color="auto"/>
            </w:tcBorders>
            <w:shd w:val="clear" w:color="auto" w:fill="auto"/>
            <w:noWrap/>
            <w:vAlign w:val="center"/>
            <w:hideMark/>
          </w:tcPr>
          <w:p w14:paraId="3FD2E034"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1427</w:t>
            </w:r>
          </w:p>
        </w:tc>
        <w:tc>
          <w:tcPr>
            <w:tcW w:w="806" w:type="dxa"/>
            <w:tcBorders>
              <w:top w:val="nil"/>
              <w:left w:val="nil"/>
              <w:bottom w:val="single" w:sz="8" w:space="0" w:color="auto"/>
              <w:right w:val="single" w:sz="8" w:space="0" w:color="auto"/>
            </w:tcBorders>
            <w:shd w:val="clear" w:color="auto" w:fill="auto"/>
            <w:vAlign w:val="center"/>
            <w:hideMark/>
          </w:tcPr>
          <w:p w14:paraId="17F0034F"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1537</w:t>
            </w:r>
          </w:p>
        </w:tc>
        <w:tc>
          <w:tcPr>
            <w:tcW w:w="806" w:type="dxa"/>
            <w:tcBorders>
              <w:top w:val="nil"/>
              <w:left w:val="nil"/>
              <w:bottom w:val="single" w:sz="8" w:space="0" w:color="auto"/>
              <w:right w:val="single" w:sz="8" w:space="0" w:color="auto"/>
            </w:tcBorders>
            <w:shd w:val="clear" w:color="auto" w:fill="auto"/>
            <w:vAlign w:val="center"/>
            <w:hideMark/>
          </w:tcPr>
          <w:p w14:paraId="6DBBAE0F"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1647</w:t>
            </w:r>
          </w:p>
        </w:tc>
        <w:tc>
          <w:tcPr>
            <w:tcW w:w="806" w:type="dxa"/>
            <w:tcBorders>
              <w:top w:val="nil"/>
              <w:left w:val="nil"/>
              <w:bottom w:val="single" w:sz="8" w:space="0" w:color="auto"/>
              <w:right w:val="single" w:sz="8" w:space="0" w:color="auto"/>
            </w:tcBorders>
            <w:shd w:val="clear" w:color="auto" w:fill="auto"/>
            <w:vAlign w:val="center"/>
            <w:hideMark/>
          </w:tcPr>
          <w:p w14:paraId="541176C6"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1757</w:t>
            </w:r>
          </w:p>
        </w:tc>
      </w:tr>
      <w:tr w:rsidR="00023FC4" w:rsidRPr="00020C88" w14:paraId="5D87B5F2" w14:textId="77777777" w:rsidTr="00023FC4">
        <w:trPr>
          <w:trHeight w:val="259"/>
        </w:trPr>
        <w:tc>
          <w:tcPr>
            <w:tcW w:w="2706" w:type="dxa"/>
            <w:tcBorders>
              <w:top w:val="nil"/>
              <w:left w:val="single" w:sz="8" w:space="0" w:color="auto"/>
              <w:bottom w:val="single" w:sz="8" w:space="0" w:color="auto"/>
              <w:right w:val="single" w:sz="8" w:space="0" w:color="auto"/>
            </w:tcBorders>
            <w:shd w:val="clear" w:color="auto" w:fill="auto"/>
            <w:noWrap/>
            <w:vAlign w:val="center"/>
            <w:hideMark/>
          </w:tcPr>
          <w:p w14:paraId="3C252C19"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Počet ošetrovacích dní </w:t>
            </w:r>
          </w:p>
        </w:tc>
        <w:tc>
          <w:tcPr>
            <w:tcW w:w="1495" w:type="dxa"/>
            <w:tcBorders>
              <w:top w:val="nil"/>
              <w:left w:val="nil"/>
              <w:bottom w:val="single" w:sz="8" w:space="0" w:color="auto"/>
              <w:right w:val="single" w:sz="8" w:space="0" w:color="auto"/>
            </w:tcBorders>
            <w:shd w:val="clear" w:color="auto" w:fill="auto"/>
            <w:noWrap/>
            <w:vAlign w:val="center"/>
            <w:hideMark/>
          </w:tcPr>
          <w:p w14:paraId="791986AE"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49488</w:t>
            </w:r>
          </w:p>
        </w:tc>
        <w:tc>
          <w:tcPr>
            <w:tcW w:w="1647" w:type="dxa"/>
            <w:tcBorders>
              <w:top w:val="nil"/>
              <w:left w:val="nil"/>
              <w:bottom w:val="single" w:sz="8" w:space="0" w:color="auto"/>
              <w:right w:val="single" w:sz="8" w:space="0" w:color="auto"/>
            </w:tcBorders>
            <w:shd w:val="clear" w:color="auto" w:fill="auto"/>
            <w:noWrap/>
            <w:vAlign w:val="center"/>
            <w:hideMark/>
          </w:tcPr>
          <w:p w14:paraId="6350CBFA"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53319</w:t>
            </w:r>
          </w:p>
        </w:tc>
        <w:tc>
          <w:tcPr>
            <w:tcW w:w="1882" w:type="dxa"/>
            <w:tcBorders>
              <w:top w:val="nil"/>
              <w:left w:val="nil"/>
              <w:bottom w:val="single" w:sz="8" w:space="0" w:color="auto"/>
              <w:right w:val="single" w:sz="8" w:space="0" w:color="auto"/>
            </w:tcBorders>
            <w:shd w:val="clear" w:color="auto" w:fill="auto"/>
            <w:noWrap/>
            <w:vAlign w:val="center"/>
            <w:hideMark/>
          </w:tcPr>
          <w:p w14:paraId="2DAE1EF2"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57 150</w:t>
            </w:r>
          </w:p>
        </w:tc>
        <w:tc>
          <w:tcPr>
            <w:tcW w:w="806" w:type="dxa"/>
            <w:tcBorders>
              <w:top w:val="nil"/>
              <w:left w:val="nil"/>
              <w:bottom w:val="single" w:sz="8" w:space="0" w:color="auto"/>
              <w:right w:val="single" w:sz="8" w:space="0" w:color="auto"/>
            </w:tcBorders>
            <w:shd w:val="clear" w:color="auto" w:fill="auto"/>
            <w:noWrap/>
            <w:vAlign w:val="center"/>
            <w:hideMark/>
          </w:tcPr>
          <w:p w14:paraId="0BE5FDB0"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60 981</w:t>
            </w:r>
          </w:p>
        </w:tc>
        <w:tc>
          <w:tcPr>
            <w:tcW w:w="806" w:type="dxa"/>
            <w:tcBorders>
              <w:top w:val="nil"/>
              <w:left w:val="nil"/>
              <w:bottom w:val="single" w:sz="8" w:space="0" w:color="auto"/>
              <w:right w:val="single" w:sz="8" w:space="0" w:color="auto"/>
            </w:tcBorders>
            <w:shd w:val="clear" w:color="auto" w:fill="auto"/>
            <w:noWrap/>
            <w:vAlign w:val="center"/>
            <w:hideMark/>
          </w:tcPr>
          <w:p w14:paraId="1141FF44"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64 812</w:t>
            </w:r>
          </w:p>
        </w:tc>
        <w:tc>
          <w:tcPr>
            <w:tcW w:w="806" w:type="dxa"/>
            <w:tcBorders>
              <w:top w:val="nil"/>
              <w:left w:val="nil"/>
              <w:bottom w:val="single" w:sz="8" w:space="0" w:color="auto"/>
              <w:right w:val="single" w:sz="8" w:space="0" w:color="auto"/>
            </w:tcBorders>
            <w:shd w:val="clear" w:color="auto" w:fill="auto"/>
            <w:noWrap/>
            <w:vAlign w:val="center"/>
            <w:hideMark/>
          </w:tcPr>
          <w:p w14:paraId="2BEA7B44"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68 643</w:t>
            </w:r>
          </w:p>
        </w:tc>
      </w:tr>
      <w:tr w:rsidR="00023FC4" w:rsidRPr="00020C88" w14:paraId="09DE866C" w14:textId="77777777" w:rsidTr="00023FC4">
        <w:trPr>
          <w:trHeight w:val="259"/>
        </w:trPr>
        <w:tc>
          <w:tcPr>
            <w:tcW w:w="2706" w:type="dxa"/>
            <w:tcBorders>
              <w:top w:val="nil"/>
              <w:left w:val="single" w:sz="8" w:space="0" w:color="auto"/>
              <w:bottom w:val="single" w:sz="8" w:space="0" w:color="auto"/>
              <w:right w:val="single" w:sz="8" w:space="0" w:color="auto"/>
            </w:tcBorders>
            <w:shd w:val="clear" w:color="auto" w:fill="auto"/>
            <w:noWrap/>
            <w:vAlign w:val="center"/>
            <w:hideMark/>
          </w:tcPr>
          <w:p w14:paraId="3A5BE160"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zazmluvnených postelí</w:t>
            </w:r>
          </w:p>
        </w:tc>
        <w:tc>
          <w:tcPr>
            <w:tcW w:w="1495" w:type="dxa"/>
            <w:tcBorders>
              <w:top w:val="nil"/>
              <w:left w:val="nil"/>
              <w:bottom w:val="single" w:sz="8" w:space="0" w:color="auto"/>
              <w:right w:val="single" w:sz="8" w:space="0" w:color="auto"/>
            </w:tcBorders>
            <w:shd w:val="clear" w:color="auto" w:fill="auto"/>
            <w:noWrap/>
            <w:vAlign w:val="center"/>
            <w:hideMark/>
          </w:tcPr>
          <w:p w14:paraId="71E1FF42"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623</w:t>
            </w:r>
          </w:p>
        </w:tc>
        <w:tc>
          <w:tcPr>
            <w:tcW w:w="1647" w:type="dxa"/>
            <w:tcBorders>
              <w:top w:val="nil"/>
              <w:left w:val="nil"/>
              <w:bottom w:val="single" w:sz="8" w:space="0" w:color="auto"/>
              <w:right w:val="single" w:sz="8" w:space="0" w:color="auto"/>
            </w:tcBorders>
            <w:shd w:val="clear" w:color="auto" w:fill="auto"/>
            <w:noWrap/>
            <w:vAlign w:val="center"/>
            <w:hideMark/>
          </w:tcPr>
          <w:p w14:paraId="060A6996"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612</w:t>
            </w:r>
          </w:p>
        </w:tc>
        <w:tc>
          <w:tcPr>
            <w:tcW w:w="1882" w:type="dxa"/>
            <w:tcBorders>
              <w:top w:val="nil"/>
              <w:left w:val="nil"/>
              <w:bottom w:val="single" w:sz="8" w:space="0" w:color="auto"/>
              <w:right w:val="single" w:sz="8" w:space="0" w:color="auto"/>
            </w:tcBorders>
            <w:shd w:val="clear" w:color="auto" w:fill="auto"/>
            <w:noWrap/>
            <w:vAlign w:val="center"/>
            <w:hideMark/>
          </w:tcPr>
          <w:p w14:paraId="58815477"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615</w:t>
            </w:r>
          </w:p>
        </w:tc>
        <w:tc>
          <w:tcPr>
            <w:tcW w:w="806" w:type="dxa"/>
            <w:tcBorders>
              <w:top w:val="nil"/>
              <w:left w:val="nil"/>
              <w:bottom w:val="single" w:sz="8" w:space="0" w:color="auto"/>
              <w:right w:val="single" w:sz="8" w:space="0" w:color="auto"/>
            </w:tcBorders>
            <w:shd w:val="clear" w:color="auto" w:fill="auto"/>
            <w:noWrap/>
            <w:vAlign w:val="center"/>
            <w:hideMark/>
          </w:tcPr>
          <w:p w14:paraId="7492432D"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615</w:t>
            </w:r>
          </w:p>
        </w:tc>
        <w:tc>
          <w:tcPr>
            <w:tcW w:w="806" w:type="dxa"/>
            <w:tcBorders>
              <w:top w:val="nil"/>
              <w:left w:val="nil"/>
              <w:bottom w:val="single" w:sz="8" w:space="0" w:color="auto"/>
              <w:right w:val="single" w:sz="8" w:space="0" w:color="auto"/>
            </w:tcBorders>
            <w:shd w:val="clear" w:color="auto" w:fill="auto"/>
            <w:noWrap/>
            <w:vAlign w:val="center"/>
            <w:hideMark/>
          </w:tcPr>
          <w:p w14:paraId="2A280F68"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615</w:t>
            </w:r>
          </w:p>
        </w:tc>
        <w:tc>
          <w:tcPr>
            <w:tcW w:w="806" w:type="dxa"/>
            <w:tcBorders>
              <w:top w:val="nil"/>
              <w:left w:val="nil"/>
              <w:bottom w:val="single" w:sz="8" w:space="0" w:color="auto"/>
              <w:right w:val="single" w:sz="8" w:space="0" w:color="auto"/>
            </w:tcBorders>
            <w:shd w:val="clear" w:color="auto" w:fill="auto"/>
            <w:noWrap/>
            <w:vAlign w:val="center"/>
            <w:hideMark/>
          </w:tcPr>
          <w:p w14:paraId="5DE3DE93"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615</w:t>
            </w:r>
          </w:p>
        </w:tc>
      </w:tr>
      <w:tr w:rsidR="00023FC4" w:rsidRPr="00020C88" w14:paraId="5FB00261" w14:textId="77777777" w:rsidTr="00023FC4">
        <w:trPr>
          <w:trHeight w:val="259"/>
        </w:trPr>
        <w:tc>
          <w:tcPr>
            <w:tcW w:w="2706" w:type="dxa"/>
            <w:tcBorders>
              <w:top w:val="nil"/>
              <w:left w:val="single" w:sz="8" w:space="0" w:color="auto"/>
              <w:bottom w:val="single" w:sz="8" w:space="0" w:color="auto"/>
              <w:right w:val="single" w:sz="8" w:space="0" w:color="auto"/>
            </w:tcBorders>
            <w:shd w:val="clear" w:color="auto" w:fill="auto"/>
            <w:noWrap/>
            <w:vAlign w:val="center"/>
            <w:hideMark/>
          </w:tcPr>
          <w:p w14:paraId="38D7889E"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Celkové úhrady od ZP</w:t>
            </w:r>
          </w:p>
        </w:tc>
        <w:tc>
          <w:tcPr>
            <w:tcW w:w="1495" w:type="dxa"/>
            <w:tcBorders>
              <w:top w:val="nil"/>
              <w:left w:val="nil"/>
              <w:bottom w:val="single" w:sz="8" w:space="0" w:color="auto"/>
              <w:right w:val="single" w:sz="8" w:space="0" w:color="auto"/>
            </w:tcBorders>
            <w:shd w:val="clear" w:color="auto" w:fill="auto"/>
            <w:noWrap/>
            <w:vAlign w:val="center"/>
            <w:hideMark/>
          </w:tcPr>
          <w:p w14:paraId="3FA0F5C2"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2 478 435 €</w:t>
            </w:r>
          </w:p>
        </w:tc>
        <w:tc>
          <w:tcPr>
            <w:tcW w:w="1647" w:type="dxa"/>
            <w:tcBorders>
              <w:top w:val="nil"/>
              <w:left w:val="nil"/>
              <w:bottom w:val="single" w:sz="8" w:space="0" w:color="auto"/>
              <w:right w:val="single" w:sz="8" w:space="0" w:color="auto"/>
            </w:tcBorders>
            <w:shd w:val="clear" w:color="auto" w:fill="auto"/>
            <w:noWrap/>
            <w:vAlign w:val="center"/>
            <w:hideMark/>
          </w:tcPr>
          <w:p w14:paraId="1D00DD95"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2 803 934 €</w:t>
            </w:r>
          </w:p>
        </w:tc>
        <w:tc>
          <w:tcPr>
            <w:tcW w:w="1882" w:type="dxa"/>
            <w:tcBorders>
              <w:top w:val="nil"/>
              <w:left w:val="nil"/>
              <w:bottom w:val="single" w:sz="8" w:space="0" w:color="auto"/>
              <w:right w:val="single" w:sz="8" w:space="0" w:color="auto"/>
            </w:tcBorders>
            <w:shd w:val="clear" w:color="auto" w:fill="auto"/>
            <w:noWrap/>
            <w:vAlign w:val="center"/>
            <w:hideMark/>
          </w:tcPr>
          <w:p w14:paraId="45416942"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3 129 434 €</w:t>
            </w:r>
          </w:p>
        </w:tc>
        <w:tc>
          <w:tcPr>
            <w:tcW w:w="806" w:type="dxa"/>
            <w:tcBorders>
              <w:top w:val="nil"/>
              <w:left w:val="nil"/>
              <w:bottom w:val="single" w:sz="8" w:space="0" w:color="auto"/>
              <w:right w:val="single" w:sz="8" w:space="0" w:color="auto"/>
            </w:tcBorders>
            <w:shd w:val="clear" w:color="auto" w:fill="auto"/>
            <w:noWrap/>
            <w:vAlign w:val="center"/>
            <w:hideMark/>
          </w:tcPr>
          <w:p w14:paraId="796FD16E"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3 454 934 €</w:t>
            </w:r>
          </w:p>
        </w:tc>
        <w:tc>
          <w:tcPr>
            <w:tcW w:w="806" w:type="dxa"/>
            <w:tcBorders>
              <w:top w:val="nil"/>
              <w:left w:val="nil"/>
              <w:bottom w:val="single" w:sz="8" w:space="0" w:color="auto"/>
              <w:right w:val="single" w:sz="8" w:space="0" w:color="auto"/>
            </w:tcBorders>
            <w:shd w:val="clear" w:color="auto" w:fill="auto"/>
            <w:noWrap/>
            <w:vAlign w:val="center"/>
            <w:hideMark/>
          </w:tcPr>
          <w:p w14:paraId="51C25B9A"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3 780 434 €</w:t>
            </w:r>
          </w:p>
        </w:tc>
        <w:tc>
          <w:tcPr>
            <w:tcW w:w="806" w:type="dxa"/>
            <w:tcBorders>
              <w:top w:val="nil"/>
              <w:left w:val="nil"/>
              <w:bottom w:val="single" w:sz="8" w:space="0" w:color="auto"/>
              <w:right w:val="single" w:sz="8" w:space="0" w:color="auto"/>
            </w:tcBorders>
            <w:shd w:val="clear" w:color="auto" w:fill="auto"/>
            <w:noWrap/>
            <w:vAlign w:val="center"/>
            <w:hideMark/>
          </w:tcPr>
          <w:p w14:paraId="2840F97D"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4 105 933 €</w:t>
            </w:r>
          </w:p>
        </w:tc>
      </w:tr>
      <w:tr w:rsidR="00023FC4" w:rsidRPr="00020C88" w14:paraId="768CF5E6" w14:textId="77777777" w:rsidTr="00023FC4">
        <w:trPr>
          <w:trHeight w:val="259"/>
        </w:trPr>
        <w:tc>
          <w:tcPr>
            <w:tcW w:w="2706" w:type="dxa"/>
            <w:tcBorders>
              <w:top w:val="nil"/>
              <w:left w:val="single" w:sz="8" w:space="0" w:color="auto"/>
              <w:bottom w:val="single" w:sz="8" w:space="0" w:color="auto"/>
              <w:right w:val="single" w:sz="8" w:space="0" w:color="auto"/>
            </w:tcBorders>
            <w:shd w:val="clear" w:color="auto" w:fill="auto"/>
            <w:noWrap/>
            <w:vAlign w:val="center"/>
            <w:hideMark/>
          </w:tcPr>
          <w:p w14:paraId="7E58387F" w14:textId="77777777" w:rsidR="00023FC4" w:rsidRPr="00020C88" w:rsidRDefault="00023FC4" w:rsidP="00023FC4">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Priemerná úhrada za ošetrovací deň</w:t>
            </w:r>
          </w:p>
        </w:tc>
        <w:tc>
          <w:tcPr>
            <w:tcW w:w="1495" w:type="dxa"/>
            <w:tcBorders>
              <w:top w:val="nil"/>
              <w:left w:val="nil"/>
              <w:bottom w:val="single" w:sz="8" w:space="0" w:color="auto"/>
              <w:right w:val="single" w:sz="8" w:space="0" w:color="auto"/>
            </w:tcBorders>
            <w:shd w:val="clear" w:color="auto" w:fill="auto"/>
            <w:noWrap/>
            <w:vAlign w:val="center"/>
            <w:hideMark/>
          </w:tcPr>
          <w:p w14:paraId="197C6A9B"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50 €</w:t>
            </w:r>
          </w:p>
        </w:tc>
        <w:tc>
          <w:tcPr>
            <w:tcW w:w="1647" w:type="dxa"/>
            <w:tcBorders>
              <w:top w:val="nil"/>
              <w:left w:val="nil"/>
              <w:bottom w:val="single" w:sz="8" w:space="0" w:color="auto"/>
              <w:right w:val="single" w:sz="8" w:space="0" w:color="auto"/>
            </w:tcBorders>
            <w:shd w:val="clear" w:color="auto" w:fill="auto"/>
            <w:noWrap/>
            <w:vAlign w:val="center"/>
            <w:hideMark/>
          </w:tcPr>
          <w:p w14:paraId="5512898F"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53 €</w:t>
            </w:r>
          </w:p>
        </w:tc>
        <w:tc>
          <w:tcPr>
            <w:tcW w:w="1882" w:type="dxa"/>
            <w:tcBorders>
              <w:top w:val="nil"/>
              <w:left w:val="nil"/>
              <w:bottom w:val="single" w:sz="8" w:space="0" w:color="auto"/>
              <w:right w:val="single" w:sz="8" w:space="0" w:color="auto"/>
            </w:tcBorders>
            <w:shd w:val="clear" w:color="auto" w:fill="auto"/>
            <w:noWrap/>
            <w:vAlign w:val="center"/>
            <w:hideMark/>
          </w:tcPr>
          <w:p w14:paraId="43341734"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55 €</w:t>
            </w:r>
          </w:p>
        </w:tc>
        <w:tc>
          <w:tcPr>
            <w:tcW w:w="806" w:type="dxa"/>
            <w:tcBorders>
              <w:top w:val="nil"/>
              <w:left w:val="nil"/>
              <w:bottom w:val="single" w:sz="8" w:space="0" w:color="auto"/>
              <w:right w:val="single" w:sz="8" w:space="0" w:color="auto"/>
            </w:tcBorders>
            <w:shd w:val="clear" w:color="auto" w:fill="auto"/>
            <w:noWrap/>
            <w:vAlign w:val="center"/>
            <w:hideMark/>
          </w:tcPr>
          <w:p w14:paraId="406B0114"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57 €</w:t>
            </w:r>
          </w:p>
        </w:tc>
        <w:tc>
          <w:tcPr>
            <w:tcW w:w="806" w:type="dxa"/>
            <w:tcBorders>
              <w:top w:val="nil"/>
              <w:left w:val="nil"/>
              <w:bottom w:val="single" w:sz="8" w:space="0" w:color="auto"/>
              <w:right w:val="single" w:sz="8" w:space="0" w:color="auto"/>
            </w:tcBorders>
            <w:shd w:val="clear" w:color="auto" w:fill="auto"/>
            <w:noWrap/>
            <w:vAlign w:val="center"/>
            <w:hideMark/>
          </w:tcPr>
          <w:p w14:paraId="64153847"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58 €</w:t>
            </w:r>
          </w:p>
        </w:tc>
        <w:tc>
          <w:tcPr>
            <w:tcW w:w="806" w:type="dxa"/>
            <w:tcBorders>
              <w:top w:val="nil"/>
              <w:left w:val="nil"/>
              <w:bottom w:val="single" w:sz="8" w:space="0" w:color="auto"/>
              <w:right w:val="single" w:sz="8" w:space="0" w:color="auto"/>
            </w:tcBorders>
            <w:shd w:val="clear" w:color="auto" w:fill="auto"/>
            <w:noWrap/>
            <w:vAlign w:val="center"/>
            <w:hideMark/>
          </w:tcPr>
          <w:p w14:paraId="1D1CD7BC" w14:textId="77777777" w:rsidR="00023FC4" w:rsidRPr="00020C88" w:rsidRDefault="00023FC4" w:rsidP="00023FC4">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60 €</w:t>
            </w:r>
          </w:p>
        </w:tc>
      </w:tr>
    </w:tbl>
    <w:p w14:paraId="7FBD8772" w14:textId="77777777" w:rsidR="00023FC4" w:rsidRPr="00020C88" w:rsidRDefault="00023FC4" w:rsidP="00CB750F">
      <w:pPr>
        <w:spacing w:after="0" w:line="240" w:lineRule="auto"/>
        <w:jc w:val="both"/>
        <w:rPr>
          <w:rFonts w:ascii="Times New Roman" w:hAnsi="Times New Roman"/>
          <w:sz w:val="20"/>
          <w:szCs w:val="20"/>
        </w:rPr>
      </w:pPr>
    </w:p>
    <w:p w14:paraId="0CA139F9" w14:textId="469909A6" w:rsidR="004D4C0E" w:rsidRPr="00020C88" w:rsidRDefault="004D4C0E" w:rsidP="00CB750F">
      <w:pPr>
        <w:spacing w:after="0" w:line="240" w:lineRule="auto"/>
        <w:jc w:val="both"/>
        <w:rPr>
          <w:rFonts w:ascii="Times New Roman" w:hAnsi="Times New Roman"/>
          <w:sz w:val="20"/>
          <w:szCs w:val="20"/>
        </w:rPr>
      </w:pPr>
    </w:p>
    <w:p w14:paraId="2AD49D3C" w14:textId="77777777" w:rsidR="004D4C0E" w:rsidRPr="00020C88" w:rsidRDefault="004D4C0E" w:rsidP="004D4C0E">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zdroj: NCZI, údaje za rok 2018 a za rok 2019 nie sú dostupné – počítali sme s 0,8% nárastom za každý rok, pri nezmenenom legislatívnom prostredí</w:t>
      </w:r>
    </w:p>
    <w:p w14:paraId="39A0CB95" w14:textId="77777777" w:rsidR="004D4C0E" w:rsidRPr="00020C88" w:rsidRDefault="004D4C0E" w:rsidP="004D4C0E">
      <w:pPr>
        <w:spacing w:after="0" w:line="240" w:lineRule="auto"/>
        <w:jc w:val="both"/>
        <w:rPr>
          <w:rFonts w:ascii="Times New Roman" w:hAnsi="Times New Roman"/>
          <w:color w:val="000000"/>
          <w:sz w:val="18"/>
          <w:szCs w:val="18"/>
          <w:lang w:eastAsia="sk-SK"/>
        </w:rPr>
      </w:pPr>
    </w:p>
    <w:p w14:paraId="68AEE33A" w14:textId="3C5E7809" w:rsidR="004D4C0E" w:rsidRPr="00020C88" w:rsidRDefault="004D4C0E" w:rsidP="004D4C0E">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Podľa údajov o hospodárení, ktoré zdravotnícke zariadenia v pravidelných intervaloch Národnému centru zdravotníckych informácií sú náklady hospicov výrazne vyššie, ako ich tržby od zdravotných poisťovní – za celú oblasť hospicov táto suma predstavuje </w:t>
      </w:r>
      <w:r w:rsidR="00297720" w:rsidRPr="00020C88">
        <w:rPr>
          <w:rFonts w:ascii="Times New Roman" w:hAnsi="Times New Roman"/>
          <w:color w:val="000000"/>
          <w:sz w:val="18"/>
          <w:szCs w:val="18"/>
          <w:lang w:eastAsia="sk-SK"/>
        </w:rPr>
        <w:t>3,8 mil.</w:t>
      </w:r>
      <w:r w:rsidRPr="00020C88">
        <w:rPr>
          <w:rFonts w:ascii="Times New Roman" w:hAnsi="Times New Roman"/>
          <w:color w:val="000000"/>
          <w:sz w:val="18"/>
          <w:szCs w:val="18"/>
          <w:lang w:eastAsia="sk-SK"/>
        </w:rPr>
        <w:t xml:space="preserve"> eur ročne. </w:t>
      </w:r>
      <w:r w:rsidR="00297720" w:rsidRPr="00020C88">
        <w:rPr>
          <w:rFonts w:ascii="Times New Roman" w:hAnsi="Times New Roman"/>
          <w:color w:val="000000"/>
          <w:sz w:val="18"/>
          <w:szCs w:val="18"/>
          <w:lang w:eastAsia="sk-SK"/>
        </w:rPr>
        <w:t>H</w:t>
      </w:r>
      <w:r w:rsidRPr="00020C88">
        <w:rPr>
          <w:rFonts w:ascii="Times New Roman" w:hAnsi="Times New Roman"/>
          <w:color w:val="000000"/>
          <w:sz w:val="18"/>
          <w:szCs w:val="18"/>
          <w:lang w:eastAsia="sk-SK"/>
        </w:rPr>
        <w:t>ospice sú nútené chýbajúce prostriedky riešiť vyššími cenami svojich služieb pre prijímateľov ich starostlivosti.</w:t>
      </w:r>
    </w:p>
    <w:p w14:paraId="18500895" w14:textId="2F65CB5E" w:rsidR="004D4C0E" w:rsidRPr="00020C88" w:rsidRDefault="004D4C0E" w:rsidP="004D4C0E">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Na vyrovnanie tohto nepomeru medzi cenami, hradenými zdravotnými poisťovňami a reálnymi cenami je potrebné stanovenie výšky úhrady za </w:t>
      </w:r>
      <w:r w:rsidR="00297720" w:rsidRPr="00020C88">
        <w:rPr>
          <w:rFonts w:ascii="Times New Roman" w:hAnsi="Times New Roman"/>
          <w:color w:val="000000"/>
          <w:sz w:val="18"/>
          <w:szCs w:val="18"/>
          <w:lang w:eastAsia="sk-SK"/>
        </w:rPr>
        <w:t>ošetrovací deň</w:t>
      </w:r>
      <w:r w:rsidRPr="00020C88">
        <w:rPr>
          <w:rFonts w:ascii="Times New Roman" w:hAnsi="Times New Roman"/>
          <w:color w:val="000000"/>
          <w:sz w:val="18"/>
          <w:szCs w:val="18"/>
          <w:lang w:eastAsia="sk-SK"/>
        </w:rPr>
        <w:t>.</w:t>
      </w:r>
    </w:p>
    <w:p w14:paraId="3DBED7E9" w14:textId="77777777" w:rsidR="00297720" w:rsidRPr="00020C88" w:rsidRDefault="00297720" w:rsidP="004D4C0E">
      <w:pPr>
        <w:spacing w:after="0" w:line="240" w:lineRule="auto"/>
        <w:jc w:val="both"/>
        <w:rPr>
          <w:rFonts w:ascii="Times New Roman" w:hAnsi="Times New Roman"/>
          <w:color w:val="000000"/>
          <w:sz w:val="18"/>
          <w:szCs w:val="18"/>
          <w:lang w:eastAsia="sk-SK"/>
        </w:rPr>
      </w:pPr>
    </w:p>
    <w:tbl>
      <w:tblPr>
        <w:tblW w:w="6960" w:type="dxa"/>
        <w:tblInd w:w="-10" w:type="dxa"/>
        <w:tblCellMar>
          <w:left w:w="70" w:type="dxa"/>
          <w:right w:w="70" w:type="dxa"/>
        </w:tblCellMar>
        <w:tblLook w:val="04A0" w:firstRow="1" w:lastRow="0" w:firstColumn="1" w:lastColumn="0" w:noHBand="0" w:noVBand="1"/>
      </w:tblPr>
      <w:tblGrid>
        <w:gridCol w:w="3220"/>
        <w:gridCol w:w="1780"/>
        <w:gridCol w:w="1960"/>
      </w:tblGrid>
      <w:tr w:rsidR="00297720" w:rsidRPr="00020C88" w14:paraId="0D3A3A5F" w14:textId="77777777" w:rsidTr="00297720">
        <w:trPr>
          <w:trHeight w:val="290"/>
        </w:trPr>
        <w:tc>
          <w:tcPr>
            <w:tcW w:w="3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293C81"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Náklady na 1 pacienta v eurách</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14:paraId="3C02D2D7"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1 pacient na 1 deň</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14:paraId="535F61DD"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1 pacient  na mesiac</w:t>
            </w:r>
          </w:p>
        </w:tc>
      </w:tr>
      <w:tr w:rsidR="00297720" w:rsidRPr="00020C88" w14:paraId="5C3471A7" w14:textId="77777777" w:rsidTr="00297720">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0DDE153F"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lieky a zdravotnícky materiál</w:t>
            </w:r>
          </w:p>
        </w:tc>
        <w:tc>
          <w:tcPr>
            <w:tcW w:w="1780" w:type="dxa"/>
            <w:tcBorders>
              <w:top w:val="nil"/>
              <w:left w:val="nil"/>
              <w:bottom w:val="single" w:sz="4" w:space="0" w:color="auto"/>
              <w:right w:val="single" w:sz="4" w:space="0" w:color="auto"/>
            </w:tcBorders>
            <w:shd w:val="clear" w:color="auto" w:fill="auto"/>
            <w:noWrap/>
            <w:vAlign w:val="bottom"/>
            <w:hideMark/>
          </w:tcPr>
          <w:p w14:paraId="1BE1D759"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8</w:t>
            </w:r>
          </w:p>
        </w:tc>
        <w:tc>
          <w:tcPr>
            <w:tcW w:w="1960" w:type="dxa"/>
            <w:tcBorders>
              <w:top w:val="nil"/>
              <w:left w:val="nil"/>
              <w:bottom w:val="single" w:sz="4" w:space="0" w:color="auto"/>
              <w:right w:val="single" w:sz="4" w:space="0" w:color="auto"/>
            </w:tcBorders>
            <w:shd w:val="clear" w:color="auto" w:fill="auto"/>
            <w:noWrap/>
            <w:vAlign w:val="bottom"/>
            <w:hideMark/>
          </w:tcPr>
          <w:p w14:paraId="420F336B"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240</w:t>
            </w:r>
          </w:p>
        </w:tc>
      </w:tr>
      <w:tr w:rsidR="00297720" w:rsidRPr="00020C88" w14:paraId="5E000366" w14:textId="77777777" w:rsidTr="00297720">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62F8EF14"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strava a enterálna výživa</w:t>
            </w:r>
          </w:p>
        </w:tc>
        <w:tc>
          <w:tcPr>
            <w:tcW w:w="1780" w:type="dxa"/>
            <w:tcBorders>
              <w:top w:val="nil"/>
              <w:left w:val="nil"/>
              <w:bottom w:val="single" w:sz="4" w:space="0" w:color="auto"/>
              <w:right w:val="single" w:sz="4" w:space="0" w:color="auto"/>
            </w:tcBorders>
            <w:shd w:val="clear" w:color="auto" w:fill="auto"/>
            <w:noWrap/>
            <w:vAlign w:val="bottom"/>
            <w:hideMark/>
          </w:tcPr>
          <w:p w14:paraId="02F8C330"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3</w:t>
            </w:r>
          </w:p>
        </w:tc>
        <w:tc>
          <w:tcPr>
            <w:tcW w:w="1960" w:type="dxa"/>
            <w:tcBorders>
              <w:top w:val="nil"/>
              <w:left w:val="nil"/>
              <w:bottom w:val="single" w:sz="4" w:space="0" w:color="auto"/>
              <w:right w:val="single" w:sz="4" w:space="0" w:color="auto"/>
            </w:tcBorders>
            <w:shd w:val="clear" w:color="auto" w:fill="auto"/>
            <w:noWrap/>
            <w:vAlign w:val="bottom"/>
            <w:hideMark/>
          </w:tcPr>
          <w:p w14:paraId="1C64B1A7"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90</w:t>
            </w:r>
          </w:p>
        </w:tc>
      </w:tr>
      <w:tr w:rsidR="00297720" w:rsidRPr="00020C88" w14:paraId="797424B4" w14:textId="77777777" w:rsidTr="00297720">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418F4595"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energie a prevádzkové náklady</w:t>
            </w:r>
          </w:p>
        </w:tc>
        <w:tc>
          <w:tcPr>
            <w:tcW w:w="1780" w:type="dxa"/>
            <w:tcBorders>
              <w:top w:val="nil"/>
              <w:left w:val="nil"/>
              <w:bottom w:val="single" w:sz="4" w:space="0" w:color="auto"/>
              <w:right w:val="single" w:sz="4" w:space="0" w:color="auto"/>
            </w:tcBorders>
            <w:shd w:val="clear" w:color="auto" w:fill="auto"/>
            <w:noWrap/>
            <w:vAlign w:val="bottom"/>
            <w:hideMark/>
          </w:tcPr>
          <w:p w14:paraId="306D43B1"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8</w:t>
            </w:r>
          </w:p>
        </w:tc>
        <w:tc>
          <w:tcPr>
            <w:tcW w:w="1960" w:type="dxa"/>
            <w:tcBorders>
              <w:top w:val="nil"/>
              <w:left w:val="nil"/>
              <w:bottom w:val="single" w:sz="4" w:space="0" w:color="auto"/>
              <w:right w:val="single" w:sz="4" w:space="0" w:color="auto"/>
            </w:tcBorders>
            <w:shd w:val="clear" w:color="auto" w:fill="auto"/>
            <w:noWrap/>
            <w:vAlign w:val="bottom"/>
            <w:hideMark/>
          </w:tcPr>
          <w:p w14:paraId="6ACA999E"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240</w:t>
            </w:r>
          </w:p>
        </w:tc>
      </w:tr>
      <w:tr w:rsidR="00297720" w:rsidRPr="00020C88" w14:paraId="38E441F5" w14:textId="77777777" w:rsidTr="00297720">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77B0F337"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mzdové a osobné náklady</w:t>
            </w:r>
          </w:p>
        </w:tc>
        <w:tc>
          <w:tcPr>
            <w:tcW w:w="1780" w:type="dxa"/>
            <w:tcBorders>
              <w:top w:val="nil"/>
              <w:left w:val="nil"/>
              <w:bottom w:val="single" w:sz="4" w:space="0" w:color="auto"/>
              <w:right w:val="single" w:sz="4" w:space="0" w:color="auto"/>
            </w:tcBorders>
            <w:shd w:val="clear" w:color="auto" w:fill="auto"/>
            <w:noWrap/>
            <w:vAlign w:val="bottom"/>
            <w:hideMark/>
          </w:tcPr>
          <w:p w14:paraId="5A6F7F7D"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66</w:t>
            </w:r>
          </w:p>
        </w:tc>
        <w:tc>
          <w:tcPr>
            <w:tcW w:w="1960" w:type="dxa"/>
            <w:tcBorders>
              <w:top w:val="nil"/>
              <w:left w:val="nil"/>
              <w:bottom w:val="single" w:sz="4" w:space="0" w:color="auto"/>
              <w:right w:val="single" w:sz="4" w:space="0" w:color="auto"/>
            </w:tcBorders>
            <w:shd w:val="clear" w:color="auto" w:fill="auto"/>
            <w:noWrap/>
            <w:vAlign w:val="bottom"/>
            <w:hideMark/>
          </w:tcPr>
          <w:p w14:paraId="027AB7A7"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1980</w:t>
            </w:r>
          </w:p>
        </w:tc>
      </w:tr>
      <w:tr w:rsidR="00297720" w:rsidRPr="00020C88" w14:paraId="3F066D70" w14:textId="77777777" w:rsidTr="00297720">
        <w:trPr>
          <w:trHeight w:val="300"/>
        </w:trPr>
        <w:tc>
          <w:tcPr>
            <w:tcW w:w="3220" w:type="dxa"/>
            <w:tcBorders>
              <w:top w:val="nil"/>
              <w:left w:val="single" w:sz="8" w:space="0" w:color="auto"/>
              <w:bottom w:val="single" w:sz="8" w:space="0" w:color="auto"/>
              <w:right w:val="single" w:sz="4" w:space="0" w:color="auto"/>
            </w:tcBorders>
            <w:shd w:val="clear" w:color="auto" w:fill="auto"/>
            <w:noWrap/>
            <w:vAlign w:val="bottom"/>
            <w:hideMark/>
          </w:tcPr>
          <w:p w14:paraId="27C32801"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celkom</w:t>
            </w:r>
          </w:p>
        </w:tc>
        <w:tc>
          <w:tcPr>
            <w:tcW w:w="1780" w:type="dxa"/>
            <w:tcBorders>
              <w:top w:val="nil"/>
              <w:left w:val="nil"/>
              <w:bottom w:val="single" w:sz="8" w:space="0" w:color="auto"/>
              <w:right w:val="single" w:sz="4" w:space="0" w:color="auto"/>
            </w:tcBorders>
            <w:shd w:val="clear" w:color="auto" w:fill="auto"/>
            <w:noWrap/>
            <w:vAlign w:val="bottom"/>
            <w:hideMark/>
          </w:tcPr>
          <w:p w14:paraId="04E26A3C"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85</w:t>
            </w:r>
          </w:p>
        </w:tc>
        <w:tc>
          <w:tcPr>
            <w:tcW w:w="1960" w:type="dxa"/>
            <w:tcBorders>
              <w:top w:val="nil"/>
              <w:left w:val="nil"/>
              <w:bottom w:val="single" w:sz="8" w:space="0" w:color="auto"/>
              <w:right w:val="single" w:sz="4" w:space="0" w:color="auto"/>
            </w:tcBorders>
            <w:shd w:val="clear" w:color="auto" w:fill="auto"/>
            <w:noWrap/>
            <w:vAlign w:val="bottom"/>
            <w:hideMark/>
          </w:tcPr>
          <w:p w14:paraId="7D12384A"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2550</w:t>
            </w:r>
          </w:p>
        </w:tc>
      </w:tr>
      <w:tr w:rsidR="00297720" w:rsidRPr="00020C88" w14:paraId="1A80A7BF" w14:textId="77777777" w:rsidTr="00297720">
        <w:trPr>
          <w:trHeight w:val="300"/>
        </w:trPr>
        <w:tc>
          <w:tcPr>
            <w:tcW w:w="3220" w:type="dxa"/>
            <w:tcBorders>
              <w:top w:val="nil"/>
              <w:left w:val="nil"/>
              <w:bottom w:val="nil"/>
              <w:right w:val="nil"/>
            </w:tcBorders>
            <w:shd w:val="clear" w:color="auto" w:fill="auto"/>
            <w:noWrap/>
            <w:vAlign w:val="bottom"/>
            <w:hideMark/>
          </w:tcPr>
          <w:p w14:paraId="74A13395" w14:textId="77777777" w:rsidR="00297720" w:rsidRPr="00020C88" w:rsidRDefault="00297720" w:rsidP="00297720">
            <w:pPr>
              <w:spacing w:after="0" w:line="240" w:lineRule="auto"/>
              <w:jc w:val="right"/>
              <w:rPr>
                <w:rFonts w:ascii="Times New Roman" w:hAnsi="Times New Roman"/>
                <w:color w:val="000000"/>
                <w:lang w:eastAsia="sk-SK"/>
              </w:rPr>
            </w:pPr>
          </w:p>
        </w:tc>
        <w:tc>
          <w:tcPr>
            <w:tcW w:w="1780" w:type="dxa"/>
            <w:tcBorders>
              <w:top w:val="nil"/>
              <w:left w:val="nil"/>
              <w:bottom w:val="nil"/>
              <w:right w:val="nil"/>
            </w:tcBorders>
            <w:shd w:val="clear" w:color="auto" w:fill="auto"/>
            <w:noWrap/>
            <w:vAlign w:val="bottom"/>
            <w:hideMark/>
          </w:tcPr>
          <w:p w14:paraId="6744C96C" w14:textId="77777777" w:rsidR="00297720" w:rsidRPr="00020C88" w:rsidRDefault="00297720" w:rsidP="00297720">
            <w:pPr>
              <w:spacing w:after="0" w:line="240" w:lineRule="auto"/>
              <w:rPr>
                <w:rFonts w:ascii="Times New Roman" w:hAnsi="Times New Roman"/>
                <w:sz w:val="20"/>
                <w:szCs w:val="20"/>
                <w:lang w:eastAsia="sk-SK"/>
              </w:rPr>
            </w:pPr>
          </w:p>
        </w:tc>
        <w:tc>
          <w:tcPr>
            <w:tcW w:w="1960" w:type="dxa"/>
            <w:tcBorders>
              <w:top w:val="nil"/>
              <w:left w:val="nil"/>
              <w:bottom w:val="nil"/>
              <w:right w:val="nil"/>
            </w:tcBorders>
            <w:shd w:val="clear" w:color="auto" w:fill="auto"/>
            <w:noWrap/>
            <w:vAlign w:val="bottom"/>
            <w:hideMark/>
          </w:tcPr>
          <w:p w14:paraId="54F01C75" w14:textId="77777777" w:rsidR="00297720" w:rsidRPr="00020C88" w:rsidRDefault="00297720" w:rsidP="00297720">
            <w:pPr>
              <w:spacing w:after="0" w:line="240" w:lineRule="auto"/>
              <w:rPr>
                <w:rFonts w:ascii="Times New Roman" w:hAnsi="Times New Roman"/>
                <w:sz w:val="20"/>
                <w:szCs w:val="20"/>
                <w:lang w:eastAsia="sk-SK"/>
              </w:rPr>
            </w:pPr>
          </w:p>
        </w:tc>
      </w:tr>
      <w:tr w:rsidR="00297720" w:rsidRPr="00020C88" w14:paraId="7A8B1EA1" w14:textId="77777777" w:rsidTr="00297720">
        <w:trPr>
          <w:trHeight w:val="290"/>
        </w:trPr>
        <w:tc>
          <w:tcPr>
            <w:tcW w:w="3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B00BCC"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Výnosy na 1 pacienta v eurách</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14:paraId="00C180E8"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1 pacient na 1 deň</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14:paraId="1A7AF80F"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1 pacient  na mesiac</w:t>
            </w:r>
          </w:p>
        </w:tc>
      </w:tr>
      <w:tr w:rsidR="00297720" w:rsidRPr="00020C88" w14:paraId="58468D31" w14:textId="77777777" w:rsidTr="00297720">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46230142"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platby od ZP</w:t>
            </w:r>
          </w:p>
        </w:tc>
        <w:tc>
          <w:tcPr>
            <w:tcW w:w="1780" w:type="dxa"/>
            <w:tcBorders>
              <w:top w:val="nil"/>
              <w:left w:val="nil"/>
              <w:bottom w:val="single" w:sz="4" w:space="0" w:color="auto"/>
              <w:right w:val="single" w:sz="4" w:space="0" w:color="auto"/>
            </w:tcBorders>
            <w:shd w:val="clear" w:color="auto" w:fill="auto"/>
            <w:noWrap/>
            <w:vAlign w:val="bottom"/>
            <w:hideMark/>
          </w:tcPr>
          <w:p w14:paraId="47F41F76"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57</w:t>
            </w:r>
          </w:p>
        </w:tc>
        <w:tc>
          <w:tcPr>
            <w:tcW w:w="1960" w:type="dxa"/>
            <w:tcBorders>
              <w:top w:val="nil"/>
              <w:left w:val="nil"/>
              <w:bottom w:val="single" w:sz="4" w:space="0" w:color="auto"/>
              <w:right w:val="single" w:sz="4" w:space="0" w:color="auto"/>
            </w:tcBorders>
            <w:shd w:val="clear" w:color="auto" w:fill="auto"/>
            <w:noWrap/>
            <w:vAlign w:val="bottom"/>
            <w:hideMark/>
          </w:tcPr>
          <w:p w14:paraId="7B67CD93"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1710</w:t>
            </w:r>
          </w:p>
        </w:tc>
      </w:tr>
      <w:tr w:rsidR="00297720" w:rsidRPr="00020C88" w14:paraId="555B506F" w14:textId="77777777" w:rsidTr="00297720">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25A37655"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dary pacienta a príbuzných</w:t>
            </w:r>
          </w:p>
        </w:tc>
        <w:tc>
          <w:tcPr>
            <w:tcW w:w="1780" w:type="dxa"/>
            <w:tcBorders>
              <w:top w:val="nil"/>
              <w:left w:val="nil"/>
              <w:bottom w:val="single" w:sz="4" w:space="0" w:color="auto"/>
              <w:right w:val="single" w:sz="4" w:space="0" w:color="auto"/>
            </w:tcBorders>
            <w:shd w:val="clear" w:color="auto" w:fill="auto"/>
            <w:noWrap/>
            <w:vAlign w:val="bottom"/>
            <w:hideMark/>
          </w:tcPr>
          <w:p w14:paraId="0AFF5314"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8</w:t>
            </w:r>
          </w:p>
        </w:tc>
        <w:tc>
          <w:tcPr>
            <w:tcW w:w="1960" w:type="dxa"/>
            <w:tcBorders>
              <w:top w:val="nil"/>
              <w:left w:val="nil"/>
              <w:bottom w:val="single" w:sz="4" w:space="0" w:color="auto"/>
              <w:right w:val="single" w:sz="4" w:space="0" w:color="auto"/>
            </w:tcBorders>
            <w:shd w:val="clear" w:color="auto" w:fill="auto"/>
            <w:noWrap/>
            <w:vAlign w:val="bottom"/>
            <w:hideMark/>
          </w:tcPr>
          <w:p w14:paraId="0022E296"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240</w:t>
            </w:r>
          </w:p>
        </w:tc>
      </w:tr>
      <w:tr w:rsidR="00297720" w:rsidRPr="00020C88" w14:paraId="669D53F1" w14:textId="77777777" w:rsidTr="00297720">
        <w:trPr>
          <w:trHeight w:val="300"/>
        </w:trPr>
        <w:tc>
          <w:tcPr>
            <w:tcW w:w="3220" w:type="dxa"/>
            <w:tcBorders>
              <w:top w:val="nil"/>
              <w:left w:val="single" w:sz="8" w:space="0" w:color="auto"/>
              <w:bottom w:val="single" w:sz="8" w:space="0" w:color="auto"/>
              <w:right w:val="single" w:sz="4" w:space="0" w:color="auto"/>
            </w:tcBorders>
            <w:shd w:val="clear" w:color="auto" w:fill="auto"/>
            <w:noWrap/>
            <w:vAlign w:val="bottom"/>
            <w:hideMark/>
          </w:tcPr>
          <w:p w14:paraId="2B299828" w14:textId="77777777" w:rsidR="00297720" w:rsidRPr="00020C88" w:rsidRDefault="00297720" w:rsidP="00297720">
            <w:pPr>
              <w:spacing w:after="0" w:line="240" w:lineRule="auto"/>
              <w:rPr>
                <w:rFonts w:ascii="Times New Roman" w:hAnsi="Times New Roman"/>
                <w:color w:val="000000"/>
                <w:lang w:eastAsia="sk-SK"/>
              </w:rPr>
            </w:pPr>
            <w:r w:rsidRPr="00020C88">
              <w:rPr>
                <w:rFonts w:ascii="Times New Roman" w:hAnsi="Times New Roman"/>
                <w:color w:val="000000"/>
                <w:lang w:eastAsia="sk-SK"/>
              </w:rPr>
              <w:t>celkom</w:t>
            </w:r>
          </w:p>
        </w:tc>
        <w:tc>
          <w:tcPr>
            <w:tcW w:w="1780" w:type="dxa"/>
            <w:tcBorders>
              <w:top w:val="nil"/>
              <w:left w:val="nil"/>
              <w:bottom w:val="single" w:sz="8" w:space="0" w:color="auto"/>
              <w:right w:val="single" w:sz="4" w:space="0" w:color="auto"/>
            </w:tcBorders>
            <w:shd w:val="clear" w:color="auto" w:fill="auto"/>
            <w:noWrap/>
            <w:vAlign w:val="bottom"/>
            <w:hideMark/>
          </w:tcPr>
          <w:p w14:paraId="75BEF29F"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65</w:t>
            </w:r>
          </w:p>
        </w:tc>
        <w:tc>
          <w:tcPr>
            <w:tcW w:w="1960" w:type="dxa"/>
            <w:tcBorders>
              <w:top w:val="nil"/>
              <w:left w:val="nil"/>
              <w:bottom w:val="single" w:sz="8" w:space="0" w:color="auto"/>
              <w:right w:val="single" w:sz="4" w:space="0" w:color="auto"/>
            </w:tcBorders>
            <w:shd w:val="clear" w:color="auto" w:fill="auto"/>
            <w:noWrap/>
            <w:vAlign w:val="bottom"/>
            <w:hideMark/>
          </w:tcPr>
          <w:p w14:paraId="396EB187" w14:textId="77777777" w:rsidR="00297720" w:rsidRPr="00020C88" w:rsidRDefault="00297720" w:rsidP="00297720">
            <w:pPr>
              <w:spacing w:after="0" w:line="240" w:lineRule="auto"/>
              <w:jc w:val="right"/>
              <w:rPr>
                <w:rFonts w:ascii="Times New Roman" w:hAnsi="Times New Roman"/>
                <w:color w:val="000000"/>
                <w:lang w:eastAsia="sk-SK"/>
              </w:rPr>
            </w:pPr>
            <w:r w:rsidRPr="00020C88">
              <w:rPr>
                <w:rFonts w:ascii="Times New Roman" w:hAnsi="Times New Roman"/>
                <w:color w:val="000000"/>
                <w:lang w:eastAsia="sk-SK"/>
              </w:rPr>
              <w:t>1950</w:t>
            </w:r>
          </w:p>
        </w:tc>
      </w:tr>
    </w:tbl>
    <w:p w14:paraId="2D8208A8" w14:textId="77777777" w:rsidR="00297720" w:rsidRPr="00020C88" w:rsidRDefault="00297720" w:rsidP="004D4C0E">
      <w:pPr>
        <w:spacing w:after="0" w:line="240" w:lineRule="auto"/>
        <w:jc w:val="both"/>
        <w:rPr>
          <w:rFonts w:ascii="Times New Roman" w:hAnsi="Times New Roman"/>
          <w:color w:val="000000"/>
          <w:sz w:val="18"/>
          <w:szCs w:val="18"/>
          <w:lang w:eastAsia="sk-SK"/>
        </w:rPr>
      </w:pPr>
    </w:p>
    <w:p w14:paraId="5165EDCE" w14:textId="0578B6C2" w:rsidR="004D4C0E" w:rsidRPr="00020C88" w:rsidRDefault="004D4C0E" w:rsidP="004D4C0E">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V zmysle vyššie uvedeného je potrebné pre rok 2020 zvýšenie tejto úhrady nasledovne:</w:t>
      </w:r>
    </w:p>
    <w:p w14:paraId="4E60E215" w14:textId="77777777" w:rsidR="004D4C0E" w:rsidRPr="00020C88" w:rsidRDefault="004D4C0E" w:rsidP="004D4C0E">
      <w:pPr>
        <w:spacing w:after="0" w:line="240" w:lineRule="auto"/>
        <w:jc w:val="both"/>
        <w:rPr>
          <w:rFonts w:ascii="Times New Roman" w:hAnsi="Times New Roman"/>
          <w:color w:val="000000"/>
          <w:sz w:val="18"/>
          <w:szCs w:val="18"/>
          <w:lang w:eastAsia="sk-SK"/>
        </w:rPr>
      </w:pPr>
    </w:p>
    <w:tbl>
      <w:tblPr>
        <w:tblW w:w="5000" w:type="dxa"/>
        <w:tblInd w:w="-10" w:type="dxa"/>
        <w:tblCellMar>
          <w:left w:w="70" w:type="dxa"/>
          <w:right w:w="70" w:type="dxa"/>
        </w:tblCellMar>
        <w:tblLook w:val="04A0" w:firstRow="1" w:lastRow="0" w:firstColumn="1" w:lastColumn="0" w:noHBand="0" w:noVBand="1"/>
      </w:tblPr>
      <w:tblGrid>
        <w:gridCol w:w="3220"/>
        <w:gridCol w:w="1780"/>
      </w:tblGrid>
      <w:tr w:rsidR="00297720" w:rsidRPr="00020C88" w14:paraId="5155A232" w14:textId="77777777" w:rsidTr="00297720">
        <w:trPr>
          <w:trHeight w:val="300"/>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FA89D" w14:textId="77777777" w:rsidR="00297720" w:rsidRPr="00020C88" w:rsidRDefault="00297720" w:rsidP="00297720">
            <w:pPr>
              <w:spacing w:after="0" w:line="240" w:lineRule="auto"/>
              <w:jc w:val="both"/>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19A45B77" w14:textId="77777777" w:rsidR="00297720" w:rsidRPr="00020C88" w:rsidRDefault="00297720" w:rsidP="00297720">
            <w:pPr>
              <w:spacing w:after="0" w:line="240" w:lineRule="auto"/>
              <w:jc w:val="center"/>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r>
      <w:tr w:rsidR="00297720" w:rsidRPr="00020C88" w14:paraId="1F497686" w14:textId="77777777" w:rsidTr="00297720">
        <w:trPr>
          <w:trHeight w:val="3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5D3C3A52" w14:textId="77777777" w:rsidR="00297720" w:rsidRPr="00020C88" w:rsidRDefault="00297720" w:rsidP="00297720">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poskytovateľov</w:t>
            </w:r>
          </w:p>
        </w:tc>
        <w:tc>
          <w:tcPr>
            <w:tcW w:w="1780" w:type="dxa"/>
            <w:tcBorders>
              <w:top w:val="nil"/>
              <w:left w:val="nil"/>
              <w:bottom w:val="single" w:sz="8" w:space="0" w:color="auto"/>
              <w:right w:val="single" w:sz="8" w:space="0" w:color="auto"/>
            </w:tcBorders>
            <w:shd w:val="clear" w:color="auto" w:fill="auto"/>
            <w:vAlign w:val="center"/>
            <w:hideMark/>
          </w:tcPr>
          <w:p w14:paraId="6A9633AD"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14</w:t>
            </w:r>
          </w:p>
        </w:tc>
      </w:tr>
      <w:tr w:rsidR="00297720" w:rsidRPr="00020C88" w14:paraId="04D3FE8D" w14:textId="77777777" w:rsidTr="00297720">
        <w:trPr>
          <w:trHeight w:val="3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6054C420" w14:textId="77777777" w:rsidR="00297720" w:rsidRPr="00020C88" w:rsidRDefault="00297720" w:rsidP="00297720">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ukončených hospitalizácií</w:t>
            </w:r>
          </w:p>
        </w:tc>
        <w:tc>
          <w:tcPr>
            <w:tcW w:w="1780" w:type="dxa"/>
            <w:tcBorders>
              <w:top w:val="nil"/>
              <w:left w:val="nil"/>
              <w:bottom w:val="single" w:sz="8" w:space="0" w:color="auto"/>
              <w:right w:val="single" w:sz="8" w:space="0" w:color="auto"/>
            </w:tcBorders>
            <w:shd w:val="clear" w:color="auto" w:fill="auto"/>
            <w:vAlign w:val="center"/>
            <w:hideMark/>
          </w:tcPr>
          <w:p w14:paraId="2EF4EA79"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1537</w:t>
            </w:r>
          </w:p>
        </w:tc>
      </w:tr>
      <w:tr w:rsidR="00297720" w:rsidRPr="00020C88" w14:paraId="6CB7B29C" w14:textId="77777777" w:rsidTr="00297720">
        <w:trPr>
          <w:trHeight w:val="3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53D90B7D" w14:textId="77777777" w:rsidR="00297720" w:rsidRPr="00020C88" w:rsidRDefault="00297720" w:rsidP="00297720">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Počet ošetrovacích dní</w:t>
            </w:r>
          </w:p>
        </w:tc>
        <w:tc>
          <w:tcPr>
            <w:tcW w:w="1780" w:type="dxa"/>
            <w:tcBorders>
              <w:top w:val="nil"/>
              <w:left w:val="nil"/>
              <w:bottom w:val="single" w:sz="8" w:space="0" w:color="auto"/>
              <w:right w:val="single" w:sz="8" w:space="0" w:color="auto"/>
            </w:tcBorders>
            <w:shd w:val="clear" w:color="auto" w:fill="auto"/>
            <w:noWrap/>
            <w:vAlign w:val="center"/>
            <w:hideMark/>
          </w:tcPr>
          <w:p w14:paraId="489A90F4"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60 981</w:t>
            </w:r>
          </w:p>
        </w:tc>
      </w:tr>
      <w:tr w:rsidR="00297720" w:rsidRPr="00020C88" w14:paraId="1C8AF296" w14:textId="77777777" w:rsidTr="00297720">
        <w:trPr>
          <w:trHeight w:val="47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5E4BFFEF" w14:textId="77777777" w:rsidR="00297720" w:rsidRPr="00020C88" w:rsidRDefault="00297720" w:rsidP="00297720">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Priemerná úhrada za ošetrovací deň pri nezmenenom stave</w:t>
            </w:r>
          </w:p>
        </w:tc>
        <w:tc>
          <w:tcPr>
            <w:tcW w:w="1780" w:type="dxa"/>
            <w:tcBorders>
              <w:top w:val="nil"/>
              <w:left w:val="nil"/>
              <w:bottom w:val="single" w:sz="8" w:space="0" w:color="auto"/>
              <w:right w:val="single" w:sz="8" w:space="0" w:color="auto"/>
            </w:tcBorders>
            <w:shd w:val="clear" w:color="auto" w:fill="auto"/>
            <w:vAlign w:val="center"/>
            <w:hideMark/>
          </w:tcPr>
          <w:p w14:paraId="24A65801"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57 €</w:t>
            </w:r>
          </w:p>
        </w:tc>
      </w:tr>
      <w:tr w:rsidR="00297720" w:rsidRPr="00020C88" w14:paraId="024D356A" w14:textId="77777777" w:rsidTr="00297720">
        <w:trPr>
          <w:trHeight w:val="47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19891E44" w14:textId="77777777" w:rsidR="00297720" w:rsidRPr="00020C88" w:rsidRDefault="00297720" w:rsidP="00297720">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Celkové úhrady od ZP pri nezmenenom stave</w:t>
            </w:r>
          </w:p>
        </w:tc>
        <w:tc>
          <w:tcPr>
            <w:tcW w:w="1780" w:type="dxa"/>
            <w:tcBorders>
              <w:top w:val="nil"/>
              <w:left w:val="nil"/>
              <w:bottom w:val="single" w:sz="8" w:space="0" w:color="auto"/>
              <w:right w:val="single" w:sz="8" w:space="0" w:color="auto"/>
            </w:tcBorders>
            <w:shd w:val="clear" w:color="auto" w:fill="auto"/>
            <w:noWrap/>
            <w:vAlign w:val="center"/>
            <w:hideMark/>
          </w:tcPr>
          <w:p w14:paraId="3C5ACBE7"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3 454 934 €</w:t>
            </w:r>
          </w:p>
        </w:tc>
      </w:tr>
      <w:tr w:rsidR="00297720" w:rsidRPr="00020C88" w14:paraId="32FF50BE" w14:textId="77777777" w:rsidTr="00297720">
        <w:trPr>
          <w:trHeight w:val="7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6706C479" w14:textId="77777777" w:rsidR="00297720" w:rsidRPr="00020C88" w:rsidRDefault="00297720" w:rsidP="00297720">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Priemerná úhrada za ošetrovací deň pri zmenenom stave na základe nákladov hospicu</w:t>
            </w:r>
          </w:p>
        </w:tc>
        <w:tc>
          <w:tcPr>
            <w:tcW w:w="1780" w:type="dxa"/>
            <w:tcBorders>
              <w:top w:val="nil"/>
              <w:left w:val="nil"/>
              <w:bottom w:val="single" w:sz="8" w:space="0" w:color="auto"/>
              <w:right w:val="single" w:sz="8" w:space="0" w:color="auto"/>
            </w:tcBorders>
            <w:shd w:val="clear" w:color="auto" w:fill="auto"/>
            <w:vAlign w:val="center"/>
            <w:hideMark/>
          </w:tcPr>
          <w:p w14:paraId="09AC532B"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85 €</w:t>
            </w:r>
          </w:p>
        </w:tc>
      </w:tr>
      <w:tr w:rsidR="00297720" w:rsidRPr="00020C88" w14:paraId="79B3ACA8" w14:textId="77777777" w:rsidTr="00297720">
        <w:trPr>
          <w:trHeight w:val="3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07C964BD" w14:textId="77777777" w:rsidR="00297720" w:rsidRPr="00020C88" w:rsidRDefault="00297720" w:rsidP="00297720">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Celkové úhrady od ZP pri zmenenom stave</w:t>
            </w:r>
          </w:p>
        </w:tc>
        <w:tc>
          <w:tcPr>
            <w:tcW w:w="1780" w:type="dxa"/>
            <w:tcBorders>
              <w:top w:val="nil"/>
              <w:left w:val="nil"/>
              <w:bottom w:val="single" w:sz="8" w:space="0" w:color="auto"/>
              <w:right w:val="single" w:sz="8" w:space="0" w:color="auto"/>
            </w:tcBorders>
            <w:shd w:val="clear" w:color="auto" w:fill="auto"/>
            <w:vAlign w:val="center"/>
            <w:hideMark/>
          </w:tcPr>
          <w:p w14:paraId="542A66B9"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5 183 385 €</w:t>
            </w:r>
          </w:p>
        </w:tc>
      </w:tr>
      <w:tr w:rsidR="00297720" w:rsidRPr="00020C88" w14:paraId="589C3035" w14:textId="77777777" w:rsidTr="00297720">
        <w:trPr>
          <w:trHeight w:val="3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7CF3A6FB" w14:textId="77777777" w:rsidR="00297720" w:rsidRPr="00020C88" w:rsidRDefault="00297720" w:rsidP="00297720">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Celkový rozdiel (potrebné vyrovnať)</w:t>
            </w:r>
          </w:p>
        </w:tc>
        <w:tc>
          <w:tcPr>
            <w:tcW w:w="1780" w:type="dxa"/>
            <w:tcBorders>
              <w:top w:val="nil"/>
              <w:left w:val="nil"/>
              <w:bottom w:val="single" w:sz="8" w:space="0" w:color="auto"/>
              <w:right w:val="single" w:sz="8" w:space="0" w:color="auto"/>
            </w:tcBorders>
            <w:shd w:val="clear" w:color="auto" w:fill="auto"/>
            <w:vAlign w:val="center"/>
            <w:hideMark/>
          </w:tcPr>
          <w:p w14:paraId="2A59F86D"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1 728 451 €</w:t>
            </w:r>
          </w:p>
        </w:tc>
      </w:tr>
      <w:tr w:rsidR="00297720" w:rsidRPr="00020C88" w14:paraId="4BF10201" w14:textId="77777777" w:rsidTr="00297720">
        <w:trPr>
          <w:trHeight w:val="30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7AF24D72" w14:textId="77777777" w:rsidR="00297720" w:rsidRPr="00020C88" w:rsidRDefault="00297720" w:rsidP="00297720">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t>Rozdiel na 1 ošetrovací deň</w:t>
            </w:r>
          </w:p>
        </w:tc>
        <w:tc>
          <w:tcPr>
            <w:tcW w:w="1780" w:type="dxa"/>
            <w:tcBorders>
              <w:top w:val="nil"/>
              <w:left w:val="nil"/>
              <w:bottom w:val="single" w:sz="8" w:space="0" w:color="auto"/>
              <w:right w:val="single" w:sz="8" w:space="0" w:color="auto"/>
            </w:tcBorders>
            <w:shd w:val="clear" w:color="auto" w:fill="auto"/>
            <w:vAlign w:val="center"/>
            <w:hideMark/>
          </w:tcPr>
          <w:p w14:paraId="3C9219B5" w14:textId="77777777" w:rsidR="00297720" w:rsidRPr="00020C88" w:rsidRDefault="00297720" w:rsidP="00297720">
            <w:pPr>
              <w:spacing w:after="0" w:line="240" w:lineRule="auto"/>
              <w:ind w:firstLineChars="200" w:firstLine="360"/>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28 €</w:t>
            </w:r>
          </w:p>
        </w:tc>
      </w:tr>
    </w:tbl>
    <w:p w14:paraId="4A5A646C" w14:textId="3C10FAC6" w:rsidR="004D4C0E" w:rsidRPr="00020C88" w:rsidRDefault="004D4C0E" w:rsidP="004D4C0E">
      <w:pPr>
        <w:spacing w:after="0" w:line="240" w:lineRule="auto"/>
        <w:jc w:val="both"/>
        <w:rPr>
          <w:rFonts w:ascii="Times New Roman" w:hAnsi="Times New Roman"/>
          <w:color w:val="000000"/>
          <w:sz w:val="18"/>
          <w:szCs w:val="18"/>
          <w:lang w:eastAsia="sk-SK"/>
        </w:rPr>
      </w:pPr>
      <w:r w:rsidRPr="00020C88">
        <w:rPr>
          <w:rFonts w:ascii="Times New Roman" w:hAnsi="Times New Roman"/>
          <w:color w:val="000000"/>
          <w:sz w:val="18"/>
          <w:szCs w:val="18"/>
          <w:lang w:eastAsia="sk-SK"/>
        </w:rPr>
        <w:lastRenderedPageBreak/>
        <w:t xml:space="preserve">Pri zvýšení ceny, hradenej zdravotnou poisťovňou je predpoklad sprístupnenia služieb aj pre skupiny obyvateľstva, pre ktoré boli súčasné ceny nedostupné a teda predpokladáme aj nárast návštev. Suma </w:t>
      </w:r>
      <w:r w:rsidR="00297720" w:rsidRPr="00020C88">
        <w:rPr>
          <w:rFonts w:ascii="Times New Roman" w:hAnsi="Times New Roman"/>
          <w:color w:val="000000"/>
          <w:sz w:val="18"/>
          <w:szCs w:val="18"/>
          <w:lang w:eastAsia="sk-SK"/>
        </w:rPr>
        <w:t>85</w:t>
      </w:r>
      <w:r w:rsidRPr="00020C88">
        <w:rPr>
          <w:rFonts w:ascii="Times New Roman" w:hAnsi="Times New Roman"/>
          <w:color w:val="000000"/>
          <w:sz w:val="18"/>
          <w:szCs w:val="18"/>
          <w:lang w:eastAsia="sk-SK"/>
        </w:rPr>
        <w:t xml:space="preserve"> eur bola </w:t>
      </w:r>
      <w:r w:rsidR="00297720" w:rsidRPr="00020C88">
        <w:rPr>
          <w:rFonts w:ascii="Times New Roman" w:hAnsi="Times New Roman"/>
          <w:color w:val="000000"/>
          <w:sz w:val="18"/>
          <w:szCs w:val="18"/>
          <w:lang w:eastAsia="sk-SK"/>
        </w:rPr>
        <w:t>stanovená</w:t>
      </w:r>
      <w:r w:rsidRPr="00020C88">
        <w:rPr>
          <w:rFonts w:ascii="Times New Roman" w:hAnsi="Times New Roman"/>
          <w:color w:val="000000"/>
          <w:sz w:val="18"/>
          <w:szCs w:val="18"/>
          <w:lang w:eastAsia="sk-SK"/>
        </w:rPr>
        <w:t xml:space="preserve"> po konzultáciách s poskytovateľmi hospicov a po analýze ich ekonomicky oprávnených nákladov. </w:t>
      </w:r>
    </w:p>
    <w:p w14:paraId="08CB4FE4" w14:textId="77777777" w:rsidR="004D4C0E" w:rsidRPr="00020C88" w:rsidRDefault="004D4C0E" w:rsidP="004D4C0E">
      <w:pPr>
        <w:spacing w:after="0" w:line="240" w:lineRule="auto"/>
        <w:jc w:val="both"/>
        <w:rPr>
          <w:rFonts w:ascii="Times New Roman" w:hAnsi="Times New Roman"/>
          <w:color w:val="000000"/>
          <w:sz w:val="18"/>
          <w:szCs w:val="18"/>
          <w:lang w:eastAsia="sk-SK"/>
        </w:rPr>
      </w:pPr>
    </w:p>
    <w:p w14:paraId="0B87641C" w14:textId="729D8740"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Taktiež sa navrhuje stanoviť sieť </w:t>
      </w:r>
      <w:r w:rsidRPr="00020C88">
        <w:rPr>
          <w:rFonts w:ascii="Times New Roman" w:hAnsi="Times New Roman"/>
          <w:b/>
          <w:sz w:val="20"/>
          <w:szCs w:val="20"/>
          <w:u w:val="single"/>
        </w:rPr>
        <w:t>domo</w:t>
      </w:r>
      <w:r w:rsidR="009A021F" w:rsidRPr="00020C88">
        <w:rPr>
          <w:rFonts w:ascii="Times New Roman" w:hAnsi="Times New Roman"/>
          <w:b/>
          <w:sz w:val="20"/>
          <w:szCs w:val="20"/>
          <w:u w:val="single"/>
        </w:rPr>
        <w:t>v</w:t>
      </w:r>
      <w:r w:rsidRPr="00020C88">
        <w:rPr>
          <w:rFonts w:ascii="Times New Roman" w:hAnsi="Times New Roman"/>
          <w:b/>
          <w:sz w:val="20"/>
          <w:szCs w:val="20"/>
          <w:u w:val="single"/>
        </w:rPr>
        <w:t xml:space="preserve"> ošetrovateľskej starostlivosti,</w:t>
      </w:r>
      <w:r w:rsidRPr="00020C88">
        <w:rPr>
          <w:rFonts w:ascii="Times New Roman" w:hAnsi="Times New Roman"/>
          <w:sz w:val="20"/>
          <w:szCs w:val="20"/>
        </w:rPr>
        <w:t xml:space="preserve"> a to najmenej dvoma domami ošetrovateľskej starostlivosti na územie samosprávneho kraja s minimálnym počtom lôžok na celé územie Slovenskej republiky spolu 609. V súčasnej dobe nebola definovaná. Dom ošetrovateľskej starostlivosti je určený na poskytovanie následnej ústavnej ošetrovateľskej starostlivosti nepretržitej ošetrovateľskej starostlivosti vrátane ošetrovateľskej rehabilitácie osobe, ktorej zdravotný stav nevyžaduje sústavnú zdravotnú starostlivosť poskytovanú lekárom, ale vyžaduje nepretržité poskytovanie ošetrovateľskej starostlivosti s predpokladaným pobytom na lôžku presahujúcim 24 hodín, ktorú nemožno vykonávať v prirodze</w:t>
      </w:r>
      <w:r w:rsidR="009A021F" w:rsidRPr="00020C88">
        <w:rPr>
          <w:rFonts w:ascii="Times New Roman" w:hAnsi="Times New Roman"/>
          <w:sz w:val="20"/>
          <w:szCs w:val="20"/>
        </w:rPr>
        <w:t>nom sociálnom prostredí osoby.</w:t>
      </w:r>
      <w:r w:rsidRPr="00020C88">
        <w:rPr>
          <w:rFonts w:ascii="Times New Roman" w:hAnsi="Times New Roman"/>
          <w:sz w:val="20"/>
          <w:szCs w:val="20"/>
        </w:rPr>
        <w:t xml:space="preserve"> </w:t>
      </w:r>
    </w:p>
    <w:p w14:paraId="242B9B26" w14:textId="6E8A4E45" w:rsidR="00656F4B" w:rsidRPr="00020C88" w:rsidRDefault="00656F4B" w:rsidP="00CB750F">
      <w:pPr>
        <w:spacing w:after="0" w:line="240" w:lineRule="auto"/>
        <w:jc w:val="both"/>
        <w:rPr>
          <w:rFonts w:ascii="Times New Roman" w:hAnsi="Times New Roman"/>
          <w:sz w:val="20"/>
          <w:szCs w:val="20"/>
        </w:rPr>
      </w:pPr>
    </w:p>
    <w:p w14:paraId="712C7860" w14:textId="77777777" w:rsidR="00E2311B" w:rsidRPr="00020C88" w:rsidRDefault="00E2311B" w:rsidP="00CB750F">
      <w:pPr>
        <w:spacing w:after="0" w:line="240" w:lineRule="auto"/>
        <w:jc w:val="both"/>
        <w:rPr>
          <w:rFonts w:ascii="Times New Roman" w:hAnsi="Times New Roman"/>
          <w:sz w:val="20"/>
          <w:szCs w:val="20"/>
          <w:u w:val="single"/>
        </w:rPr>
      </w:pPr>
      <w:r w:rsidRPr="00020C88">
        <w:rPr>
          <w:rFonts w:ascii="Times New Roman" w:hAnsi="Times New Roman"/>
          <w:b/>
          <w:bCs/>
          <w:color w:val="000000"/>
          <w:sz w:val="20"/>
          <w:szCs w:val="20"/>
          <w:u w:val="single"/>
        </w:rPr>
        <w:t>Regulovaná cena dopravy lekára za pacientom</w:t>
      </w:r>
    </w:p>
    <w:p w14:paraId="53873F43" w14:textId="6394CC04" w:rsidR="00C51274" w:rsidRPr="00020C88" w:rsidRDefault="00E2311B"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Na podporu lekárov sa v cenovom opatrení navrhuje stanoviť, že sa k výkonom pripočítava cena za dopravu lekára. Maximálna cena za dopravu lekára za jeden kilometer jazdy je 0,50 eura.</w:t>
      </w:r>
      <w:r w:rsidR="00C51274" w:rsidRPr="00020C88">
        <w:rPr>
          <w:rFonts w:ascii="Times New Roman" w:hAnsi="Times New Roman"/>
          <w:sz w:val="20"/>
          <w:szCs w:val="20"/>
        </w:rPr>
        <w:t xml:space="preserve"> </w:t>
      </w:r>
      <w:r w:rsidR="00C51274" w:rsidRPr="00020C88">
        <w:rPr>
          <w:rFonts w:ascii="Times New Roman" w:hAnsi="Times New Roman"/>
          <w:sz w:val="20"/>
          <w:szCs w:val="20"/>
          <w:lang w:eastAsia="sk-SK"/>
        </w:rPr>
        <w:t>Vzhľadom na to, že návrhom zákon a návrhom vykonávacích predpisov je snaha o propagáciu návštevnej služby lekármi, t. j. podporiť návštevu pacienta v jeho domácom prostredí, nebolo by účelné konkretizovať zdravotné výkony, a ani by to nebolo možné. Zoznam zdravotných výkonov je definovaný nariadením vlády SR č. 776/2004 Z. z a každý lekár podľa svojej špecializácie bude vykonávať výkony, ktoré je možné vykonať v domácom prostredí.</w:t>
      </w:r>
    </w:p>
    <w:p w14:paraId="5212EDAA" w14:textId="33B6FA9F" w:rsidR="00E2311B" w:rsidRPr="00020C88" w:rsidRDefault="00E2311B" w:rsidP="00CB750F">
      <w:pPr>
        <w:spacing w:after="0" w:line="240" w:lineRule="auto"/>
        <w:jc w:val="both"/>
        <w:rPr>
          <w:rFonts w:ascii="Times New Roman" w:hAnsi="Times New Roman"/>
          <w:sz w:val="20"/>
          <w:szCs w:val="20"/>
        </w:rPr>
      </w:pPr>
    </w:p>
    <w:p w14:paraId="66C96925"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Rozšírením minimálnej siete agentúr domácej ošetrovateľskej starostlivosti, hospicov, domovov ošetrovateľskej starostlivosti a zároveň reguláciou ceny výkonov sa vytvorí priestor pre ich vznik,  rozhodovanie sa pre štúdium a pod.  Pokiaľ budú vytvorené podmienky, tak to bude zaujímavé aj pre zdravotníckych pracovníkov.</w:t>
      </w:r>
    </w:p>
    <w:p w14:paraId="031F0B58" w14:textId="77777777" w:rsidR="002C4A2F" w:rsidRPr="00020C88" w:rsidRDefault="002C4A2F" w:rsidP="00CB750F">
      <w:pPr>
        <w:spacing w:after="0" w:line="240" w:lineRule="auto"/>
        <w:jc w:val="both"/>
        <w:rPr>
          <w:rFonts w:ascii="Times New Roman" w:hAnsi="Times New Roman"/>
          <w:sz w:val="20"/>
          <w:szCs w:val="20"/>
        </w:rPr>
      </w:pPr>
    </w:p>
    <w:p w14:paraId="73C8325F" w14:textId="332EA833" w:rsidR="00263FD1" w:rsidRPr="00020C88" w:rsidRDefault="00263FD1"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rPr>
        <w:t xml:space="preserve">Zámerom stratifikácie nemocníc je zvýšiť kvalitu zdravotnej starostlivosti tak, že sa výkony budú koncentrovať vo väčších nemocniciach, keďže viac výkonov prináša viac skúseností a vyššiu kvalitu. Nemocnice sa majú rozdeliť na lokálne, regionálne a národné a kompetenčné centrá. Koncentrácia spôsobí, že sa mnohé špecializácie presunú a nemocníc môže byť vo výsledku menej. </w:t>
      </w:r>
      <w:r w:rsidRPr="00020C88">
        <w:rPr>
          <w:rFonts w:ascii="Times New Roman" w:hAnsi="Times New Roman"/>
          <w:sz w:val="20"/>
          <w:szCs w:val="20"/>
          <w:lang w:eastAsia="sk-SK"/>
        </w:rPr>
        <w:t xml:space="preserve">Znížením miery rehospitalizácie a reoperovanosti môže dôjsť k uvoľneniu zdrojov, ktoré však budú použité na zabezpečenie zvýšenej zdravotnej starostlivosti v dôsledku koncentrácie tejto starostlivosti. </w:t>
      </w:r>
      <w:r w:rsidR="009A021F" w:rsidRPr="00020C88">
        <w:rPr>
          <w:rFonts w:ascii="Times New Roman" w:hAnsi="Times New Roman"/>
          <w:sz w:val="20"/>
          <w:szCs w:val="20"/>
          <w:lang w:eastAsia="sk-SK"/>
        </w:rPr>
        <w:t>Ú</w:t>
      </w:r>
      <w:r w:rsidRPr="00020C88">
        <w:rPr>
          <w:rFonts w:ascii="Times New Roman" w:hAnsi="Times New Roman"/>
          <w:sz w:val="20"/>
          <w:szCs w:val="20"/>
          <w:lang w:eastAsia="sk-SK"/>
        </w:rPr>
        <w:t xml:space="preserve">spora </w:t>
      </w:r>
      <w:r w:rsidR="009A021F" w:rsidRPr="00020C88">
        <w:rPr>
          <w:rFonts w:ascii="Times New Roman" w:hAnsi="Times New Roman"/>
          <w:sz w:val="20"/>
          <w:szCs w:val="20"/>
          <w:lang w:eastAsia="sk-SK"/>
        </w:rPr>
        <w:t xml:space="preserve">nevznikne </w:t>
      </w:r>
      <w:r w:rsidRPr="00020C88">
        <w:rPr>
          <w:rFonts w:ascii="Times New Roman" w:hAnsi="Times New Roman"/>
          <w:sz w:val="20"/>
          <w:szCs w:val="20"/>
          <w:lang w:eastAsia="sk-SK"/>
        </w:rPr>
        <w:t>práve v dôsledku transformácie zdravotníckych zariadení z akútnych na následnú zdravotnú starostlivosť a koncentrácie akútnej zdravotnej starostlivosti v menšom počte zariadení. Kvantifikovať tieto „uvoľnené zdroje“, ktoré nie sú úsporou, v súčasnosti nie je možné, aj vzhľadom na to, že personálny normatív sa ešte len tvorí a bude zadefinovaný vo vykonávacom predpise týkajúcom sa materiálno-technického a personálneho zabezpečenia.</w:t>
      </w:r>
    </w:p>
    <w:p w14:paraId="6BDC48DC" w14:textId="77777777" w:rsidR="00263FD1" w:rsidRPr="00020C88" w:rsidRDefault="00263FD1" w:rsidP="00CB750F">
      <w:pPr>
        <w:spacing w:after="0" w:line="240" w:lineRule="auto"/>
        <w:jc w:val="both"/>
        <w:rPr>
          <w:rFonts w:ascii="Times New Roman" w:hAnsi="Times New Roman"/>
          <w:sz w:val="20"/>
          <w:szCs w:val="20"/>
        </w:rPr>
      </w:pPr>
    </w:p>
    <w:p w14:paraId="1EF3A471" w14:textId="77777777" w:rsidR="00263FD1" w:rsidRPr="00020C88" w:rsidRDefault="00263FD1"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Návrh jasne stanovuje miestny nárok občanov na každý typ starostlivosti, vyjadrený ako maximálny počet minút do ktorej majú občania mať k dispozícií daný typ ústavnej starostlivosti. Dostupnosť je delená do troch úrovní – lokálnej, regionálnej a národnej, čiže 30, 60 a 120 minút. Tieto dostupnosti boli nastavené podľa selektovaných zahraničných modelov a prejdené s odborníkmi v danej oblasti. Tento nárok, ktorý je reflektovaný do zmluvnej povinnosti každej zdravotnej poisťovne je doplnený aj minimálnym počtom lôžok na 10 spádových oblastí. Tieto opatrenia spolu zabezpečujú to, aby každý občan mal ekvivalentnú dostupnosť starostlivosti, čomu dnes často nebolo. Naopak, často sa stávalo, že tým, že nebol poriadok a organizácia typov starostlivosti, pacienti mali síce „nemocnicu“ blízko, ale tam mu nevedeli poskytnúť adekvátnu zdravotnú starostlivosť, čo viedlo k zbytočným presunom pacienta, neefektivite a zhoršeniu zdravotného stavu daného pacienta. </w:t>
      </w:r>
    </w:p>
    <w:p w14:paraId="03F84BA9" w14:textId="77777777" w:rsidR="00263FD1" w:rsidRPr="00020C88" w:rsidRDefault="00263FD1" w:rsidP="00CB750F">
      <w:pPr>
        <w:spacing w:after="0" w:line="240" w:lineRule="auto"/>
        <w:jc w:val="both"/>
        <w:rPr>
          <w:rFonts w:ascii="Times New Roman" w:hAnsi="Times New Roman"/>
          <w:sz w:val="20"/>
          <w:szCs w:val="20"/>
        </w:rPr>
      </w:pPr>
    </w:p>
    <w:p w14:paraId="677B463E" w14:textId="7BE5E325" w:rsidR="00263FD1" w:rsidRPr="00020C88" w:rsidRDefault="00263FD1" w:rsidP="00CB750F">
      <w:pPr>
        <w:spacing w:after="0" w:line="240" w:lineRule="auto"/>
        <w:jc w:val="both"/>
        <w:rPr>
          <w:rFonts w:ascii="Times New Roman" w:hAnsi="Times New Roman"/>
          <w:sz w:val="20"/>
          <w:szCs w:val="20"/>
        </w:rPr>
      </w:pPr>
      <w:r w:rsidRPr="00020C88">
        <w:rPr>
          <w:rFonts w:ascii="Times New Roman" w:hAnsi="Times New Roman"/>
          <w:sz w:val="20"/>
          <w:szCs w:val="20"/>
        </w:rPr>
        <w:t>Oproti súčasnému stavu sa upravuje zoznam urgentných príjmov tak, aby sa % dostupnosť do 30 minút zlepšila, z 87 na 91%. Toto % je to najkľúčovejšie, nakoľko pri akútnych stavoch býva každá minúta kľúčová. MZ SR si je vedomé, že pri niektorých elektívnych disciplínach môže dôjsť k zmenám v dojazdových časoch (čo sa však vráti výrazne viac na lepšej kvalite a bezpečnosti starostlivosti), aj preto, po realizácií stratifikácie sa plánuje zoptimalizovať sieť záchrannej zdravotnej služby</w:t>
      </w:r>
      <w:r w:rsidR="003A2506" w:rsidRPr="00020C88">
        <w:rPr>
          <w:rFonts w:ascii="Times New Roman" w:hAnsi="Times New Roman"/>
          <w:sz w:val="20"/>
          <w:szCs w:val="20"/>
        </w:rPr>
        <w:t xml:space="preserve"> a dopravnej služby</w:t>
      </w:r>
      <w:r w:rsidRPr="00020C88">
        <w:rPr>
          <w:rFonts w:ascii="Times New Roman" w:hAnsi="Times New Roman"/>
          <w:sz w:val="20"/>
          <w:szCs w:val="20"/>
        </w:rPr>
        <w:t xml:space="preserve"> (v zákone je možnosť posunúť body do 30 km od súčasnej lokalizácie), aby bola celá akútna sieť plne zoptimalizovaná. </w:t>
      </w:r>
    </w:p>
    <w:p w14:paraId="7F42AD09" w14:textId="77777777" w:rsidR="00263FD1" w:rsidRPr="00020C88" w:rsidRDefault="00263FD1" w:rsidP="00CB750F">
      <w:pPr>
        <w:spacing w:after="0" w:line="240" w:lineRule="auto"/>
        <w:jc w:val="both"/>
        <w:rPr>
          <w:rFonts w:ascii="Times New Roman" w:hAnsi="Times New Roman"/>
          <w:sz w:val="20"/>
          <w:szCs w:val="20"/>
        </w:rPr>
      </w:pPr>
    </w:p>
    <w:p w14:paraId="3BF51D6B" w14:textId="77777777" w:rsidR="00263FD1" w:rsidRPr="00020C88" w:rsidRDefault="00263FD1"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MZ SR si je však vedomé, že zadefinovaním miestnej dostupnosti negarantuje občanom to kedy im daná elektívna starostlivosť bude poskytnutá. A preto v rámci vykonávacích predpisov plánuje navrhnúť aj nový zoznam čakacích dôb, ktoré sa budú merať a stanovovať tak, aby bola zagarantovaná reálna dostupnosť zdravotnej starostlivosti. </w:t>
      </w:r>
    </w:p>
    <w:p w14:paraId="4576621F" w14:textId="23FA9577" w:rsidR="00263FD1" w:rsidRPr="00020C88" w:rsidRDefault="00263FD1" w:rsidP="00CB750F">
      <w:pPr>
        <w:spacing w:after="0" w:line="240" w:lineRule="auto"/>
        <w:jc w:val="both"/>
        <w:rPr>
          <w:rFonts w:ascii="Times New Roman" w:hAnsi="Times New Roman"/>
          <w:sz w:val="20"/>
          <w:szCs w:val="20"/>
        </w:rPr>
      </w:pPr>
    </w:p>
    <w:p w14:paraId="699F0757" w14:textId="0CCA8360" w:rsidR="00263FD1" w:rsidRPr="00020C88" w:rsidRDefault="00263FD1" w:rsidP="00CB750F">
      <w:pPr>
        <w:spacing w:after="0" w:line="240" w:lineRule="auto"/>
        <w:jc w:val="both"/>
        <w:rPr>
          <w:rFonts w:ascii="Times New Roman" w:hAnsi="Times New Roman"/>
          <w:sz w:val="20"/>
          <w:szCs w:val="20"/>
        </w:rPr>
      </w:pPr>
      <w:r w:rsidRPr="00020C88">
        <w:rPr>
          <w:rFonts w:ascii="Times New Roman" w:hAnsi="Times New Roman"/>
          <w:sz w:val="20"/>
          <w:szCs w:val="20"/>
        </w:rPr>
        <w:t>Regulovať sa budú zatiaľ len domy ošetrovateľskej starostlivosti, hospice a paliatívna zdravotná starostlivosť, nakoľko výrazná časť pacientov v terminálnych štádiách života, ktorá nepatrí ani domov, ani na akútne lôžka, ale do hospicu nemá v súčasnosti kam ísť, preto musíme posilniť kapacity adekvátneho typu ZS. Lôžka v hospicovej ústavnej zdravotnej starostlivosti nie sú započítané v rámci transformácie akútnych lôžok na lôžka následnej starostlivosti. Ostatné následné lôžka (okrem hospicov) budú rásť súbežne s implementáciou opatrení vyplývajúcich zo stratifikácie.</w:t>
      </w:r>
    </w:p>
    <w:p w14:paraId="1F82DA2F" w14:textId="77777777" w:rsidR="00263FD1" w:rsidRPr="00020C88" w:rsidRDefault="00263FD1" w:rsidP="00CB750F">
      <w:pPr>
        <w:spacing w:after="0" w:line="240" w:lineRule="auto"/>
        <w:jc w:val="both"/>
        <w:rPr>
          <w:rFonts w:ascii="Times New Roman" w:hAnsi="Times New Roman"/>
          <w:sz w:val="20"/>
          <w:szCs w:val="20"/>
        </w:rPr>
      </w:pPr>
    </w:p>
    <w:p w14:paraId="6FC677FE" w14:textId="4C3DB109" w:rsidR="00263FD1" w:rsidRPr="00020C88" w:rsidRDefault="00CA052C" w:rsidP="00CB750F">
      <w:pPr>
        <w:spacing w:after="0" w:line="240" w:lineRule="auto"/>
        <w:jc w:val="both"/>
        <w:rPr>
          <w:rFonts w:ascii="Times New Roman" w:hAnsi="Times New Roman"/>
          <w:sz w:val="20"/>
          <w:szCs w:val="20"/>
        </w:rPr>
      </w:pPr>
      <w:r w:rsidRPr="00020C88">
        <w:rPr>
          <w:rFonts w:ascii="Times New Roman" w:hAnsi="Times New Roman"/>
          <w:sz w:val="20"/>
          <w:szCs w:val="20"/>
        </w:rPr>
        <w:lastRenderedPageBreak/>
        <w:t>Presný počet personálu, ktorý bude potrebný na zabezpečenie jednotlivých typov starostlivosti (akútnej a následnej) bude zadefinovaný vo vykonávacom predpise týkajúcom sa materiálno-technického a personálneho zabezpečenia. Transformácia zariadení bude veľmi úzko súvisieť aj s úpravou týchto materiálov. Je však nevyhnutné aby bolo všetko komunikované s jednotlivými odbornými spoločnosťami. Po dosiahnutí konsenzu budú všetky zmeny zapracované v novom vykonávacom predpise a následne aj popísané v príslušnej dôvodovej správe.</w:t>
      </w:r>
      <w:r w:rsidR="00263FD1" w:rsidRPr="00020C88">
        <w:rPr>
          <w:rFonts w:ascii="Times New Roman" w:hAnsi="Times New Roman"/>
          <w:sz w:val="20"/>
          <w:szCs w:val="20"/>
        </w:rPr>
        <w:t xml:space="preserve"> </w:t>
      </w:r>
    </w:p>
    <w:p w14:paraId="3C61584A" w14:textId="1D5D1A84" w:rsidR="00CA052C" w:rsidRPr="00020C88" w:rsidRDefault="00CA052C" w:rsidP="00CB750F">
      <w:pPr>
        <w:spacing w:after="0" w:line="240" w:lineRule="auto"/>
        <w:jc w:val="both"/>
        <w:rPr>
          <w:rFonts w:ascii="Times New Roman" w:hAnsi="Times New Roman"/>
          <w:sz w:val="20"/>
          <w:szCs w:val="20"/>
        </w:rPr>
      </w:pPr>
    </w:p>
    <w:p w14:paraId="6F22EFE7" w14:textId="42EA32DF" w:rsidR="00CA052C" w:rsidRPr="00020C88" w:rsidRDefault="00CA052C" w:rsidP="00CB750F">
      <w:pPr>
        <w:spacing w:after="0" w:line="240" w:lineRule="auto"/>
        <w:jc w:val="both"/>
        <w:rPr>
          <w:rFonts w:ascii="Times New Roman" w:hAnsi="Times New Roman"/>
          <w:sz w:val="20"/>
          <w:szCs w:val="20"/>
        </w:rPr>
      </w:pPr>
      <w:r w:rsidRPr="00020C88">
        <w:rPr>
          <w:rFonts w:ascii="Times New Roman" w:hAnsi="Times New Roman"/>
          <w:sz w:val="20"/>
          <w:szCs w:val="20"/>
        </w:rPr>
        <w:t>Stanovenie ceny za lôžkodeň, resp. ukončenú hospitalizáciu vychádza z kalkulácie oprávnených nákladov poskytovateľov tohto typu starostlivosti. Úhrady z verejného zdravotného poistenia sú dlhodobo pod hranicou rentability a poskytovatelia zdravotnej starostlivosti musia buď žiadať o platby pacientov, alebo jednoducho zanikajú a systémovo sa nám vytvorila priepasť v zabezpečení zdravotných služieb následného typu.</w:t>
      </w:r>
    </w:p>
    <w:p w14:paraId="38410FAD" w14:textId="0CB7FADB" w:rsidR="00CA052C"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Záleží nám </w:t>
      </w:r>
      <w:r w:rsidR="009A021F" w:rsidRPr="00020C88">
        <w:rPr>
          <w:rFonts w:ascii="Times New Roman" w:hAnsi="Times New Roman"/>
          <w:sz w:val="20"/>
          <w:szCs w:val="20"/>
        </w:rPr>
        <w:t xml:space="preserve">na </w:t>
      </w:r>
      <w:r w:rsidRPr="00020C88">
        <w:rPr>
          <w:rFonts w:ascii="Times New Roman" w:hAnsi="Times New Roman"/>
          <w:sz w:val="20"/>
          <w:szCs w:val="20"/>
        </w:rPr>
        <w:t xml:space="preserve">tom, aby mal pacient dostupnú komplexnú zdravotnú starostlivosť, a preto sme pristúpili ku konkrétnym krokom aj v tejto oblasti. </w:t>
      </w:r>
      <w:r w:rsidR="00CA052C" w:rsidRPr="00020C88">
        <w:rPr>
          <w:rFonts w:ascii="Times New Roman" w:hAnsi="Times New Roman"/>
          <w:sz w:val="20"/>
          <w:szCs w:val="20"/>
        </w:rPr>
        <w:t>Z pozície regulátora vytvárame podmienky a priestor pre postupné zmeny a snažíme sa odstraňovať bariéry v implementácii opatrení. Nevieme však garantovať akceptáciu zámerov v plnom rozsahu zo strany zdravotných poisťovní a poskytovateľov zdravotnej starostlivosti, preto sú dopady len indikatívne a mali by byť čerpané flexibilne.</w:t>
      </w:r>
    </w:p>
    <w:p w14:paraId="5A446567" w14:textId="18DD76B0" w:rsidR="00E2311B" w:rsidRPr="00020C88" w:rsidRDefault="00E2311B" w:rsidP="00CB750F">
      <w:pPr>
        <w:spacing w:after="0" w:line="240" w:lineRule="auto"/>
        <w:jc w:val="both"/>
        <w:rPr>
          <w:rFonts w:ascii="Times New Roman" w:hAnsi="Times New Roman"/>
          <w:sz w:val="20"/>
          <w:szCs w:val="20"/>
        </w:rPr>
      </w:pPr>
    </w:p>
    <w:p w14:paraId="6220F482" w14:textId="0FDC76BB"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Návrh zákona teda  nerieši  tzv. „dlhodobú starostlivosť“. Ministerstvo zdravotníctva SR a Ministerstvo práce, sociálnych vecí a rodiny SR po analýze zdravotného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 Preto sa oba rezorty dohodli na úpravách vlastných systémov, pretože  sú realizovateľnejšie z hľadiska časového (príprava právnej úpravy, uvedenie zmien do praxe) aj vecného (jednoduchšie a zrozumiteľnejšie zavedenie zmien do praxe).</w:t>
      </w:r>
    </w:p>
    <w:p w14:paraId="2550FC84" w14:textId="77777777" w:rsidR="00E2311B" w:rsidRPr="00020C88" w:rsidRDefault="00E2311B" w:rsidP="00CB750F">
      <w:pPr>
        <w:spacing w:after="0" w:line="240" w:lineRule="auto"/>
        <w:jc w:val="both"/>
        <w:rPr>
          <w:rFonts w:ascii="Times New Roman" w:hAnsi="Times New Roman"/>
          <w:sz w:val="20"/>
          <w:szCs w:val="20"/>
        </w:rPr>
      </w:pPr>
    </w:p>
    <w:p w14:paraId="2EF40CE6"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sz w:val="20"/>
          <w:szCs w:val="20"/>
        </w:rPr>
        <w:t>Zdravotná starostlivosť je definovaná v zdravotníckych zákonoch a poskytovanie sociálnych služieb v sociálnych  zákonoch.</w:t>
      </w:r>
    </w:p>
    <w:p w14:paraId="639FAF31" w14:textId="77777777" w:rsidR="00E2311B" w:rsidRPr="00020C88" w:rsidRDefault="00E2311B" w:rsidP="00CB750F">
      <w:pPr>
        <w:spacing w:after="0" w:line="240" w:lineRule="auto"/>
        <w:jc w:val="both"/>
        <w:rPr>
          <w:rFonts w:ascii="Times New Roman" w:hAnsi="Times New Roman"/>
          <w:sz w:val="20"/>
          <w:szCs w:val="20"/>
        </w:rPr>
      </w:pPr>
    </w:p>
    <w:p w14:paraId="0010CA43" w14:textId="77777777" w:rsidR="00E2311B" w:rsidRPr="00020C88" w:rsidRDefault="00E2311B" w:rsidP="00CB750F">
      <w:pPr>
        <w:spacing w:after="0" w:line="240" w:lineRule="auto"/>
        <w:jc w:val="both"/>
        <w:rPr>
          <w:rFonts w:ascii="Times New Roman" w:hAnsi="Times New Roman"/>
          <w:sz w:val="20"/>
          <w:szCs w:val="20"/>
        </w:rPr>
      </w:pPr>
      <w:r w:rsidRPr="00020C88">
        <w:rPr>
          <w:rFonts w:ascii="Times New Roman" w:hAnsi="Times New Roman"/>
          <w:bCs/>
          <w:sz w:val="20"/>
          <w:szCs w:val="20"/>
        </w:rPr>
        <w:t>Podľa § 70 zákona č. 448/2008 Z. z. je možné poskytovať s</w:t>
      </w:r>
      <w:r w:rsidRPr="00020C88">
        <w:rPr>
          <w:rFonts w:ascii="Times New Roman" w:hAnsi="Times New Roman"/>
          <w:b/>
          <w:bCs/>
          <w:sz w:val="20"/>
          <w:szCs w:val="20"/>
        </w:rPr>
        <w:t>ociálne služby v zdravotníckom zariadení ústavnej zdravotnej starostlivosti z</w:t>
      </w:r>
      <w:r w:rsidRPr="00020C88">
        <w:rPr>
          <w:rFonts w:ascii="Times New Roman" w:hAnsi="Times New Roman"/>
          <w:sz w:val="20"/>
          <w:szCs w:val="20"/>
        </w:rPr>
        <w:t xml:space="preserve">a podmienok ustanovených týmto zákonom možno poskytovať sociálnu službu fyzickej osobe v zdravotníckom zariadení ústavnej zdravotnej starostlivosti aj po zániku dôvodov, pre ktoré bola prevzatá do ústavnej zdravotnej starostlivosti, ak je vzhľadom na svoj nepriaznivý zdravotný stav odkázaná na pomoc inej fyzickej osoby a nemôže byť prepustená zo zdravotníckeho zariadenia ústavnej zdravotnej starostlivosti z dôvodu, že jej nemožno zabezpečiť poskytovanie sociálnej služby v jej prirodzenom rodinnom prostredí alebo poskytnúť sociálnu službu v zariadení podľa tohto zákona. Na poskytovanie sociálnej služby zdravotníckym zariadením ústavnej zdravotnej starostlivosti podľa odseku 1 platia § 62 až 69 rovnako.  Ak je sociálna služba poskytovaná v zdravotníckom zariadení ústavnej zdravotnej starostlivosti, nemôže byť priestor, v ktorom je sociálna služba poskytovaná, súčasťou priestoru, v ktorom sa poskytuje ústavná zdravotná starostlivosť. </w:t>
      </w:r>
    </w:p>
    <w:p w14:paraId="1F2C2F8E" w14:textId="77777777" w:rsidR="00E2311B" w:rsidRPr="00020C88" w:rsidRDefault="00E2311B" w:rsidP="00CB750F">
      <w:pPr>
        <w:spacing w:after="0" w:line="240" w:lineRule="auto"/>
        <w:ind w:firstLine="709"/>
        <w:jc w:val="both"/>
        <w:rPr>
          <w:rFonts w:ascii="Times New Roman" w:hAnsi="Times New Roman"/>
          <w:bCs/>
          <w:sz w:val="20"/>
          <w:szCs w:val="20"/>
        </w:rPr>
      </w:pPr>
    </w:p>
    <w:p w14:paraId="7D290B70" w14:textId="77777777" w:rsidR="00E2311B" w:rsidRPr="00020C88" w:rsidRDefault="00E2311B" w:rsidP="00CB750F">
      <w:pPr>
        <w:spacing w:after="0" w:line="240" w:lineRule="auto"/>
        <w:jc w:val="both"/>
        <w:rPr>
          <w:rFonts w:ascii="Times New Roman" w:hAnsi="Times New Roman"/>
          <w:bCs/>
          <w:sz w:val="20"/>
          <w:szCs w:val="20"/>
        </w:rPr>
      </w:pPr>
      <w:r w:rsidRPr="00020C88">
        <w:rPr>
          <w:rFonts w:ascii="Times New Roman" w:hAnsi="Times New Roman"/>
          <w:bCs/>
          <w:sz w:val="20"/>
          <w:szCs w:val="20"/>
        </w:rPr>
        <w:t>Na základe tohto ustanovenia môžu zdravotnícke zariadenia poskytovať aj sociálne služby a môžu ich mať hradené podľa zákona č. 448/2008 Z. z.</w:t>
      </w:r>
    </w:p>
    <w:p w14:paraId="2AA8BFA6" w14:textId="77777777" w:rsidR="00E2311B" w:rsidRPr="00020C88" w:rsidRDefault="00E2311B" w:rsidP="00CB750F">
      <w:pPr>
        <w:spacing w:after="0" w:line="240" w:lineRule="auto"/>
        <w:ind w:firstLine="709"/>
        <w:jc w:val="both"/>
        <w:rPr>
          <w:rFonts w:ascii="Times New Roman" w:hAnsi="Times New Roman"/>
          <w:bCs/>
          <w:color w:val="FF0000"/>
          <w:sz w:val="20"/>
          <w:szCs w:val="20"/>
        </w:rPr>
      </w:pPr>
    </w:p>
    <w:p w14:paraId="26CD15CD" w14:textId="77777777" w:rsidR="00E2311B" w:rsidRPr="00020C88" w:rsidRDefault="00E2311B" w:rsidP="00CB750F">
      <w:pPr>
        <w:spacing w:after="0" w:line="240" w:lineRule="auto"/>
        <w:jc w:val="both"/>
        <w:rPr>
          <w:rFonts w:ascii="Times New Roman" w:hAnsi="Times New Roman"/>
          <w:bCs/>
          <w:sz w:val="20"/>
          <w:szCs w:val="20"/>
        </w:rPr>
      </w:pPr>
      <w:r w:rsidRPr="00020C88">
        <w:rPr>
          <w:rFonts w:ascii="Times New Roman" w:hAnsi="Times New Roman"/>
          <w:bCs/>
          <w:sz w:val="20"/>
          <w:szCs w:val="20"/>
        </w:rPr>
        <w:t>Prepojenie oboch systémov by bolo možné iba vybudovaním nového poistenia a vybudovaním novej infraštruktúry, adresných príspevkov. Bez uvedenej radikálnej zmeny, s ktorou však vlastne nikto zo zúčastnených strán nesúhlasil, nie je možné čokoľvek zmeniť.</w:t>
      </w:r>
    </w:p>
    <w:p w14:paraId="18B6BBB1" w14:textId="77777777" w:rsidR="00CA052C" w:rsidRPr="00020C88" w:rsidRDefault="00CA052C" w:rsidP="00CB750F">
      <w:pPr>
        <w:spacing w:after="0" w:line="240" w:lineRule="auto"/>
        <w:rPr>
          <w:rFonts w:ascii="Times New Roman" w:hAnsi="Times New Roman"/>
          <w:sz w:val="20"/>
          <w:szCs w:val="20"/>
          <w:lang w:eastAsia="sk-SK"/>
        </w:rPr>
      </w:pPr>
    </w:p>
    <w:p w14:paraId="26D0EF5E" w14:textId="1996E6CA" w:rsidR="00CA052C" w:rsidRPr="00020C88" w:rsidRDefault="00CA052C" w:rsidP="00CB750F">
      <w:pPr>
        <w:spacing w:after="0" w:line="240" w:lineRule="auto"/>
        <w:jc w:val="both"/>
        <w:rPr>
          <w:rFonts w:ascii="Times New Roman" w:hAnsi="Times New Roman"/>
          <w:sz w:val="20"/>
          <w:szCs w:val="20"/>
          <w:lang w:eastAsia="sk-SK"/>
        </w:rPr>
      </w:pPr>
      <w:r w:rsidRPr="00020C88">
        <w:rPr>
          <w:rFonts w:ascii="Times New Roman" w:hAnsi="Times New Roman"/>
          <w:sz w:val="20"/>
          <w:szCs w:val="20"/>
          <w:lang w:eastAsia="sk-SK"/>
        </w:rPr>
        <w:t>Návrhom zákona sa ustanovuje dohľad v zariadeniach sociálnych služieb - návrh navrhuje rozšírenie pôsobnosti Úradu pre dohľad nad zdravotnou starostlivosťou o kontrolu poskytovania ošetrovateľskej starostlivosti v zariadeniach sociálnej pomoci. bez ohľadu na to, či majú uzatvorenú zmluvu so zdravotnými poisťovňami alebo nie. Podľa zákona č. 448/2008 Z. z. o sociálnych službách v § 104 - HODNOTENIE PODMIENOK KVALITY POSKYTOVANEJ SOCIÁLNEJ SLUŽBY sa uvádza, že MPSVR hodnotí podmienky kvality poskytovanej sociálnej služby prostredníctvom poverených štátnych zamestnancov. Od 1.9.2019 je hodnotenie kvality poskytovanej služby povinné zo zákona. V tejto súvislosti MPSVR pripravilo Zámer národného projektu „Kvalita sociálnych služieb“ s plánovanou alokáciou 3,2 mil. eur vo všetkých samosprávnych krajoch SR. MPSVR SR bude vykonávať hodnotenie kvality poskytovanej sociálnej služby v súlade s prílohou č. 2 zákona č. 448/2008 Z. z. o sociálnych službách. V zmysle § 22 sa na poskytovanie, rozsah, podmienky úhrady a uzatváranie zmlúv o poskytovaní  ošetrovateľskej  starostlivosť v zariadeniach sociálnej pomoci vzťahujú osobitné predpisy. Akákoľvek kontrola z úrovne MPSVR SR nebude môcť kontrolovať správnosť poskytovania zdravotnej starostlivosti, resp. ošetrovateľskej starostlivosti. MPSVR SR bude kontrolovať iba tú skutočnosť, či klient má zabezpečenú túto starostlivosť. Kalkulácia vplyvu zavedenia dozoru, resp. kontroly poskytovaných ošetrovateľských úkonov Úradom pre dohľad nad zdravotnou starostlivosťou nie je v súčasnosti možná, predpokladáme, že Úrad pre dohľad nad zdravotnou starostlivosťou bude spomínaný dozor vykonávať v rámci svojich kompetencií a z doterajších zdrojov.</w:t>
      </w:r>
    </w:p>
    <w:p w14:paraId="66C1D208" w14:textId="77777777" w:rsidR="002C4A2F" w:rsidRPr="00020C88" w:rsidRDefault="00047B8F" w:rsidP="00CB750F">
      <w:pPr>
        <w:spacing w:after="0" w:line="240" w:lineRule="auto"/>
        <w:jc w:val="both"/>
        <w:rPr>
          <w:rFonts w:ascii="Times New Roman" w:hAnsi="Times New Roman"/>
          <w:sz w:val="20"/>
          <w:szCs w:val="20"/>
        </w:rPr>
        <w:sectPr w:rsidR="002C4A2F" w:rsidRPr="00020C88" w:rsidSect="002E6A96">
          <w:headerReference w:type="even" r:id="rId13"/>
          <w:footerReference w:type="even" r:id="rId14"/>
          <w:footerReference w:type="default" r:id="rId15"/>
          <w:headerReference w:type="first" r:id="rId16"/>
          <w:footerReference w:type="first" r:id="rId17"/>
          <w:pgSz w:w="11906" w:h="16838"/>
          <w:pgMar w:top="1440" w:right="1080" w:bottom="1440" w:left="1080" w:header="709" w:footer="709" w:gutter="0"/>
          <w:pgNumType w:start="1"/>
          <w:cols w:space="708"/>
          <w:docGrid w:linePitch="360"/>
        </w:sectPr>
      </w:pPr>
      <w:r w:rsidRPr="00020C88">
        <w:rPr>
          <w:rFonts w:ascii="Times New Roman" w:hAnsi="Times New Roman"/>
          <w:sz w:val="20"/>
          <w:szCs w:val="20"/>
        </w:rPr>
        <w:br w:type="page"/>
      </w:r>
    </w:p>
    <w:tbl>
      <w:tblPr>
        <w:tblW w:w="11624" w:type="dxa"/>
        <w:tblCellMar>
          <w:left w:w="70" w:type="dxa"/>
          <w:right w:w="70" w:type="dxa"/>
        </w:tblCellMar>
        <w:tblLook w:val="04A0" w:firstRow="1" w:lastRow="0" w:firstColumn="1" w:lastColumn="0" w:noHBand="0" w:noVBand="1"/>
      </w:tblPr>
      <w:tblGrid>
        <w:gridCol w:w="185"/>
        <w:gridCol w:w="1112"/>
        <w:gridCol w:w="1113"/>
        <w:gridCol w:w="664"/>
        <w:gridCol w:w="718"/>
        <w:gridCol w:w="590"/>
        <w:gridCol w:w="555"/>
        <w:gridCol w:w="555"/>
        <w:gridCol w:w="555"/>
        <w:gridCol w:w="555"/>
        <w:gridCol w:w="629"/>
        <w:gridCol w:w="708"/>
        <w:gridCol w:w="709"/>
        <w:gridCol w:w="567"/>
        <w:gridCol w:w="567"/>
        <w:gridCol w:w="567"/>
        <w:gridCol w:w="1276"/>
      </w:tblGrid>
      <w:tr w:rsidR="000C10F9" w:rsidRPr="00020C88" w14:paraId="351D1F99" w14:textId="77777777" w:rsidTr="00B86229">
        <w:trPr>
          <w:trHeight w:val="310"/>
        </w:trPr>
        <w:tc>
          <w:tcPr>
            <w:tcW w:w="11624" w:type="dxa"/>
            <w:gridSpan w:val="17"/>
            <w:tcBorders>
              <w:top w:val="nil"/>
              <w:left w:val="nil"/>
              <w:bottom w:val="nil"/>
            </w:tcBorders>
            <w:shd w:val="clear" w:color="auto" w:fill="auto"/>
            <w:noWrap/>
            <w:vAlign w:val="bottom"/>
            <w:hideMark/>
          </w:tcPr>
          <w:p w14:paraId="0BB4E0B4" w14:textId="44F91774" w:rsidR="000C10F9" w:rsidRPr="00020C88" w:rsidRDefault="000C10F9" w:rsidP="00297720">
            <w:pPr>
              <w:spacing w:after="0" w:line="240" w:lineRule="auto"/>
              <w:rPr>
                <w:rFonts w:ascii="Times New Roman" w:hAnsi="Times New Roman"/>
                <w:sz w:val="18"/>
                <w:szCs w:val="18"/>
                <w:lang w:eastAsia="sk-SK"/>
              </w:rPr>
            </w:pPr>
            <w:r w:rsidRPr="00020C88">
              <w:rPr>
                <w:rFonts w:ascii="Times New Roman" w:hAnsi="Times New Roman"/>
                <w:b/>
                <w:bCs/>
                <w:color w:val="000000"/>
                <w:sz w:val="18"/>
                <w:szCs w:val="18"/>
                <w:lang w:eastAsia="sk-SK"/>
              </w:rPr>
              <w:lastRenderedPageBreak/>
              <w:t>a) Počet lôžok pre vybrané typy oddelení následnej ZS - lineárny rast, stanovené fixne podľa návrhu v Stratifikácii</w:t>
            </w:r>
          </w:p>
        </w:tc>
      </w:tr>
      <w:tr w:rsidR="000C10F9" w:rsidRPr="00020C88" w14:paraId="79438D58" w14:textId="77777777" w:rsidTr="00B86229">
        <w:trPr>
          <w:trHeight w:val="290"/>
        </w:trPr>
        <w:tc>
          <w:tcPr>
            <w:tcW w:w="184" w:type="dxa"/>
            <w:tcBorders>
              <w:top w:val="nil"/>
              <w:left w:val="nil"/>
              <w:bottom w:val="nil"/>
              <w:right w:val="nil"/>
            </w:tcBorders>
            <w:shd w:val="clear" w:color="000000" w:fill="DBDBDB"/>
            <w:noWrap/>
            <w:vAlign w:val="bottom"/>
            <w:hideMark/>
          </w:tcPr>
          <w:p w14:paraId="395211FD"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2225"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C88F5D9"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664" w:type="dxa"/>
            <w:tcBorders>
              <w:top w:val="single" w:sz="4" w:space="0" w:color="auto"/>
              <w:left w:val="nil"/>
              <w:bottom w:val="single" w:sz="4" w:space="0" w:color="auto"/>
              <w:right w:val="single" w:sz="4" w:space="0" w:color="auto"/>
            </w:tcBorders>
            <w:shd w:val="clear" w:color="000000" w:fill="DBDBDB"/>
            <w:noWrap/>
            <w:vAlign w:val="bottom"/>
            <w:hideMark/>
          </w:tcPr>
          <w:p w14:paraId="4D4C3EA1"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718" w:type="dxa"/>
            <w:tcBorders>
              <w:top w:val="single" w:sz="4" w:space="0" w:color="auto"/>
              <w:left w:val="nil"/>
              <w:bottom w:val="single" w:sz="4" w:space="0" w:color="auto"/>
              <w:right w:val="single" w:sz="4" w:space="0" w:color="auto"/>
            </w:tcBorders>
            <w:shd w:val="clear" w:color="000000" w:fill="DBDBDB"/>
            <w:noWrap/>
            <w:vAlign w:val="bottom"/>
            <w:hideMark/>
          </w:tcPr>
          <w:p w14:paraId="010B7431"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590" w:type="dxa"/>
            <w:tcBorders>
              <w:top w:val="single" w:sz="4" w:space="0" w:color="auto"/>
              <w:left w:val="nil"/>
              <w:bottom w:val="single" w:sz="4" w:space="0" w:color="auto"/>
              <w:right w:val="single" w:sz="4" w:space="0" w:color="auto"/>
            </w:tcBorders>
            <w:shd w:val="clear" w:color="000000" w:fill="DBDBDB"/>
            <w:noWrap/>
            <w:vAlign w:val="bottom"/>
            <w:hideMark/>
          </w:tcPr>
          <w:p w14:paraId="2F753D24"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3FB7508B"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7699A7E4"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7FCAD19B"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22D82A36"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2023</w:t>
            </w:r>
          </w:p>
        </w:tc>
        <w:tc>
          <w:tcPr>
            <w:tcW w:w="629" w:type="dxa"/>
            <w:tcBorders>
              <w:top w:val="single" w:sz="4" w:space="0" w:color="auto"/>
              <w:left w:val="nil"/>
              <w:bottom w:val="single" w:sz="4" w:space="0" w:color="auto"/>
              <w:right w:val="single" w:sz="4" w:space="0" w:color="auto"/>
            </w:tcBorders>
            <w:shd w:val="clear" w:color="000000" w:fill="DBDBDB"/>
            <w:noWrap/>
            <w:vAlign w:val="bottom"/>
            <w:hideMark/>
          </w:tcPr>
          <w:p w14:paraId="59D819AE"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2024</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525E0DAA"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7D3F0A58"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2026</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767CDF21"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2027</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2F88FD49"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2028</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35699C95"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2029</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2FA8C969"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2030</w:t>
            </w:r>
          </w:p>
        </w:tc>
      </w:tr>
      <w:tr w:rsidR="000C10F9" w:rsidRPr="00020C88" w14:paraId="5CFF9FF7" w14:textId="77777777" w:rsidTr="00B86229">
        <w:trPr>
          <w:trHeight w:val="290"/>
        </w:trPr>
        <w:tc>
          <w:tcPr>
            <w:tcW w:w="184" w:type="dxa"/>
            <w:tcBorders>
              <w:top w:val="nil"/>
              <w:left w:val="nil"/>
              <w:bottom w:val="nil"/>
              <w:right w:val="nil"/>
            </w:tcBorders>
            <w:shd w:val="clear" w:color="auto" w:fill="auto"/>
            <w:noWrap/>
            <w:vAlign w:val="bottom"/>
            <w:hideMark/>
          </w:tcPr>
          <w:p w14:paraId="2F925EC2"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4A00A3"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ošetrovateľská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3B071D9F"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299   </w:t>
            </w:r>
          </w:p>
        </w:tc>
        <w:tc>
          <w:tcPr>
            <w:tcW w:w="718" w:type="dxa"/>
            <w:tcBorders>
              <w:top w:val="nil"/>
              <w:left w:val="nil"/>
              <w:bottom w:val="single" w:sz="4" w:space="0" w:color="auto"/>
              <w:right w:val="single" w:sz="4" w:space="0" w:color="auto"/>
            </w:tcBorders>
            <w:shd w:val="clear" w:color="auto" w:fill="auto"/>
            <w:noWrap/>
            <w:vAlign w:val="bottom"/>
            <w:hideMark/>
          </w:tcPr>
          <w:p w14:paraId="1B081D47"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323   </w:t>
            </w:r>
          </w:p>
        </w:tc>
        <w:tc>
          <w:tcPr>
            <w:tcW w:w="590" w:type="dxa"/>
            <w:tcBorders>
              <w:top w:val="nil"/>
              <w:left w:val="nil"/>
              <w:bottom w:val="single" w:sz="4" w:space="0" w:color="auto"/>
              <w:right w:val="single" w:sz="4" w:space="0" w:color="auto"/>
            </w:tcBorders>
            <w:shd w:val="clear" w:color="auto" w:fill="auto"/>
            <w:noWrap/>
            <w:vAlign w:val="bottom"/>
            <w:hideMark/>
          </w:tcPr>
          <w:p w14:paraId="2157EF55"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349   </w:t>
            </w:r>
          </w:p>
        </w:tc>
        <w:tc>
          <w:tcPr>
            <w:tcW w:w="555" w:type="dxa"/>
            <w:tcBorders>
              <w:top w:val="nil"/>
              <w:left w:val="nil"/>
              <w:bottom w:val="single" w:sz="4" w:space="0" w:color="auto"/>
              <w:right w:val="single" w:sz="4" w:space="0" w:color="auto"/>
            </w:tcBorders>
            <w:shd w:val="clear" w:color="auto" w:fill="auto"/>
            <w:noWrap/>
            <w:vAlign w:val="bottom"/>
            <w:hideMark/>
          </w:tcPr>
          <w:p w14:paraId="45854EBE"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327   </w:t>
            </w:r>
          </w:p>
        </w:tc>
        <w:tc>
          <w:tcPr>
            <w:tcW w:w="555" w:type="dxa"/>
            <w:tcBorders>
              <w:top w:val="nil"/>
              <w:left w:val="nil"/>
              <w:bottom w:val="single" w:sz="4" w:space="0" w:color="auto"/>
              <w:right w:val="single" w:sz="4" w:space="0" w:color="auto"/>
            </w:tcBorders>
            <w:shd w:val="clear" w:color="auto" w:fill="auto"/>
            <w:noWrap/>
            <w:vAlign w:val="bottom"/>
            <w:hideMark/>
          </w:tcPr>
          <w:p w14:paraId="262AB813"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355   </w:t>
            </w:r>
          </w:p>
        </w:tc>
        <w:tc>
          <w:tcPr>
            <w:tcW w:w="555" w:type="dxa"/>
            <w:tcBorders>
              <w:top w:val="nil"/>
              <w:left w:val="nil"/>
              <w:bottom w:val="single" w:sz="4" w:space="0" w:color="auto"/>
              <w:right w:val="single" w:sz="4" w:space="0" w:color="auto"/>
            </w:tcBorders>
            <w:shd w:val="clear" w:color="auto" w:fill="auto"/>
            <w:noWrap/>
            <w:vAlign w:val="bottom"/>
            <w:hideMark/>
          </w:tcPr>
          <w:p w14:paraId="4FE47DB4"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383   </w:t>
            </w:r>
          </w:p>
        </w:tc>
        <w:tc>
          <w:tcPr>
            <w:tcW w:w="555" w:type="dxa"/>
            <w:tcBorders>
              <w:top w:val="nil"/>
              <w:left w:val="nil"/>
              <w:bottom w:val="single" w:sz="4" w:space="0" w:color="auto"/>
              <w:right w:val="single" w:sz="4" w:space="0" w:color="auto"/>
            </w:tcBorders>
            <w:shd w:val="clear" w:color="auto" w:fill="auto"/>
            <w:noWrap/>
            <w:vAlign w:val="bottom"/>
            <w:hideMark/>
          </w:tcPr>
          <w:p w14:paraId="0BB74334"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412   </w:t>
            </w:r>
          </w:p>
        </w:tc>
        <w:tc>
          <w:tcPr>
            <w:tcW w:w="629" w:type="dxa"/>
            <w:tcBorders>
              <w:top w:val="nil"/>
              <w:left w:val="nil"/>
              <w:bottom w:val="single" w:sz="4" w:space="0" w:color="auto"/>
              <w:right w:val="single" w:sz="4" w:space="0" w:color="auto"/>
            </w:tcBorders>
            <w:shd w:val="clear" w:color="auto" w:fill="auto"/>
            <w:noWrap/>
            <w:vAlign w:val="bottom"/>
            <w:hideMark/>
          </w:tcPr>
          <w:p w14:paraId="1099C915"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440   </w:t>
            </w:r>
          </w:p>
        </w:tc>
        <w:tc>
          <w:tcPr>
            <w:tcW w:w="708" w:type="dxa"/>
            <w:tcBorders>
              <w:top w:val="nil"/>
              <w:left w:val="nil"/>
              <w:bottom w:val="single" w:sz="4" w:space="0" w:color="auto"/>
              <w:right w:val="single" w:sz="4" w:space="0" w:color="auto"/>
            </w:tcBorders>
            <w:shd w:val="clear" w:color="auto" w:fill="auto"/>
            <w:noWrap/>
            <w:vAlign w:val="bottom"/>
            <w:hideMark/>
          </w:tcPr>
          <w:p w14:paraId="76C3DE07"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468   </w:t>
            </w:r>
          </w:p>
        </w:tc>
        <w:tc>
          <w:tcPr>
            <w:tcW w:w="709" w:type="dxa"/>
            <w:tcBorders>
              <w:top w:val="nil"/>
              <w:left w:val="nil"/>
              <w:bottom w:val="single" w:sz="4" w:space="0" w:color="auto"/>
              <w:right w:val="single" w:sz="4" w:space="0" w:color="auto"/>
            </w:tcBorders>
            <w:shd w:val="clear" w:color="auto" w:fill="auto"/>
            <w:noWrap/>
            <w:vAlign w:val="bottom"/>
            <w:hideMark/>
          </w:tcPr>
          <w:p w14:paraId="5329A39C"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496   </w:t>
            </w:r>
          </w:p>
        </w:tc>
        <w:tc>
          <w:tcPr>
            <w:tcW w:w="567" w:type="dxa"/>
            <w:tcBorders>
              <w:top w:val="nil"/>
              <w:left w:val="nil"/>
              <w:bottom w:val="single" w:sz="4" w:space="0" w:color="auto"/>
              <w:right w:val="single" w:sz="4" w:space="0" w:color="auto"/>
            </w:tcBorders>
            <w:shd w:val="clear" w:color="auto" w:fill="auto"/>
            <w:noWrap/>
            <w:vAlign w:val="bottom"/>
            <w:hideMark/>
          </w:tcPr>
          <w:p w14:paraId="7F767541"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524   </w:t>
            </w:r>
          </w:p>
        </w:tc>
        <w:tc>
          <w:tcPr>
            <w:tcW w:w="567" w:type="dxa"/>
            <w:tcBorders>
              <w:top w:val="nil"/>
              <w:left w:val="nil"/>
              <w:bottom w:val="single" w:sz="4" w:space="0" w:color="auto"/>
              <w:right w:val="single" w:sz="4" w:space="0" w:color="auto"/>
            </w:tcBorders>
            <w:shd w:val="clear" w:color="auto" w:fill="auto"/>
            <w:noWrap/>
            <w:vAlign w:val="bottom"/>
            <w:hideMark/>
          </w:tcPr>
          <w:p w14:paraId="7E7D39CB"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552   </w:t>
            </w:r>
          </w:p>
        </w:tc>
        <w:tc>
          <w:tcPr>
            <w:tcW w:w="567" w:type="dxa"/>
            <w:tcBorders>
              <w:top w:val="nil"/>
              <w:left w:val="nil"/>
              <w:bottom w:val="single" w:sz="4" w:space="0" w:color="auto"/>
              <w:right w:val="single" w:sz="4" w:space="0" w:color="auto"/>
            </w:tcBorders>
            <w:shd w:val="clear" w:color="auto" w:fill="auto"/>
            <w:noWrap/>
            <w:vAlign w:val="bottom"/>
            <w:hideMark/>
          </w:tcPr>
          <w:p w14:paraId="251F1244"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580   </w:t>
            </w:r>
          </w:p>
        </w:tc>
        <w:tc>
          <w:tcPr>
            <w:tcW w:w="1276" w:type="dxa"/>
            <w:tcBorders>
              <w:top w:val="nil"/>
              <w:left w:val="nil"/>
              <w:bottom w:val="single" w:sz="4" w:space="0" w:color="auto"/>
              <w:right w:val="single" w:sz="4" w:space="0" w:color="auto"/>
            </w:tcBorders>
            <w:shd w:val="clear" w:color="auto" w:fill="auto"/>
            <w:noWrap/>
            <w:vAlign w:val="bottom"/>
            <w:hideMark/>
          </w:tcPr>
          <w:p w14:paraId="340C755F"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609   </w:t>
            </w:r>
          </w:p>
        </w:tc>
      </w:tr>
      <w:tr w:rsidR="000C10F9" w:rsidRPr="00020C88" w14:paraId="65DB2DEB" w14:textId="77777777" w:rsidTr="00B86229">
        <w:trPr>
          <w:trHeight w:val="290"/>
        </w:trPr>
        <w:tc>
          <w:tcPr>
            <w:tcW w:w="184" w:type="dxa"/>
            <w:tcBorders>
              <w:top w:val="nil"/>
              <w:left w:val="nil"/>
              <w:bottom w:val="nil"/>
              <w:right w:val="nil"/>
            </w:tcBorders>
            <w:shd w:val="clear" w:color="auto" w:fill="auto"/>
            <w:noWrap/>
            <w:vAlign w:val="bottom"/>
            <w:hideMark/>
          </w:tcPr>
          <w:p w14:paraId="55A8BA7E" w14:textId="77777777" w:rsidR="00297720" w:rsidRPr="00020C88" w:rsidRDefault="00297720" w:rsidP="00297720">
            <w:pPr>
              <w:spacing w:after="0" w:line="240" w:lineRule="auto"/>
              <w:jc w:val="right"/>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0765F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hospicová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47DF87AD"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208   </w:t>
            </w:r>
          </w:p>
        </w:tc>
        <w:tc>
          <w:tcPr>
            <w:tcW w:w="718" w:type="dxa"/>
            <w:tcBorders>
              <w:top w:val="nil"/>
              <w:left w:val="nil"/>
              <w:bottom w:val="single" w:sz="4" w:space="0" w:color="auto"/>
              <w:right w:val="single" w:sz="4" w:space="0" w:color="auto"/>
            </w:tcBorders>
            <w:shd w:val="clear" w:color="auto" w:fill="auto"/>
            <w:noWrap/>
            <w:vAlign w:val="bottom"/>
            <w:hideMark/>
          </w:tcPr>
          <w:p w14:paraId="6564D49B"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225   </w:t>
            </w:r>
          </w:p>
        </w:tc>
        <w:tc>
          <w:tcPr>
            <w:tcW w:w="590" w:type="dxa"/>
            <w:tcBorders>
              <w:top w:val="nil"/>
              <w:left w:val="nil"/>
              <w:bottom w:val="single" w:sz="4" w:space="0" w:color="auto"/>
              <w:right w:val="single" w:sz="4" w:space="0" w:color="auto"/>
            </w:tcBorders>
            <w:shd w:val="clear" w:color="auto" w:fill="auto"/>
            <w:noWrap/>
            <w:vAlign w:val="bottom"/>
            <w:hideMark/>
          </w:tcPr>
          <w:p w14:paraId="683D3990"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243   </w:t>
            </w:r>
          </w:p>
        </w:tc>
        <w:tc>
          <w:tcPr>
            <w:tcW w:w="555" w:type="dxa"/>
            <w:tcBorders>
              <w:top w:val="nil"/>
              <w:left w:val="nil"/>
              <w:bottom w:val="single" w:sz="4" w:space="0" w:color="auto"/>
              <w:right w:val="single" w:sz="4" w:space="0" w:color="auto"/>
            </w:tcBorders>
            <w:shd w:val="clear" w:color="auto" w:fill="auto"/>
            <w:noWrap/>
            <w:vAlign w:val="bottom"/>
            <w:hideMark/>
          </w:tcPr>
          <w:p w14:paraId="0FD641CD"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286   </w:t>
            </w:r>
          </w:p>
        </w:tc>
        <w:tc>
          <w:tcPr>
            <w:tcW w:w="555" w:type="dxa"/>
            <w:tcBorders>
              <w:top w:val="nil"/>
              <w:left w:val="nil"/>
              <w:bottom w:val="single" w:sz="4" w:space="0" w:color="auto"/>
              <w:right w:val="single" w:sz="4" w:space="0" w:color="auto"/>
            </w:tcBorders>
            <w:shd w:val="clear" w:color="auto" w:fill="auto"/>
            <w:noWrap/>
            <w:vAlign w:val="bottom"/>
            <w:hideMark/>
          </w:tcPr>
          <w:p w14:paraId="29A70BF2"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364   </w:t>
            </w:r>
          </w:p>
        </w:tc>
        <w:tc>
          <w:tcPr>
            <w:tcW w:w="555" w:type="dxa"/>
            <w:tcBorders>
              <w:top w:val="nil"/>
              <w:left w:val="nil"/>
              <w:bottom w:val="single" w:sz="4" w:space="0" w:color="auto"/>
              <w:right w:val="single" w:sz="4" w:space="0" w:color="auto"/>
            </w:tcBorders>
            <w:shd w:val="clear" w:color="auto" w:fill="auto"/>
            <w:noWrap/>
            <w:vAlign w:val="bottom"/>
            <w:hideMark/>
          </w:tcPr>
          <w:p w14:paraId="08821EC8"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443   </w:t>
            </w:r>
          </w:p>
        </w:tc>
        <w:tc>
          <w:tcPr>
            <w:tcW w:w="555" w:type="dxa"/>
            <w:tcBorders>
              <w:top w:val="nil"/>
              <w:left w:val="nil"/>
              <w:bottom w:val="single" w:sz="4" w:space="0" w:color="auto"/>
              <w:right w:val="single" w:sz="4" w:space="0" w:color="auto"/>
            </w:tcBorders>
            <w:shd w:val="clear" w:color="auto" w:fill="auto"/>
            <w:noWrap/>
            <w:vAlign w:val="bottom"/>
            <w:hideMark/>
          </w:tcPr>
          <w:p w14:paraId="02E3864C"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521   </w:t>
            </w:r>
          </w:p>
        </w:tc>
        <w:tc>
          <w:tcPr>
            <w:tcW w:w="629" w:type="dxa"/>
            <w:tcBorders>
              <w:top w:val="nil"/>
              <w:left w:val="nil"/>
              <w:bottom w:val="single" w:sz="4" w:space="0" w:color="auto"/>
              <w:right w:val="single" w:sz="4" w:space="0" w:color="auto"/>
            </w:tcBorders>
            <w:shd w:val="clear" w:color="auto" w:fill="auto"/>
            <w:noWrap/>
            <w:vAlign w:val="bottom"/>
            <w:hideMark/>
          </w:tcPr>
          <w:p w14:paraId="6DA3C874"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599   </w:t>
            </w:r>
          </w:p>
        </w:tc>
        <w:tc>
          <w:tcPr>
            <w:tcW w:w="708" w:type="dxa"/>
            <w:tcBorders>
              <w:top w:val="nil"/>
              <w:left w:val="nil"/>
              <w:bottom w:val="single" w:sz="4" w:space="0" w:color="auto"/>
              <w:right w:val="single" w:sz="4" w:space="0" w:color="auto"/>
            </w:tcBorders>
            <w:shd w:val="clear" w:color="auto" w:fill="auto"/>
            <w:noWrap/>
            <w:vAlign w:val="bottom"/>
            <w:hideMark/>
          </w:tcPr>
          <w:p w14:paraId="3F4E08D9"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677   </w:t>
            </w:r>
          </w:p>
        </w:tc>
        <w:tc>
          <w:tcPr>
            <w:tcW w:w="709" w:type="dxa"/>
            <w:tcBorders>
              <w:top w:val="nil"/>
              <w:left w:val="nil"/>
              <w:bottom w:val="single" w:sz="4" w:space="0" w:color="auto"/>
              <w:right w:val="single" w:sz="4" w:space="0" w:color="auto"/>
            </w:tcBorders>
            <w:shd w:val="clear" w:color="auto" w:fill="auto"/>
            <w:noWrap/>
            <w:vAlign w:val="bottom"/>
            <w:hideMark/>
          </w:tcPr>
          <w:p w14:paraId="2FB63D3B"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755   </w:t>
            </w:r>
          </w:p>
        </w:tc>
        <w:tc>
          <w:tcPr>
            <w:tcW w:w="567" w:type="dxa"/>
            <w:tcBorders>
              <w:top w:val="nil"/>
              <w:left w:val="nil"/>
              <w:bottom w:val="single" w:sz="4" w:space="0" w:color="auto"/>
              <w:right w:val="single" w:sz="4" w:space="0" w:color="auto"/>
            </w:tcBorders>
            <w:shd w:val="clear" w:color="auto" w:fill="auto"/>
            <w:noWrap/>
            <w:vAlign w:val="bottom"/>
            <w:hideMark/>
          </w:tcPr>
          <w:p w14:paraId="7D57D673"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834   </w:t>
            </w:r>
          </w:p>
        </w:tc>
        <w:tc>
          <w:tcPr>
            <w:tcW w:w="567" w:type="dxa"/>
            <w:tcBorders>
              <w:top w:val="nil"/>
              <w:left w:val="nil"/>
              <w:bottom w:val="single" w:sz="4" w:space="0" w:color="auto"/>
              <w:right w:val="single" w:sz="4" w:space="0" w:color="auto"/>
            </w:tcBorders>
            <w:shd w:val="clear" w:color="auto" w:fill="auto"/>
            <w:noWrap/>
            <w:vAlign w:val="bottom"/>
            <w:hideMark/>
          </w:tcPr>
          <w:p w14:paraId="2DCAE7B3"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912   </w:t>
            </w:r>
          </w:p>
        </w:tc>
        <w:tc>
          <w:tcPr>
            <w:tcW w:w="567" w:type="dxa"/>
            <w:tcBorders>
              <w:top w:val="nil"/>
              <w:left w:val="nil"/>
              <w:bottom w:val="single" w:sz="4" w:space="0" w:color="auto"/>
              <w:right w:val="single" w:sz="4" w:space="0" w:color="auto"/>
            </w:tcBorders>
            <w:shd w:val="clear" w:color="auto" w:fill="auto"/>
            <w:noWrap/>
            <w:vAlign w:val="bottom"/>
            <w:hideMark/>
          </w:tcPr>
          <w:p w14:paraId="5C27837C"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990   </w:t>
            </w:r>
          </w:p>
        </w:tc>
        <w:tc>
          <w:tcPr>
            <w:tcW w:w="1276" w:type="dxa"/>
            <w:tcBorders>
              <w:top w:val="nil"/>
              <w:left w:val="nil"/>
              <w:bottom w:val="single" w:sz="4" w:space="0" w:color="auto"/>
              <w:right w:val="single" w:sz="4" w:space="0" w:color="auto"/>
            </w:tcBorders>
            <w:shd w:val="clear" w:color="auto" w:fill="auto"/>
            <w:noWrap/>
            <w:vAlign w:val="bottom"/>
            <w:hideMark/>
          </w:tcPr>
          <w:p w14:paraId="72EC147E"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1 068   </w:t>
            </w:r>
          </w:p>
        </w:tc>
      </w:tr>
      <w:tr w:rsidR="000C10F9" w:rsidRPr="00020C88" w14:paraId="3D729D4D" w14:textId="77777777" w:rsidTr="00B86229">
        <w:trPr>
          <w:trHeight w:val="290"/>
        </w:trPr>
        <w:tc>
          <w:tcPr>
            <w:tcW w:w="184" w:type="dxa"/>
            <w:tcBorders>
              <w:top w:val="nil"/>
              <w:left w:val="nil"/>
              <w:bottom w:val="nil"/>
              <w:right w:val="nil"/>
            </w:tcBorders>
            <w:shd w:val="clear" w:color="auto" w:fill="auto"/>
            <w:noWrap/>
            <w:vAlign w:val="bottom"/>
            <w:hideMark/>
          </w:tcPr>
          <w:p w14:paraId="247D6BDC" w14:textId="77777777" w:rsidR="00297720" w:rsidRPr="00020C88" w:rsidRDefault="00297720" w:rsidP="00297720">
            <w:pPr>
              <w:spacing w:after="0" w:line="240" w:lineRule="auto"/>
              <w:jc w:val="right"/>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9FA87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paliatívna medicína</w:t>
            </w:r>
          </w:p>
        </w:tc>
        <w:tc>
          <w:tcPr>
            <w:tcW w:w="664" w:type="dxa"/>
            <w:tcBorders>
              <w:top w:val="nil"/>
              <w:left w:val="nil"/>
              <w:bottom w:val="single" w:sz="4" w:space="0" w:color="auto"/>
              <w:right w:val="single" w:sz="4" w:space="0" w:color="auto"/>
            </w:tcBorders>
            <w:shd w:val="clear" w:color="auto" w:fill="auto"/>
            <w:noWrap/>
            <w:vAlign w:val="bottom"/>
            <w:hideMark/>
          </w:tcPr>
          <w:p w14:paraId="5A0DE8DE"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86   </w:t>
            </w:r>
          </w:p>
        </w:tc>
        <w:tc>
          <w:tcPr>
            <w:tcW w:w="718" w:type="dxa"/>
            <w:tcBorders>
              <w:top w:val="nil"/>
              <w:left w:val="nil"/>
              <w:bottom w:val="single" w:sz="4" w:space="0" w:color="auto"/>
              <w:right w:val="single" w:sz="4" w:space="0" w:color="auto"/>
            </w:tcBorders>
            <w:shd w:val="clear" w:color="auto" w:fill="auto"/>
            <w:noWrap/>
            <w:vAlign w:val="bottom"/>
            <w:hideMark/>
          </w:tcPr>
          <w:p w14:paraId="62AB6330"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93   </w:t>
            </w:r>
          </w:p>
        </w:tc>
        <w:tc>
          <w:tcPr>
            <w:tcW w:w="590" w:type="dxa"/>
            <w:tcBorders>
              <w:top w:val="nil"/>
              <w:left w:val="nil"/>
              <w:bottom w:val="single" w:sz="4" w:space="0" w:color="auto"/>
              <w:right w:val="single" w:sz="4" w:space="0" w:color="auto"/>
            </w:tcBorders>
            <w:shd w:val="clear" w:color="auto" w:fill="auto"/>
            <w:noWrap/>
            <w:vAlign w:val="bottom"/>
            <w:hideMark/>
          </w:tcPr>
          <w:p w14:paraId="640920C5"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100   </w:t>
            </w:r>
          </w:p>
        </w:tc>
        <w:tc>
          <w:tcPr>
            <w:tcW w:w="555" w:type="dxa"/>
            <w:tcBorders>
              <w:top w:val="nil"/>
              <w:left w:val="nil"/>
              <w:bottom w:val="single" w:sz="4" w:space="0" w:color="auto"/>
              <w:right w:val="single" w:sz="4" w:space="0" w:color="auto"/>
            </w:tcBorders>
            <w:shd w:val="clear" w:color="auto" w:fill="auto"/>
            <w:noWrap/>
            <w:vAlign w:val="bottom"/>
            <w:hideMark/>
          </w:tcPr>
          <w:p w14:paraId="4D3B1AD4"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116   </w:t>
            </w:r>
          </w:p>
        </w:tc>
        <w:tc>
          <w:tcPr>
            <w:tcW w:w="555" w:type="dxa"/>
            <w:tcBorders>
              <w:top w:val="nil"/>
              <w:left w:val="nil"/>
              <w:bottom w:val="single" w:sz="4" w:space="0" w:color="auto"/>
              <w:right w:val="single" w:sz="4" w:space="0" w:color="auto"/>
            </w:tcBorders>
            <w:shd w:val="clear" w:color="auto" w:fill="auto"/>
            <w:noWrap/>
            <w:vAlign w:val="bottom"/>
            <w:hideMark/>
          </w:tcPr>
          <w:p w14:paraId="6F811B1E"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147   </w:t>
            </w:r>
          </w:p>
        </w:tc>
        <w:tc>
          <w:tcPr>
            <w:tcW w:w="555" w:type="dxa"/>
            <w:tcBorders>
              <w:top w:val="nil"/>
              <w:left w:val="nil"/>
              <w:bottom w:val="single" w:sz="4" w:space="0" w:color="auto"/>
              <w:right w:val="single" w:sz="4" w:space="0" w:color="auto"/>
            </w:tcBorders>
            <w:shd w:val="clear" w:color="auto" w:fill="auto"/>
            <w:noWrap/>
            <w:vAlign w:val="bottom"/>
            <w:hideMark/>
          </w:tcPr>
          <w:p w14:paraId="46FA4183"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177   </w:t>
            </w:r>
          </w:p>
        </w:tc>
        <w:tc>
          <w:tcPr>
            <w:tcW w:w="555" w:type="dxa"/>
            <w:tcBorders>
              <w:top w:val="nil"/>
              <w:left w:val="nil"/>
              <w:bottom w:val="single" w:sz="4" w:space="0" w:color="auto"/>
              <w:right w:val="single" w:sz="4" w:space="0" w:color="auto"/>
            </w:tcBorders>
            <w:shd w:val="clear" w:color="auto" w:fill="auto"/>
            <w:noWrap/>
            <w:vAlign w:val="bottom"/>
            <w:hideMark/>
          </w:tcPr>
          <w:p w14:paraId="09B022EC"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207   </w:t>
            </w:r>
          </w:p>
        </w:tc>
        <w:tc>
          <w:tcPr>
            <w:tcW w:w="629" w:type="dxa"/>
            <w:tcBorders>
              <w:top w:val="nil"/>
              <w:left w:val="nil"/>
              <w:bottom w:val="single" w:sz="4" w:space="0" w:color="auto"/>
              <w:right w:val="single" w:sz="4" w:space="0" w:color="auto"/>
            </w:tcBorders>
            <w:shd w:val="clear" w:color="auto" w:fill="auto"/>
            <w:noWrap/>
            <w:vAlign w:val="bottom"/>
            <w:hideMark/>
          </w:tcPr>
          <w:p w14:paraId="45387387"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237   </w:t>
            </w:r>
          </w:p>
        </w:tc>
        <w:tc>
          <w:tcPr>
            <w:tcW w:w="708" w:type="dxa"/>
            <w:tcBorders>
              <w:top w:val="nil"/>
              <w:left w:val="nil"/>
              <w:bottom w:val="single" w:sz="4" w:space="0" w:color="auto"/>
              <w:right w:val="single" w:sz="4" w:space="0" w:color="auto"/>
            </w:tcBorders>
            <w:shd w:val="clear" w:color="auto" w:fill="auto"/>
            <w:noWrap/>
            <w:vAlign w:val="bottom"/>
            <w:hideMark/>
          </w:tcPr>
          <w:p w14:paraId="21B4D9F0"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268   </w:t>
            </w:r>
          </w:p>
        </w:tc>
        <w:tc>
          <w:tcPr>
            <w:tcW w:w="709" w:type="dxa"/>
            <w:tcBorders>
              <w:top w:val="nil"/>
              <w:left w:val="nil"/>
              <w:bottom w:val="single" w:sz="4" w:space="0" w:color="auto"/>
              <w:right w:val="single" w:sz="4" w:space="0" w:color="auto"/>
            </w:tcBorders>
            <w:shd w:val="clear" w:color="auto" w:fill="auto"/>
            <w:noWrap/>
            <w:vAlign w:val="bottom"/>
            <w:hideMark/>
          </w:tcPr>
          <w:p w14:paraId="32198223"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298   </w:t>
            </w:r>
          </w:p>
        </w:tc>
        <w:tc>
          <w:tcPr>
            <w:tcW w:w="567" w:type="dxa"/>
            <w:tcBorders>
              <w:top w:val="nil"/>
              <w:left w:val="nil"/>
              <w:bottom w:val="single" w:sz="4" w:space="0" w:color="auto"/>
              <w:right w:val="single" w:sz="4" w:space="0" w:color="auto"/>
            </w:tcBorders>
            <w:shd w:val="clear" w:color="auto" w:fill="auto"/>
            <w:noWrap/>
            <w:vAlign w:val="bottom"/>
            <w:hideMark/>
          </w:tcPr>
          <w:p w14:paraId="17A24A2A"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328   </w:t>
            </w:r>
          </w:p>
        </w:tc>
        <w:tc>
          <w:tcPr>
            <w:tcW w:w="567" w:type="dxa"/>
            <w:tcBorders>
              <w:top w:val="nil"/>
              <w:left w:val="nil"/>
              <w:bottom w:val="single" w:sz="4" w:space="0" w:color="auto"/>
              <w:right w:val="single" w:sz="4" w:space="0" w:color="auto"/>
            </w:tcBorders>
            <w:shd w:val="clear" w:color="auto" w:fill="auto"/>
            <w:noWrap/>
            <w:vAlign w:val="bottom"/>
            <w:hideMark/>
          </w:tcPr>
          <w:p w14:paraId="4803F1BE"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358   </w:t>
            </w:r>
          </w:p>
        </w:tc>
        <w:tc>
          <w:tcPr>
            <w:tcW w:w="567" w:type="dxa"/>
            <w:tcBorders>
              <w:top w:val="nil"/>
              <w:left w:val="nil"/>
              <w:bottom w:val="single" w:sz="4" w:space="0" w:color="auto"/>
              <w:right w:val="single" w:sz="4" w:space="0" w:color="auto"/>
            </w:tcBorders>
            <w:shd w:val="clear" w:color="auto" w:fill="auto"/>
            <w:noWrap/>
            <w:vAlign w:val="bottom"/>
            <w:hideMark/>
          </w:tcPr>
          <w:p w14:paraId="5A5DE09C"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389   </w:t>
            </w:r>
          </w:p>
        </w:tc>
        <w:tc>
          <w:tcPr>
            <w:tcW w:w="1276" w:type="dxa"/>
            <w:tcBorders>
              <w:top w:val="nil"/>
              <w:left w:val="nil"/>
              <w:bottom w:val="single" w:sz="4" w:space="0" w:color="auto"/>
              <w:right w:val="single" w:sz="4" w:space="0" w:color="auto"/>
            </w:tcBorders>
            <w:shd w:val="clear" w:color="auto" w:fill="auto"/>
            <w:noWrap/>
            <w:vAlign w:val="bottom"/>
            <w:hideMark/>
          </w:tcPr>
          <w:p w14:paraId="5E7EB1AA" w14:textId="77777777" w:rsidR="00297720" w:rsidRPr="00020C88" w:rsidRDefault="00297720" w:rsidP="00297720">
            <w:pPr>
              <w:spacing w:after="0" w:line="240" w:lineRule="auto"/>
              <w:jc w:val="right"/>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419   </w:t>
            </w:r>
          </w:p>
        </w:tc>
      </w:tr>
      <w:tr w:rsidR="000C10F9" w:rsidRPr="00020C88" w14:paraId="0C36CF35" w14:textId="77777777" w:rsidTr="00B86229">
        <w:trPr>
          <w:trHeight w:val="290"/>
        </w:trPr>
        <w:tc>
          <w:tcPr>
            <w:tcW w:w="184" w:type="dxa"/>
            <w:tcBorders>
              <w:top w:val="nil"/>
              <w:left w:val="nil"/>
              <w:bottom w:val="nil"/>
              <w:right w:val="nil"/>
            </w:tcBorders>
            <w:shd w:val="clear" w:color="auto" w:fill="auto"/>
            <w:noWrap/>
            <w:vAlign w:val="bottom"/>
            <w:hideMark/>
          </w:tcPr>
          <w:p w14:paraId="710964F1" w14:textId="77777777" w:rsidR="00297720" w:rsidRPr="00020C88" w:rsidRDefault="00297720" w:rsidP="00297720">
            <w:pPr>
              <w:spacing w:after="0" w:line="240" w:lineRule="auto"/>
              <w:jc w:val="right"/>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7266D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SPOLU</w:t>
            </w:r>
          </w:p>
        </w:tc>
        <w:tc>
          <w:tcPr>
            <w:tcW w:w="664" w:type="dxa"/>
            <w:tcBorders>
              <w:top w:val="nil"/>
              <w:left w:val="nil"/>
              <w:bottom w:val="single" w:sz="4" w:space="0" w:color="auto"/>
              <w:right w:val="single" w:sz="4" w:space="0" w:color="auto"/>
            </w:tcBorders>
            <w:shd w:val="clear" w:color="auto" w:fill="auto"/>
            <w:noWrap/>
            <w:vAlign w:val="bottom"/>
            <w:hideMark/>
          </w:tcPr>
          <w:p w14:paraId="0FDF1DBF"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593   </w:t>
            </w:r>
          </w:p>
        </w:tc>
        <w:tc>
          <w:tcPr>
            <w:tcW w:w="718" w:type="dxa"/>
            <w:tcBorders>
              <w:top w:val="nil"/>
              <w:left w:val="nil"/>
              <w:bottom w:val="single" w:sz="4" w:space="0" w:color="auto"/>
              <w:right w:val="single" w:sz="4" w:space="0" w:color="auto"/>
            </w:tcBorders>
            <w:shd w:val="clear" w:color="auto" w:fill="auto"/>
            <w:noWrap/>
            <w:vAlign w:val="bottom"/>
            <w:hideMark/>
          </w:tcPr>
          <w:p w14:paraId="7D84D63D"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640   </w:t>
            </w:r>
          </w:p>
        </w:tc>
        <w:tc>
          <w:tcPr>
            <w:tcW w:w="590" w:type="dxa"/>
            <w:tcBorders>
              <w:top w:val="nil"/>
              <w:left w:val="nil"/>
              <w:bottom w:val="single" w:sz="4" w:space="0" w:color="auto"/>
              <w:right w:val="single" w:sz="4" w:space="0" w:color="auto"/>
            </w:tcBorders>
            <w:shd w:val="clear" w:color="auto" w:fill="auto"/>
            <w:noWrap/>
            <w:vAlign w:val="bottom"/>
            <w:hideMark/>
          </w:tcPr>
          <w:p w14:paraId="6C1BE8A7"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692   </w:t>
            </w:r>
          </w:p>
        </w:tc>
        <w:tc>
          <w:tcPr>
            <w:tcW w:w="555" w:type="dxa"/>
            <w:tcBorders>
              <w:top w:val="nil"/>
              <w:left w:val="nil"/>
              <w:bottom w:val="single" w:sz="4" w:space="0" w:color="auto"/>
              <w:right w:val="single" w:sz="4" w:space="0" w:color="auto"/>
            </w:tcBorders>
            <w:shd w:val="clear" w:color="auto" w:fill="auto"/>
            <w:noWrap/>
            <w:vAlign w:val="bottom"/>
            <w:hideMark/>
          </w:tcPr>
          <w:p w14:paraId="05B950AC"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730   </w:t>
            </w:r>
          </w:p>
        </w:tc>
        <w:tc>
          <w:tcPr>
            <w:tcW w:w="555" w:type="dxa"/>
            <w:tcBorders>
              <w:top w:val="nil"/>
              <w:left w:val="nil"/>
              <w:bottom w:val="single" w:sz="4" w:space="0" w:color="auto"/>
              <w:right w:val="single" w:sz="4" w:space="0" w:color="auto"/>
            </w:tcBorders>
            <w:shd w:val="clear" w:color="auto" w:fill="auto"/>
            <w:noWrap/>
            <w:vAlign w:val="bottom"/>
            <w:hideMark/>
          </w:tcPr>
          <w:p w14:paraId="31588FA8"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866   </w:t>
            </w:r>
          </w:p>
        </w:tc>
        <w:tc>
          <w:tcPr>
            <w:tcW w:w="555" w:type="dxa"/>
            <w:tcBorders>
              <w:top w:val="nil"/>
              <w:left w:val="nil"/>
              <w:bottom w:val="single" w:sz="4" w:space="0" w:color="auto"/>
              <w:right w:val="single" w:sz="4" w:space="0" w:color="auto"/>
            </w:tcBorders>
            <w:shd w:val="clear" w:color="auto" w:fill="auto"/>
            <w:noWrap/>
            <w:vAlign w:val="bottom"/>
            <w:hideMark/>
          </w:tcPr>
          <w:p w14:paraId="2D8BEA36"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1 003   </w:t>
            </w:r>
          </w:p>
        </w:tc>
        <w:tc>
          <w:tcPr>
            <w:tcW w:w="555" w:type="dxa"/>
            <w:tcBorders>
              <w:top w:val="nil"/>
              <w:left w:val="nil"/>
              <w:bottom w:val="single" w:sz="4" w:space="0" w:color="auto"/>
              <w:right w:val="single" w:sz="4" w:space="0" w:color="auto"/>
            </w:tcBorders>
            <w:shd w:val="clear" w:color="auto" w:fill="auto"/>
            <w:noWrap/>
            <w:vAlign w:val="bottom"/>
            <w:hideMark/>
          </w:tcPr>
          <w:p w14:paraId="6BA4ECB6"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1 139   </w:t>
            </w:r>
          </w:p>
        </w:tc>
        <w:tc>
          <w:tcPr>
            <w:tcW w:w="629" w:type="dxa"/>
            <w:tcBorders>
              <w:top w:val="nil"/>
              <w:left w:val="nil"/>
              <w:bottom w:val="single" w:sz="4" w:space="0" w:color="auto"/>
              <w:right w:val="single" w:sz="4" w:space="0" w:color="auto"/>
            </w:tcBorders>
            <w:shd w:val="clear" w:color="auto" w:fill="auto"/>
            <w:noWrap/>
            <w:vAlign w:val="bottom"/>
            <w:hideMark/>
          </w:tcPr>
          <w:p w14:paraId="3119ECD1"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1 276   </w:t>
            </w:r>
          </w:p>
        </w:tc>
        <w:tc>
          <w:tcPr>
            <w:tcW w:w="708" w:type="dxa"/>
            <w:tcBorders>
              <w:top w:val="nil"/>
              <w:left w:val="nil"/>
              <w:bottom w:val="single" w:sz="4" w:space="0" w:color="auto"/>
              <w:right w:val="single" w:sz="4" w:space="0" w:color="auto"/>
            </w:tcBorders>
            <w:shd w:val="clear" w:color="auto" w:fill="auto"/>
            <w:noWrap/>
            <w:vAlign w:val="bottom"/>
            <w:hideMark/>
          </w:tcPr>
          <w:p w14:paraId="4A9EDA94"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1 413   </w:t>
            </w:r>
          </w:p>
        </w:tc>
        <w:tc>
          <w:tcPr>
            <w:tcW w:w="709" w:type="dxa"/>
            <w:tcBorders>
              <w:top w:val="nil"/>
              <w:left w:val="nil"/>
              <w:bottom w:val="single" w:sz="4" w:space="0" w:color="auto"/>
              <w:right w:val="single" w:sz="4" w:space="0" w:color="auto"/>
            </w:tcBorders>
            <w:shd w:val="clear" w:color="auto" w:fill="auto"/>
            <w:noWrap/>
            <w:vAlign w:val="bottom"/>
            <w:hideMark/>
          </w:tcPr>
          <w:p w14:paraId="4B3432A3"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1 549   </w:t>
            </w:r>
          </w:p>
        </w:tc>
        <w:tc>
          <w:tcPr>
            <w:tcW w:w="567" w:type="dxa"/>
            <w:tcBorders>
              <w:top w:val="nil"/>
              <w:left w:val="nil"/>
              <w:bottom w:val="single" w:sz="4" w:space="0" w:color="auto"/>
              <w:right w:val="single" w:sz="4" w:space="0" w:color="auto"/>
            </w:tcBorders>
            <w:shd w:val="clear" w:color="auto" w:fill="auto"/>
            <w:noWrap/>
            <w:vAlign w:val="bottom"/>
            <w:hideMark/>
          </w:tcPr>
          <w:p w14:paraId="2C876D02"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1 686   </w:t>
            </w:r>
          </w:p>
        </w:tc>
        <w:tc>
          <w:tcPr>
            <w:tcW w:w="567" w:type="dxa"/>
            <w:tcBorders>
              <w:top w:val="nil"/>
              <w:left w:val="nil"/>
              <w:bottom w:val="single" w:sz="4" w:space="0" w:color="auto"/>
              <w:right w:val="single" w:sz="4" w:space="0" w:color="auto"/>
            </w:tcBorders>
            <w:shd w:val="clear" w:color="auto" w:fill="auto"/>
            <w:noWrap/>
            <w:vAlign w:val="bottom"/>
            <w:hideMark/>
          </w:tcPr>
          <w:p w14:paraId="626DBEBD"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1 822   </w:t>
            </w:r>
          </w:p>
        </w:tc>
        <w:tc>
          <w:tcPr>
            <w:tcW w:w="567" w:type="dxa"/>
            <w:tcBorders>
              <w:top w:val="nil"/>
              <w:left w:val="nil"/>
              <w:bottom w:val="single" w:sz="4" w:space="0" w:color="auto"/>
              <w:right w:val="single" w:sz="4" w:space="0" w:color="auto"/>
            </w:tcBorders>
            <w:shd w:val="clear" w:color="auto" w:fill="auto"/>
            <w:noWrap/>
            <w:vAlign w:val="bottom"/>
            <w:hideMark/>
          </w:tcPr>
          <w:p w14:paraId="273B50C6"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1 959   </w:t>
            </w:r>
          </w:p>
        </w:tc>
        <w:tc>
          <w:tcPr>
            <w:tcW w:w="1276" w:type="dxa"/>
            <w:tcBorders>
              <w:top w:val="nil"/>
              <w:left w:val="nil"/>
              <w:bottom w:val="single" w:sz="4" w:space="0" w:color="auto"/>
              <w:right w:val="single" w:sz="4" w:space="0" w:color="auto"/>
            </w:tcBorders>
            <w:shd w:val="clear" w:color="auto" w:fill="auto"/>
            <w:noWrap/>
            <w:vAlign w:val="bottom"/>
            <w:hideMark/>
          </w:tcPr>
          <w:p w14:paraId="299675ED"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2 096   </w:t>
            </w:r>
          </w:p>
        </w:tc>
      </w:tr>
      <w:tr w:rsidR="000C10F9" w:rsidRPr="00020C88" w14:paraId="33216D3E" w14:textId="77777777" w:rsidTr="00B86229">
        <w:trPr>
          <w:trHeight w:val="290"/>
        </w:trPr>
        <w:tc>
          <w:tcPr>
            <w:tcW w:w="184" w:type="dxa"/>
            <w:tcBorders>
              <w:top w:val="nil"/>
              <w:left w:val="nil"/>
              <w:bottom w:val="nil"/>
              <w:right w:val="nil"/>
            </w:tcBorders>
            <w:shd w:val="clear" w:color="auto" w:fill="auto"/>
            <w:noWrap/>
            <w:vAlign w:val="bottom"/>
            <w:hideMark/>
          </w:tcPr>
          <w:p w14:paraId="2DB7CA05"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p>
        </w:tc>
        <w:tc>
          <w:tcPr>
            <w:tcW w:w="2225" w:type="dxa"/>
            <w:gridSpan w:val="2"/>
            <w:tcBorders>
              <w:top w:val="nil"/>
              <w:left w:val="nil"/>
              <w:bottom w:val="nil"/>
              <w:right w:val="nil"/>
            </w:tcBorders>
            <w:shd w:val="clear" w:color="auto" w:fill="auto"/>
            <w:noWrap/>
            <w:vAlign w:val="bottom"/>
            <w:hideMark/>
          </w:tcPr>
          <w:p w14:paraId="7ECDEA45" w14:textId="77777777" w:rsidR="00297720" w:rsidRPr="00020C88" w:rsidRDefault="00297720" w:rsidP="00297720">
            <w:pPr>
              <w:spacing w:after="0" w:line="240" w:lineRule="auto"/>
              <w:rPr>
                <w:rFonts w:ascii="Times New Roman" w:hAnsi="Times New Roman"/>
                <w:sz w:val="18"/>
                <w:szCs w:val="18"/>
                <w:lang w:eastAsia="sk-SK"/>
              </w:rPr>
            </w:pPr>
          </w:p>
        </w:tc>
        <w:tc>
          <w:tcPr>
            <w:tcW w:w="664" w:type="dxa"/>
            <w:tcBorders>
              <w:top w:val="nil"/>
              <w:left w:val="nil"/>
              <w:bottom w:val="nil"/>
              <w:right w:val="nil"/>
            </w:tcBorders>
            <w:shd w:val="clear" w:color="auto" w:fill="auto"/>
            <w:noWrap/>
            <w:vAlign w:val="bottom"/>
            <w:hideMark/>
          </w:tcPr>
          <w:p w14:paraId="3CA14BB5" w14:textId="77777777" w:rsidR="00297720" w:rsidRPr="00020C88" w:rsidRDefault="00297720" w:rsidP="00297720">
            <w:pPr>
              <w:spacing w:after="0" w:line="240" w:lineRule="auto"/>
              <w:rPr>
                <w:rFonts w:ascii="Times New Roman" w:hAnsi="Times New Roman"/>
                <w:sz w:val="18"/>
                <w:szCs w:val="18"/>
                <w:lang w:eastAsia="sk-SK"/>
              </w:rPr>
            </w:pPr>
          </w:p>
        </w:tc>
        <w:tc>
          <w:tcPr>
            <w:tcW w:w="718" w:type="dxa"/>
            <w:tcBorders>
              <w:top w:val="nil"/>
              <w:left w:val="nil"/>
              <w:bottom w:val="nil"/>
              <w:right w:val="nil"/>
            </w:tcBorders>
            <w:shd w:val="clear" w:color="auto" w:fill="auto"/>
            <w:noWrap/>
            <w:vAlign w:val="bottom"/>
            <w:hideMark/>
          </w:tcPr>
          <w:p w14:paraId="12E2354D"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90" w:type="dxa"/>
            <w:tcBorders>
              <w:top w:val="nil"/>
              <w:left w:val="nil"/>
              <w:bottom w:val="nil"/>
              <w:right w:val="nil"/>
            </w:tcBorders>
            <w:shd w:val="clear" w:color="auto" w:fill="auto"/>
            <w:noWrap/>
            <w:vAlign w:val="bottom"/>
            <w:hideMark/>
          </w:tcPr>
          <w:p w14:paraId="0B237696"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6A890107"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24F94DA6"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0B24A68F"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181679D8"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629" w:type="dxa"/>
            <w:tcBorders>
              <w:top w:val="nil"/>
              <w:left w:val="nil"/>
              <w:bottom w:val="nil"/>
              <w:right w:val="nil"/>
            </w:tcBorders>
            <w:shd w:val="clear" w:color="auto" w:fill="auto"/>
            <w:noWrap/>
            <w:vAlign w:val="bottom"/>
            <w:hideMark/>
          </w:tcPr>
          <w:p w14:paraId="314D084B"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708" w:type="dxa"/>
            <w:tcBorders>
              <w:top w:val="nil"/>
              <w:left w:val="nil"/>
              <w:bottom w:val="nil"/>
              <w:right w:val="nil"/>
            </w:tcBorders>
            <w:shd w:val="clear" w:color="auto" w:fill="auto"/>
            <w:noWrap/>
            <w:vAlign w:val="bottom"/>
            <w:hideMark/>
          </w:tcPr>
          <w:p w14:paraId="73440141"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709" w:type="dxa"/>
            <w:tcBorders>
              <w:top w:val="nil"/>
              <w:left w:val="nil"/>
              <w:bottom w:val="nil"/>
              <w:right w:val="nil"/>
            </w:tcBorders>
            <w:shd w:val="clear" w:color="auto" w:fill="auto"/>
            <w:noWrap/>
            <w:vAlign w:val="bottom"/>
            <w:hideMark/>
          </w:tcPr>
          <w:p w14:paraId="12F11CEB"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46EF120D"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5C945CC8"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42B83940"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1276" w:type="dxa"/>
            <w:tcBorders>
              <w:top w:val="nil"/>
              <w:left w:val="nil"/>
              <w:bottom w:val="nil"/>
              <w:right w:val="nil"/>
            </w:tcBorders>
            <w:shd w:val="clear" w:color="auto" w:fill="auto"/>
            <w:noWrap/>
            <w:vAlign w:val="bottom"/>
            <w:hideMark/>
          </w:tcPr>
          <w:p w14:paraId="307928DD" w14:textId="77777777" w:rsidR="00297720" w:rsidRPr="00020C88" w:rsidRDefault="00297720" w:rsidP="00297720">
            <w:pPr>
              <w:spacing w:after="0" w:line="240" w:lineRule="auto"/>
              <w:jc w:val="right"/>
              <w:rPr>
                <w:rFonts w:ascii="Times New Roman" w:hAnsi="Times New Roman"/>
                <w:sz w:val="18"/>
                <w:szCs w:val="18"/>
                <w:lang w:eastAsia="sk-SK"/>
              </w:rPr>
            </w:pPr>
          </w:p>
        </w:tc>
      </w:tr>
      <w:tr w:rsidR="000C10F9" w:rsidRPr="00020C88" w14:paraId="642D9CE7" w14:textId="77777777" w:rsidTr="00B86229">
        <w:trPr>
          <w:trHeight w:val="290"/>
        </w:trPr>
        <w:tc>
          <w:tcPr>
            <w:tcW w:w="11624" w:type="dxa"/>
            <w:gridSpan w:val="17"/>
            <w:tcBorders>
              <w:top w:val="nil"/>
              <w:left w:val="nil"/>
              <w:bottom w:val="nil"/>
            </w:tcBorders>
            <w:shd w:val="clear" w:color="auto" w:fill="auto"/>
            <w:noWrap/>
            <w:vAlign w:val="bottom"/>
            <w:hideMark/>
          </w:tcPr>
          <w:p w14:paraId="3F9221F5" w14:textId="32B173DD" w:rsidR="000C10F9" w:rsidRPr="00020C88" w:rsidRDefault="000C10F9" w:rsidP="00297720">
            <w:pPr>
              <w:spacing w:after="0" w:line="240" w:lineRule="auto"/>
              <w:rPr>
                <w:rFonts w:ascii="Times New Roman" w:hAnsi="Times New Roman"/>
                <w:sz w:val="18"/>
                <w:szCs w:val="18"/>
                <w:lang w:eastAsia="sk-SK"/>
              </w:rPr>
            </w:pPr>
            <w:r w:rsidRPr="00020C88">
              <w:rPr>
                <w:rFonts w:ascii="Times New Roman" w:hAnsi="Times New Roman"/>
                <w:b/>
                <w:bCs/>
                <w:color w:val="000000"/>
                <w:sz w:val="18"/>
                <w:szCs w:val="18"/>
                <w:lang w:eastAsia="sk-SK"/>
              </w:rPr>
              <w:t>b) Úhrada za lôžkodeň - príjmy poskytovateľov v roku 2017 (zdroje VZP+dotácie) a návrh úhrady bez zmeny legislatívy + 5% medziročný nárast, mzdový automat</w:t>
            </w:r>
          </w:p>
        </w:tc>
      </w:tr>
      <w:tr w:rsidR="000C10F9" w:rsidRPr="00020C88" w14:paraId="44F54153" w14:textId="77777777" w:rsidTr="00B86229">
        <w:trPr>
          <w:trHeight w:val="290"/>
        </w:trPr>
        <w:tc>
          <w:tcPr>
            <w:tcW w:w="184" w:type="dxa"/>
            <w:tcBorders>
              <w:top w:val="nil"/>
              <w:left w:val="nil"/>
              <w:bottom w:val="nil"/>
              <w:right w:val="nil"/>
            </w:tcBorders>
            <w:shd w:val="clear" w:color="000000" w:fill="DBDBDB"/>
            <w:noWrap/>
            <w:vAlign w:val="bottom"/>
            <w:hideMark/>
          </w:tcPr>
          <w:p w14:paraId="44E92F25"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2225"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0C2877E"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664" w:type="dxa"/>
            <w:tcBorders>
              <w:top w:val="single" w:sz="4" w:space="0" w:color="auto"/>
              <w:left w:val="nil"/>
              <w:bottom w:val="single" w:sz="4" w:space="0" w:color="auto"/>
              <w:right w:val="single" w:sz="4" w:space="0" w:color="auto"/>
            </w:tcBorders>
            <w:shd w:val="clear" w:color="000000" w:fill="DBDBDB"/>
            <w:noWrap/>
            <w:vAlign w:val="bottom"/>
            <w:hideMark/>
          </w:tcPr>
          <w:p w14:paraId="01D4B994"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718" w:type="dxa"/>
            <w:tcBorders>
              <w:top w:val="single" w:sz="4" w:space="0" w:color="auto"/>
              <w:left w:val="nil"/>
              <w:bottom w:val="single" w:sz="4" w:space="0" w:color="auto"/>
              <w:right w:val="single" w:sz="4" w:space="0" w:color="auto"/>
            </w:tcBorders>
            <w:shd w:val="clear" w:color="000000" w:fill="DBDBDB"/>
            <w:noWrap/>
            <w:vAlign w:val="bottom"/>
            <w:hideMark/>
          </w:tcPr>
          <w:p w14:paraId="58E01D35"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590" w:type="dxa"/>
            <w:tcBorders>
              <w:top w:val="single" w:sz="4" w:space="0" w:color="auto"/>
              <w:left w:val="nil"/>
              <w:bottom w:val="single" w:sz="4" w:space="0" w:color="auto"/>
              <w:right w:val="single" w:sz="4" w:space="0" w:color="auto"/>
            </w:tcBorders>
            <w:shd w:val="clear" w:color="000000" w:fill="DBDBDB"/>
            <w:noWrap/>
            <w:vAlign w:val="bottom"/>
            <w:hideMark/>
          </w:tcPr>
          <w:p w14:paraId="28CD6E2C"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6C085863"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1733B5F8"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35D8A311"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52F490F3"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2023</w:t>
            </w:r>
          </w:p>
        </w:tc>
        <w:tc>
          <w:tcPr>
            <w:tcW w:w="629" w:type="dxa"/>
            <w:tcBorders>
              <w:top w:val="single" w:sz="4" w:space="0" w:color="auto"/>
              <w:left w:val="nil"/>
              <w:bottom w:val="single" w:sz="4" w:space="0" w:color="auto"/>
              <w:right w:val="single" w:sz="4" w:space="0" w:color="auto"/>
            </w:tcBorders>
            <w:shd w:val="clear" w:color="000000" w:fill="DBDBDB"/>
            <w:noWrap/>
            <w:vAlign w:val="bottom"/>
            <w:hideMark/>
          </w:tcPr>
          <w:p w14:paraId="0B69A8F3"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2024</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6F83309D"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16ECFC09"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2026</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1C8DA8A2"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2027</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018B0DA5"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2028</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4E972EA9"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2029</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18E5DA52"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2030</w:t>
            </w:r>
          </w:p>
        </w:tc>
      </w:tr>
      <w:tr w:rsidR="000C10F9" w:rsidRPr="00020C88" w14:paraId="3668E3A4" w14:textId="77777777" w:rsidTr="00B86229">
        <w:trPr>
          <w:trHeight w:val="290"/>
        </w:trPr>
        <w:tc>
          <w:tcPr>
            <w:tcW w:w="184" w:type="dxa"/>
            <w:tcBorders>
              <w:top w:val="nil"/>
              <w:left w:val="nil"/>
              <w:bottom w:val="nil"/>
              <w:right w:val="nil"/>
            </w:tcBorders>
            <w:shd w:val="clear" w:color="auto" w:fill="auto"/>
            <w:noWrap/>
            <w:vAlign w:val="bottom"/>
            <w:hideMark/>
          </w:tcPr>
          <w:p w14:paraId="0FD7D636"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418CE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ošetrovateľská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7BC7C8CB"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45 € </w:t>
            </w:r>
          </w:p>
        </w:tc>
        <w:tc>
          <w:tcPr>
            <w:tcW w:w="718" w:type="dxa"/>
            <w:tcBorders>
              <w:top w:val="nil"/>
              <w:left w:val="nil"/>
              <w:bottom w:val="single" w:sz="4" w:space="0" w:color="auto"/>
              <w:right w:val="single" w:sz="4" w:space="0" w:color="auto"/>
            </w:tcBorders>
            <w:shd w:val="clear" w:color="auto" w:fill="auto"/>
            <w:noWrap/>
            <w:vAlign w:val="bottom"/>
            <w:hideMark/>
          </w:tcPr>
          <w:p w14:paraId="3A6F012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49 € </w:t>
            </w:r>
          </w:p>
        </w:tc>
        <w:tc>
          <w:tcPr>
            <w:tcW w:w="590" w:type="dxa"/>
            <w:tcBorders>
              <w:top w:val="nil"/>
              <w:left w:val="nil"/>
              <w:bottom w:val="single" w:sz="4" w:space="0" w:color="auto"/>
              <w:right w:val="single" w:sz="4" w:space="0" w:color="auto"/>
            </w:tcBorders>
            <w:shd w:val="clear" w:color="auto" w:fill="auto"/>
            <w:noWrap/>
            <w:vAlign w:val="bottom"/>
            <w:hideMark/>
          </w:tcPr>
          <w:p w14:paraId="4F8BA369"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52 € </w:t>
            </w:r>
          </w:p>
        </w:tc>
        <w:tc>
          <w:tcPr>
            <w:tcW w:w="555" w:type="dxa"/>
            <w:tcBorders>
              <w:top w:val="nil"/>
              <w:left w:val="nil"/>
              <w:bottom w:val="single" w:sz="4" w:space="0" w:color="auto"/>
              <w:right w:val="single" w:sz="4" w:space="0" w:color="auto"/>
            </w:tcBorders>
            <w:shd w:val="clear" w:color="auto" w:fill="auto"/>
            <w:noWrap/>
            <w:vAlign w:val="bottom"/>
            <w:hideMark/>
          </w:tcPr>
          <w:p w14:paraId="3B08CB1C"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57 € </w:t>
            </w:r>
          </w:p>
        </w:tc>
        <w:tc>
          <w:tcPr>
            <w:tcW w:w="555" w:type="dxa"/>
            <w:tcBorders>
              <w:top w:val="nil"/>
              <w:left w:val="nil"/>
              <w:bottom w:val="single" w:sz="4" w:space="0" w:color="auto"/>
              <w:right w:val="single" w:sz="4" w:space="0" w:color="auto"/>
            </w:tcBorders>
            <w:shd w:val="clear" w:color="auto" w:fill="auto"/>
            <w:noWrap/>
            <w:vAlign w:val="bottom"/>
            <w:hideMark/>
          </w:tcPr>
          <w:p w14:paraId="5B64D473"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61 € </w:t>
            </w:r>
          </w:p>
        </w:tc>
        <w:tc>
          <w:tcPr>
            <w:tcW w:w="555" w:type="dxa"/>
            <w:tcBorders>
              <w:top w:val="nil"/>
              <w:left w:val="nil"/>
              <w:bottom w:val="single" w:sz="4" w:space="0" w:color="auto"/>
              <w:right w:val="single" w:sz="4" w:space="0" w:color="auto"/>
            </w:tcBorders>
            <w:shd w:val="clear" w:color="auto" w:fill="auto"/>
            <w:noWrap/>
            <w:vAlign w:val="bottom"/>
            <w:hideMark/>
          </w:tcPr>
          <w:p w14:paraId="4637337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66 € </w:t>
            </w:r>
          </w:p>
        </w:tc>
        <w:tc>
          <w:tcPr>
            <w:tcW w:w="555" w:type="dxa"/>
            <w:tcBorders>
              <w:top w:val="nil"/>
              <w:left w:val="nil"/>
              <w:bottom w:val="single" w:sz="4" w:space="0" w:color="auto"/>
              <w:right w:val="single" w:sz="4" w:space="0" w:color="auto"/>
            </w:tcBorders>
            <w:shd w:val="clear" w:color="auto" w:fill="auto"/>
            <w:noWrap/>
            <w:vAlign w:val="bottom"/>
            <w:hideMark/>
          </w:tcPr>
          <w:p w14:paraId="4EBE477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71 € </w:t>
            </w:r>
          </w:p>
        </w:tc>
        <w:tc>
          <w:tcPr>
            <w:tcW w:w="629" w:type="dxa"/>
            <w:tcBorders>
              <w:top w:val="nil"/>
              <w:left w:val="nil"/>
              <w:bottom w:val="single" w:sz="4" w:space="0" w:color="auto"/>
              <w:right w:val="single" w:sz="4" w:space="0" w:color="auto"/>
            </w:tcBorders>
            <w:shd w:val="clear" w:color="auto" w:fill="auto"/>
            <w:noWrap/>
            <w:vAlign w:val="bottom"/>
            <w:hideMark/>
          </w:tcPr>
          <w:p w14:paraId="74C8043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77 € </w:t>
            </w:r>
          </w:p>
        </w:tc>
        <w:tc>
          <w:tcPr>
            <w:tcW w:w="708" w:type="dxa"/>
            <w:tcBorders>
              <w:top w:val="nil"/>
              <w:left w:val="nil"/>
              <w:bottom w:val="single" w:sz="4" w:space="0" w:color="auto"/>
              <w:right w:val="single" w:sz="4" w:space="0" w:color="auto"/>
            </w:tcBorders>
            <w:shd w:val="clear" w:color="auto" w:fill="auto"/>
            <w:noWrap/>
            <w:vAlign w:val="bottom"/>
            <w:hideMark/>
          </w:tcPr>
          <w:p w14:paraId="385641A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83 € </w:t>
            </w:r>
          </w:p>
        </w:tc>
        <w:tc>
          <w:tcPr>
            <w:tcW w:w="709" w:type="dxa"/>
            <w:tcBorders>
              <w:top w:val="nil"/>
              <w:left w:val="nil"/>
              <w:bottom w:val="single" w:sz="4" w:space="0" w:color="auto"/>
              <w:right w:val="single" w:sz="4" w:space="0" w:color="auto"/>
            </w:tcBorders>
            <w:shd w:val="clear" w:color="auto" w:fill="auto"/>
            <w:noWrap/>
            <w:vAlign w:val="bottom"/>
            <w:hideMark/>
          </w:tcPr>
          <w:p w14:paraId="6021091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90 € </w:t>
            </w:r>
          </w:p>
        </w:tc>
        <w:tc>
          <w:tcPr>
            <w:tcW w:w="567" w:type="dxa"/>
            <w:tcBorders>
              <w:top w:val="nil"/>
              <w:left w:val="nil"/>
              <w:bottom w:val="single" w:sz="4" w:space="0" w:color="auto"/>
              <w:right w:val="single" w:sz="4" w:space="0" w:color="auto"/>
            </w:tcBorders>
            <w:shd w:val="clear" w:color="auto" w:fill="auto"/>
            <w:noWrap/>
            <w:vAlign w:val="bottom"/>
            <w:hideMark/>
          </w:tcPr>
          <w:p w14:paraId="6E65BEDE"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97 € </w:t>
            </w:r>
          </w:p>
        </w:tc>
        <w:tc>
          <w:tcPr>
            <w:tcW w:w="567" w:type="dxa"/>
            <w:tcBorders>
              <w:top w:val="nil"/>
              <w:left w:val="nil"/>
              <w:bottom w:val="single" w:sz="4" w:space="0" w:color="auto"/>
              <w:right w:val="single" w:sz="4" w:space="0" w:color="auto"/>
            </w:tcBorders>
            <w:shd w:val="clear" w:color="auto" w:fill="auto"/>
            <w:noWrap/>
            <w:vAlign w:val="bottom"/>
            <w:hideMark/>
          </w:tcPr>
          <w:p w14:paraId="505847D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105 € </w:t>
            </w:r>
          </w:p>
        </w:tc>
        <w:tc>
          <w:tcPr>
            <w:tcW w:w="567" w:type="dxa"/>
            <w:tcBorders>
              <w:top w:val="nil"/>
              <w:left w:val="nil"/>
              <w:bottom w:val="single" w:sz="4" w:space="0" w:color="auto"/>
              <w:right w:val="single" w:sz="4" w:space="0" w:color="auto"/>
            </w:tcBorders>
            <w:shd w:val="clear" w:color="auto" w:fill="auto"/>
            <w:noWrap/>
            <w:vAlign w:val="bottom"/>
            <w:hideMark/>
          </w:tcPr>
          <w:p w14:paraId="65C9641D"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113 € </w:t>
            </w:r>
          </w:p>
        </w:tc>
        <w:tc>
          <w:tcPr>
            <w:tcW w:w="1276" w:type="dxa"/>
            <w:tcBorders>
              <w:top w:val="nil"/>
              <w:left w:val="nil"/>
              <w:bottom w:val="single" w:sz="4" w:space="0" w:color="auto"/>
              <w:right w:val="single" w:sz="4" w:space="0" w:color="auto"/>
            </w:tcBorders>
            <w:shd w:val="clear" w:color="auto" w:fill="auto"/>
            <w:noWrap/>
            <w:vAlign w:val="bottom"/>
            <w:hideMark/>
          </w:tcPr>
          <w:p w14:paraId="7A12984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122 € </w:t>
            </w:r>
          </w:p>
        </w:tc>
      </w:tr>
      <w:tr w:rsidR="000C10F9" w:rsidRPr="00020C88" w14:paraId="69A1C2F6" w14:textId="77777777" w:rsidTr="00B86229">
        <w:trPr>
          <w:trHeight w:val="290"/>
        </w:trPr>
        <w:tc>
          <w:tcPr>
            <w:tcW w:w="184" w:type="dxa"/>
            <w:tcBorders>
              <w:top w:val="nil"/>
              <w:left w:val="nil"/>
              <w:bottom w:val="nil"/>
              <w:right w:val="nil"/>
            </w:tcBorders>
            <w:shd w:val="clear" w:color="auto" w:fill="auto"/>
            <w:noWrap/>
            <w:vAlign w:val="bottom"/>
            <w:hideMark/>
          </w:tcPr>
          <w:p w14:paraId="70F1CA31" w14:textId="77777777" w:rsidR="00297720" w:rsidRPr="00020C88" w:rsidRDefault="00297720" w:rsidP="00297720">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E69BD0"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hospicová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57F41E2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50 € </w:t>
            </w:r>
          </w:p>
        </w:tc>
        <w:tc>
          <w:tcPr>
            <w:tcW w:w="718" w:type="dxa"/>
            <w:tcBorders>
              <w:top w:val="nil"/>
              <w:left w:val="nil"/>
              <w:bottom w:val="single" w:sz="4" w:space="0" w:color="auto"/>
              <w:right w:val="single" w:sz="4" w:space="0" w:color="auto"/>
            </w:tcBorders>
            <w:shd w:val="clear" w:color="auto" w:fill="auto"/>
            <w:noWrap/>
            <w:vAlign w:val="bottom"/>
            <w:hideMark/>
          </w:tcPr>
          <w:p w14:paraId="4B35A2B9"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53 € </w:t>
            </w:r>
          </w:p>
        </w:tc>
        <w:tc>
          <w:tcPr>
            <w:tcW w:w="590" w:type="dxa"/>
            <w:tcBorders>
              <w:top w:val="nil"/>
              <w:left w:val="nil"/>
              <w:bottom w:val="single" w:sz="4" w:space="0" w:color="auto"/>
              <w:right w:val="single" w:sz="4" w:space="0" w:color="auto"/>
            </w:tcBorders>
            <w:shd w:val="clear" w:color="auto" w:fill="auto"/>
            <w:noWrap/>
            <w:vAlign w:val="bottom"/>
            <w:hideMark/>
          </w:tcPr>
          <w:p w14:paraId="63B063E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55 € </w:t>
            </w:r>
          </w:p>
        </w:tc>
        <w:tc>
          <w:tcPr>
            <w:tcW w:w="555" w:type="dxa"/>
            <w:tcBorders>
              <w:top w:val="nil"/>
              <w:left w:val="nil"/>
              <w:bottom w:val="single" w:sz="4" w:space="0" w:color="auto"/>
              <w:right w:val="single" w:sz="4" w:space="0" w:color="auto"/>
            </w:tcBorders>
            <w:shd w:val="clear" w:color="auto" w:fill="auto"/>
            <w:noWrap/>
            <w:vAlign w:val="bottom"/>
            <w:hideMark/>
          </w:tcPr>
          <w:p w14:paraId="00F586D0" w14:textId="77777777" w:rsidR="00297720" w:rsidRPr="00020C88" w:rsidRDefault="00297720" w:rsidP="00297720">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59 € </w:t>
            </w:r>
          </w:p>
        </w:tc>
        <w:tc>
          <w:tcPr>
            <w:tcW w:w="555" w:type="dxa"/>
            <w:tcBorders>
              <w:top w:val="nil"/>
              <w:left w:val="nil"/>
              <w:bottom w:val="single" w:sz="4" w:space="0" w:color="auto"/>
              <w:right w:val="single" w:sz="4" w:space="0" w:color="auto"/>
            </w:tcBorders>
            <w:shd w:val="clear" w:color="auto" w:fill="auto"/>
            <w:noWrap/>
            <w:vAlign w:val="bottom"/>
            <w:hideMark/>
          </w:tcPr>
          <w:p w14:paraId="664190A2" w14:textId="77777777" w:rsidR="00297720" w:rsidRPr="00020C88" w:rsidRDefault="00297720" w:rsidP="00297720">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64 € </w:t>
            </w:r>
          </w:p>
        </w:tc>
        <w:tc>
          <w:tcPr>
            <w:tcW w:w="555" w:type="dxa"/>
            <w:tcBorders>
              <w:top w:val="nil"/>
              <w:left w:val="nil"/>
              <w:bottom w:val="single" w:sz="4" w:space="0" w:color="auto"/>
              <w:right w:val="single" w:sz="4" w:space="0" w:color="auto"/>
            </w:tcBorders>
            <w:shd w:val="clear" w:color="auto" w:fill="auto"/>
            <w:noWrap/>
            <w:vAlign w:val="bottom"/>
            <w:hideMark/>
          </w:tcPr>
          <w:p w14:paraId="7C568418" w14:textId="77777777" w:rsidR="00297720" w:rsidRPr="00020C88" w:rsidRDefault="00297720" w:rsidP="00297720">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69 € </w:t>
            </w:r>
          </w:p>
        </w:tc>
        <w:tc>
          <w:tcPr>
            <w:tcW w:w="555" w:type="dxa"/>
            <w:tcBorders>
              <w:top w:val="nil"/>
              <w:left w:val="nil"/>
              <w:bottom w:val="single" w:sz="4" w:space="0" w:color="auto"/>
              <w:right w:val="single" w:sz="4" w:space="0" w:color="auto"/>
            </w:tcBorders>
            <w:shd w:val="clear" w:color="auto" w:fill="auto"/>
            <w:noWrap/>
            <w:vAlign w:val="bottom"/>
            <w:hideMark/>
          </w:tcPr>
          <w:p w14:paraId="1E1691F2" w14:textId="77777777" w:rsidR="00297720" w:rsidRPr="00020C88" w:rsidRDefault="00297720" w:rsidP="00297720">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75 € </w:t>
            </w:r>
          </w:p>
        </w:tc>
        <w:tc>
          <w:tcPr>
            <w:tcW w:w="629" w:type="dxa"/>
            <w:tcBorders>
              <w:top w:val="nil"/>
              <w:left w:val="nil"/>
              <w:bottom w:val="single" w:sz="4" w:space="0" w:color="auto"/>
              <w:right w:val="single" w:sz="4" w:space="0" w:color="auto"/>
            </w:tcBorders>
            <w:shd w:val="clear" w:color="auto" w:fill="auto"/>
            <w:noWrap/>
            <w:vAlign w:val="bottom"/>
            <w:hideMark/>
          </w:tcPr>
          <w:p w14:paraId="62E9A2E4" w14:textId="77777777" w:rsidR="00297720" w:rsidRPr="00020C88" w:rsidRDefault="00297720" w:rsidP="00297720">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81 € </w:t>
            </w:r>
          </w:p>
        </w:tc>
        <w:tc>
          <w:tcPr>
            <w:tcW w:w="708" w:type="dxa"/>
            <w:tcBorders>
              <w:top w:val="nil"/>
              <w:left w:val="nil"/>
              <w:bottom w:val="single" w:sz="4" w:space="0" w:color="auto"/>
              <w:right w:val="single" w:sz="4" w:space="0" w:color="auto"/>
            </w:tcBorders>
            <w:shd w:val="clear" w:color="auto" w:fill="auto"/>
            <w:noWrap/>
            <w:vAlign w:val="bottom"/>
            <w:hideMark/>
          </w:tcPr>
          <w:p w14:paraId="381AE496" w14:textId="77777777" w:rsidR="00297720" w:rsidRPr="00020C88" w:rsidRDefault="00297720" w:rsidP="00297720">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87 € </w:t>
            </w:r>
          </w:p>
        </w:tc>
        <w:tc>
          <w:tcPr>
            <w:tcW w:w="709" w:type="dxa"/>
            <w:tcBorders>
              <w:top w:val="nil"/>
              <w:left w:val="nil"/>
              <w:bottom w:val="single" w:sz="4" w:space="0" w:color="auto"/>
              <w:right w:val="single" w:sz="4" w:space="0" w:color="auto"/>
            </w:tcBorders>
            <w:shd w:val="clear" w:color="auto" w:fill="auto"/>
            <w:noWrap/>
            <w:vAlign w:val="bottom"/>
            <w:hideMark/>
          </w:tcPr>
          <w:p w14:paraId="7AC02D93" w14:textId="77777777" w:rsidR="00297720" w:rsidRPr="00020C88" w:rsidRDefault="00297720" w:rsidP="00297720">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94 € </w:t>
            </w:r>
          </w:p>
        </w:tc>
        <w:tc>
          <w:tcPr>
            <w:tcW w:w="567" w:type="dxa"/>
            <w:tcBorders>
              <w:top w:val="nil"/>
              <w:left w:val="nil"/>
              <w:bottom w:val="single" w:sz="4" w:space="0" w:color="auto"/>
              <w:right w:val="single" w:sz="4" w:space="0" w:color="auto"/>
            </w:tcBorders>
            <w:shd w:val="clear" w:color="auto" w:fill="auto"/>
            <w:noWrap/>
            <w:vAlign w:val="bottom"/>
            <w:hideMark/>
          </w:tcPr>
          <w:p w14:paraId="39A14D80" w14:textId="77777777" w:rsidR="00297720" w:rsidRPr="00020C88" w:rsidRDefault="00297720" w:rsidP="00297720">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102 € </w:t>
            </w:r>
          </w:p>
        </w:tc>
        <w:tc>
          <w:tcPr>
            <w:tcW w:w="567" w:type="dxa"/>
            <w:tcBorders>
              <w:top w:val="nil"/>
              <w:left w:val="nil"/>
              <w:bottom w:val="single" w:sz="4" w:space="0" w:color="auto"/>
              <w:right w:val="single" w:sz="4" w:space="0" w:color="auto"/>
            </w:tcBorders>
            <w:shd w:val="clear" w:color="auto" w:fill="auto"/>
            <w:noWrap/>
            <w:vAlign w:val="bottom"/>
            <w:hideMark/>
          </w:tcPr>
          <w:p w14:paraId="7C26ECF5" w14:textId="77777777" w:rsidR="00297720" w:rsidRPr="00020C88" w:rsidRDefault="00297720" w:rsidP="00297720">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110 € </w:t>
            </w:r>
          </w:p>
        </w:tc>
        <w:tc>
          <w:tcPr>
            <w:tcW w:w="567" w:type="dxa"/>
            <w:tcBorders>
              <w:top w:val="nil"/>
              <w:left w:val="nil"/>
              <w:bottom w:val="single" w:sz="4" w:space="0" w:color="auto"/>
              <w:right w:val="single" w:sz="4" w:space="0" w:color="auto"/>
            </w:tcBorders>
            <w:shd w:val="clear" w:color="auto" w:fill="auto"/>
            <w:noWrap/>
            <w:vAlign w:val="bottom"/>
            <w:hideMark/>
          </w:tcPr>
          <w:p w14:paraId="7C5D5B73" w14:textId="77777777" w:rsidR="00297720" w:rsidRPr="00020C88" w:rsidRDefault="00297720" w:rsidP="00297720">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119 € </w:t>
            </w:r>
          </w:p>
        </w:tc>
        <w:tc>
          <w:tcPr>
            <w:tcW w:w="1276" w:type="dxa"/>
            <w:tcBorders>
              <w:top w:val="nil"/>
              <w:left w:val="nil"/>
              <w:bottom w:val="single" w:sz="4" w:space="0" w:color="auto"/>
              <w:right w:val="single" w:sz="4" w:space="0" w:color="auto"/>
            </w:tcBorders>
            <w:shd w:val="clear" w:color="auto" w:fill="auto"/>
            <w:noWrap/>
            <w:vAlign w:val="bottom"/>
            <w:hideMark/>
          </w:tcPr>
          <w:p w14:paraId="248A5313" w14:textId="77777777" w:rsidR="00297720" w:rsidRPr="00020C88" w:rsidRDefault="00297720" w:rsidP="00297720">
            <w:pPr>
              <w:spacing w:after="0" w:line="240" w:lineRule="auto"/>
              <w:rPr>
                <w:rFonts w:ascii="Times New Roman" w:hAnsi="Times New Roman"/>
                <w:sz w:val="18"/>
                <w:szCs w:val="18"/>
                <w:lang w:eastAsia="sk-SK"/>
              </w:rPr>
            </w:pPr>
            <w:r w:rsidRPr="00020C88">
              <w:rPr>
                <w:rFonts w:ascii="Times New Roman" w:hAnsi="Times New Roman"/>
                <w:sz w:val="18"/>
                <w:szCs w:val="18"/>
                <w:lang w:eastAsia="sk-SK"/>
              </w:rPr>
              <w:t xml:space="preserve">            128 € </w:t>
            </w:r>
          </w:p>
        </w:tc>
      </w:tr>
      <w:tr w:rsidR="000C10F9" w:rsidRPr="00020C88" w14:paraId="48560618" w14:textId="77777777" w:rsidTr="00B86229">
        <w:trPr>
          <w:trHeight w:val="290"/>
        </w:trPr>
        <w:tc>
          <w:tcPr>
            <w:tcW w:w="184" w:type="dxa"/>
            <w:tcBorders>
              <w:top w:val="nil"/>
              <w:left w:val="nil"/>
              <w:bottom w:val="nil"/>
              <w:right w:val="nil"/>
            </w:tcBorders>
            <w:shd w:val="clear" w:color="auto" w:fill="auto"/>
            <w:noWrap/>
            <w:vAlign w:val="bottom"/>
            <w:hideMark/>
          </w:tcPr>
          <w:p w14:paraId="7DC14702" w14:textId="77777777" w:rsidR="00297720" w:rsidRPr="00020C88" w:rsidRDefault="00297720" w:rsidP="00297720">
            <w:pPr>
              <w:spacing w:after="0" w:line="240" w:lineRule="auto"/>
              <w:rPr>
                <w:rFonts w:ascii="Times New Roman" w:hAnsi="Times New Roman"/>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CE0A4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paliatívna medicína</w:t>
            </w:r>
          </w:p>
        </w:tc>
        <w:tc>
          <w:tcPr>
            <w:tcW w:w="664" w:type="dxa"/>
            <w:tcBorders>
              <w:top w:val="nil"/>
              <w:left w:val="nil"/>
              <w:bottom w:val="single" w:sz="4" w:space="0" w:color="auto"/>
              <w:right w:val="single" w:sz="4" w:space="0" w:color="auto"/>
            </w:tcBorders>
            <w:shd w:val="clear" w:color="auto" w:fill="auto"/>
            <w:noWrap/>
            <w:vAlign w:val="bottom"/>
            <w:hideMark/>
          </w:tcPr>
          <w:p w14:paraId="4D6DAEBF"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61 € </w:t>
            </w:r>
          </w:p>
        </w:tc>
        <w:tc>
          <w:tcPr>
            <w:tcW w:w="718" w:type="dxa"/>
            <w:tcBorders>
              <w:top w:val="nil"/>
              <w:left w:val="nil"/>
              <w:bottom w:val="single" w:sz="4" w:space="0" w:color="auto"/>
              <w:right w:val="single" w:sz="4" w:space="0" w:color="auto"/>
            </w:tcBorders>
            <w:shd w:val="clear" w:color="auto" w:fill="auto"/>
            <w:noWrap/>
            <w:vAlign w:val="bottom"/>
            <w:hideMark/>
          </w:tcPr>
          <w:p w14:paraId="03D5A49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66 € </w:t>
            </w:r>
          </w:p>
        </w:tc>
        <w:tc>
          <w:tcPr>
            <w:tcW w:w="590" w:type="dxa"/>
            <w:tcBorders>
              <w:top w:val="nil"/>
              <w:left w:val="nil"/>
              <w:bottom w:val="single" w:sz="4" w:space="0" w:color="auto"/>
              <w:right w:val="single" w:sz="4" w:space="0" w:color="auto"/>
            </w:tcBorders>
            <w:shd w:val="clear" w:color="auto" w:fill="auto"/>
            <w:noWrap/>
            <w:vAlign w:val="bottom"/>
            <w:hideMark/>
          </w:tcPr>
          <w:p w14:paraId="3617E81B"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71 € </w:t>
            </w:r>
          </w:p>
        </w:tc>
        <w:tc>
          <w:tcPr>
            <w:tcW w:w="555" w:type="dxa"/>
            <w:tcBorders>
              <w:top w:val="nil"/>
              <w:left w:val="nil"/>
              <w:bottom w:val="single" w:sz="4" w:space="0" w:color="auto"/>
              <w:right w:val="single" w:sz="4" w:space="0" w:color="auto"/>
            </w:tcBorders>
            <w:shd w:val="clear" w:color="auto" w:fill="auto"/>
            <w:noWrap/>
            <w:vAlign w:val="bottom"/>
            <w:hideMark/>
          </w:tcPr>
          <w:p w14:paraId="4E3036F0"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77 € </w:t>
            </w:r>
          </w:p>
        </w:tc>
        <w:tc>
          <w:tcPr>
            <w:tcW w:w="555" w:type="dxa"/>
            <w:tcBorders>
              <w:top w:val="nil"/>
              <w:left w:val="nil"/>
              <w:bottom w:val="single" w:sz="4" w:space="0" w:color="auto"/>
              <w:right w:val="single" w:sz="4" w:space="0" w:color="auto"/>
            </w:tcBorders>
            <w:shd w:val="clear" w:color="auto" w:fill="auto"/>
            <w:noWrap/>
            <w:vAlign w:val="bottom"/>
            <w:hideMark/>
          </w:tcPr>
          <w:p w14:paraId="2AB87AF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83 € </w:t>
            </w:r>
          </w:p>
        </w:tc>
        <w:tc>
          <w:tcPr>
            <w:tcW w:w="555" w:type="dxa"/>
            <w:tcBorders>
              <w:top w:val="nil"/>
              <w:left w:val="nil"/>
              <w:bottom w:val="single" w:sz="4" w:space="0" w:color="auto"/>
              <w:right w:val="single" w:sz="4" w:space="0" w:color="auto"/>
            </w:tcBorders>
            <w:shd w:val="clear" w:color="auto" w:fill="auto"/>
            <w:noWrap/>
            <w:vAlign w:val="bottom"/>
            <w:hideMark/>
          </w:tcPr>
          <w:p w14:paraId="02513CA8"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90 € </w:t>
            </w:r>
          </w:p>
        </w:tc>
        <w:tc>
          <w:tcPr>
            <w:tcW w:w="555" w:type="dxa"/>
            <w:tcBorders>
              <w:top w:val="nil"/>
              <w:left w:val="nil"/>
              <w:bottom w:val="single" w:sz="4" w:space="0" w:color="auto"/>
              <w:right w:val="single" w:sz="4" w:space="0" w:color="auto"/>
            </w:tcBorders>
            <w:shd w:val="clear" w:color="auto" w:fill="auto"/>
            <w:noWrap/>
            <w:vAlign w:val="bottom"/>
            <w:hideMark/>
          </w:tcPr>
          <w:p w14:paraId="0190A8FD"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97 € </w:t>
            </w:r>
          </w:p>
        </w:tc>
        <w:tc>
          <w:tcPr>
            <w:tcW w:w="629" w:type="dxa"/>
            <w:tcBorders>
              <w:top w:val="nil"/>
              <w:left w:val="nil"/>
              <w:bottom w:val="single" w:sz="4" w:space="0" w:color="auto"/>
              <w:right w:val="single" w:sz="4" w:space="0" w:color="auto"/>
            </w:tcBorders>
            <w:shd w:val="clear" w:color="auto" w:fill="auto"/>
            <w:noWrap/>
            <w:vAlign w:val="bottom"/>
            <w:hideMark/>
          </w:tcPr>
          <w:p w14:paraId="25AFAEFB"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105 € </w:t>
            </w:r>
          </w:p>
        </w:tc>
        <w:tc>
          <w:tcPr>
            <w:tcW w:w="708" w:type="dxa"/>
            <w:tcBorders>
              <w:top w:val="nil"/>
              <w:left w:val="nil"/>
              <w:bottom w:val="single" w:sz="4" w:space="0" w:color="auto"/>
              <w:right w:val="single" w:sz="4" w:space="0" w:color="auto"/>
            </w:tcBorders>
            <w:shd w:val="clear" w:color="auto" w:fill="auto"/>
            <w:noWrap/>
            <w:vAlign w:val="bottom"/>
            <w:hideMark/>
          </w:tcPr>
          <w:p w14:paraId="5FD89F1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113 € </w:t>
            </w:r>
          </w:p>
        </w:tc>
        <w:tc>
          <w:tcPr>
            <w:tcW w:w="709" w:type="dxa"/>
            <w:tcBorders>
              <w:top w:val="nil"/>
              <w:left w:val="nil"/>
              <w:bottom w:val="single" w:sz="4" w:space="0" w:color="auto"/>
              <w:right w:val="single" w:sz="4" w:space="0" w:color="auto"/>
            </w:tcBorders>
            <w:shd w:val="clear" w:color="auto" w:fill="auto"/>
            <w:noWrap/>
            <w:vAlign w:val="bottom"/>
            <w:hideMark/>
          </w:tcPr>
          <w:p w14:paraId="145BAF6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122 € </w:t>
            </w:r>
          </w:p>
        </w:tc>
        <w:tc>
          <w:tcPr>
            <w:tcW w:w="567" w:type="dxa"/>
            <w:tcBorders>
              <w:top w:val="nil"/>
              <w:left w:val="nil"/>
              <w:bottom w:val="single" w:sz="4" w:space="0" w:color="auto"/>
              <w:right w:val="single" w:sz="4" w:space="0" w:color="auto"/>
            </w:tcBorders>
            <w:shd w:val="clear" w:color="auto" w:fill="auto"/>
            <w:noWrap/>
            <w:vAlign w:val="bottom"/>
            <w:hideMark/>
          </w:tcPr>
          <w:p w14:paraId="1C64B838"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132 € </w:t>
            </w:r>
          </w:p>
        </w:tc>
        <w:tc>
          <w:tcPr>
            <w:tcW w:w="567" w:type="dxa"/>
            <w:tcBorders>
              <w:top w:val="nil"/>
              <w:left w:val="nil"/>
              <w:bottom w:val="single" w:sz="4" w:space="0" w:color="auto"/>
              <w:right w:val="single" w:sz="4" w:space="0" w:color="auto"/>
            </w:tcBorders>
            <w:shd w:val="clear" w:color="auto" w:fill="auto"/>
            <w:noWrap/>
            <w:vAlign w:val="bottom"/>
            <w:hideMark/>
          </w:tcPr>
          <w:p w14:paraId="5EFBFFD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142 € </w:t>
            </w:r>
          </w:p>
        </w:tc>
        <w:tc>
          <w:tcPr>
            <w:tcW w:w="567" w:type="dxa"/>
            <w:tcBorders>
              <w:top w:val="nil"/>
              <w:left w:val="nil"/>
              <w:bottom w:val="single" w:sz="4" w:space="0" w:color="auto"/>
              <w:right w:val="single" w:sz="4" w:space="0" w:color="auto"/>
            </w:tcBorders>
            <w:shd w:val="clear" w:color="auto" w:fill="auto"/>
            <w:noWrap/>
            <w:vAlign w:val="bottom"/>
            <w:hideMark/>
          </w:tcPr>
          <w:p w14:paraId="0493414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154 € </w:t>
            </w:r>
          </w:p>
        </w:tc>
        <w:tc>
          <w:tcPr>
            <w:tcW w:w="1276" w:type="dxa"/>
            <w:tcBorders>
              <w:top w:val="nil"/>
              <w:left w:val="nil"/>
              <w:bottom w:val="single" w:sz="4" w:space="0" w:color="auto"/>
              <w:right w:val="single" w:sz="4" w:space="0" w:color="auto"/>
            </w:tcBorders>
            <w:shd w:val="clear" w:color="auto" w:fill="auto"/>
            <w:noWrap/>
            <w:vAlign w:val="bottom"/>
            <w:hideMark/>
          </w:tcPr>
          <w:p w14:paraId="203C675C"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166 € </w:t>
            </w:r>
          </w:p>
        </w:tc>
      </w:tr>
      <w:tr w:rsidR="000C10F9" w:rsidRPr="00020C88" w14:paraId="6B42A326" w14:textId="77777777" w:rsidTr="00B86229">
        <w:trPr>
          <w:trHeight w:val="290"/>
        </w:trPr>
        <w:tc>
          <w:tcPr>
            <w:tcW w:w="184" w:type="dxa"/>
            <w:tcBorders>
              <w:top w:val="nil"/>
              <w:left w:val="nil"/>
              <w:bottom w:val="nil"/>
              <w:right w:val="nil"/>
            </w:tcBorders>
            <w:shd w:val="clear" w:color="auto" w:fill="auto"/>
            <w:noWrap/>
            <w:vAlign w:val="bottom"/>
            <w:hideMark/>
          </w:tcPr>
          <w:p w14:paraId="2734A01C" w14:textId="77777777" w:rsidR="00297720" w:rsidRPr="00020C88" w:rsidRDefault="00297720" w:rsidP="00297720">
            <w:pPr>
              <w:spacing w:after="0" w:line="240" w:lineRule="auto"/>
              <w:rPr>
                <w:rFonts w:ascii="Times New Roman" w:hAnsi="Times New Roman"/>
                <w:color w:val="000000"/>
                <w:sz w:val="18"/>
                <w:szCs w:val="18"/>
                <w:lang w:eastAsia="sk-SK"/>
              </w:rPr>
            </w:pPr>
          </w:p>
        </w:tc>
        <w:tc>
          <w:tcPr>
            <w:tcW w:w="2225" w:type="dxa"/>
            <w:gridSpan w:val="2"/>
            <w:tcBorders>
              <w:top w:val="nil"/>
              <w:left w:val="nil"/>
              <w:bottom w:val="nil"/>
              <w:right w:val="nil"/>
            </w:tcBorders>
            <w:shd w:val="clear" w:color="auto" w:fill="auto"/>
            <w:noWrap/>
            <w:vAlign w:val="bottom"/>
            <w:hideMark/>
          </w:tcPr>
          <w:p w14:paraId="28EF2066" w14:textId="77777777" w:rsidR="00297720" w:rsidRPr="00020C88" w:rsidRDefault="00297720" w:rsidP="00297720">
            <w:pPr>
              <w:spacing w:after="0" w:line="240" w:lineRule="auto"/>
              <w:rPr>
                <w:rFonts w:ascii="Times New Roman" w:hAnsi="Times New Roman"/>
                <w:sz w:val="18"/>
                <w:szCs w:val="18"/>
                <w:lang w:eastAsia="sk-SK"/>
              </w:rPr>
            </w:pPr>
          </w:p>
        </w:tc>
        <w:tc>
          <w:tcPr>
            <w:tcW w:w="664" w:type="dxa"/>
            <w:tcBorders>
              <w:top w:val="nil"/>
              <w:left w:val="nil"/>
              <w:bottom w:val="nil"/>
              <w:right w:val="nil"/>
            </w:tcBorders>
            <w:shd w:val="clear" w:color="auto" w:fill="auto"/>
            <w:noWrap/>
            <w:vAlign w:val="bottom"/>
            <w:hideMark/>
          </w:tcPr>
          <w:p w14:paraId="78BAB4CE" w14:textId="77777777" w:rsidR="00297720" w:rsidRPr="00020C88" w:rsidRDefault="00297720" w:rsidP="00297720">
            <w:pPr>
              <w:spacing w:after="0" w:line="240" w:lineRule="auto"/>
              <w:rPr>
                <w:rFonts w:ascii="Times New Roman" w:hAnsi="Times New Roman"/>
                <w:sz w:val="18"/>
                <w:szCs w:val="18"/>
                <w:lang w:eastAsia="sk-SK"/>
              </w:rPr>
            </w:pPr>
          </w:p>
        </w:tc>
        <w:tc>
          <w:tcPr>
            <w:tcW w:w="718" w:type="dxa"/>
            <w:tcBorders>
              <w:top w:val="nil"/>
              <w:left w:val="nil"/>
              <w:bottom w:val="nil"/>
              <w:right w:val="nil"/>
            </w:tcBorders>
            <w:shd w:val="clear" w:color="auto" w:fill="auto"/>
            <w:noWrap/>
            <w:vAlign w:val="bottom"/>
            <w:hideMark/>
          </w:tcPr>
          <w:p w14:paraId="2DB7352E"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90" w:type="dxa"/>
            <w:tcBorders>
              <w:top w:val="nil"/>
              <w:left w:val="nil"/>
              <w:bottom w:val="nil"/>
              <w:right w:val="nil"/>
            </w:tcBorders>
            <w:shd w:val="clear" w:color="auto" w:fill="auto"/>
            <w:noWrap/>
            <w:vAlign w:val="bottom"/>
            <w:hideMark/>
          </w:tcPr>
          <w:p w14:paraId="687FE061"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0CCFCBB3"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1AC63911"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41880D01"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1B67B250"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629" w:type="dxa"/>
            <w:tcBorders>
              <w:top w:val="nil"/>
              <w:left w:val="nil"/>
              <w:bottom w:val="nil"/>
              <w:right w:val="nil"/>
            </w:tcBorders>
            <w:shd w:val="clear" w:color="auto" w:fill="auto"/>
            <w:noWrap/>
            <w:vAlign w:val="bottom"/>
            <w:hideMark/>
          </w:tcPr>
          <w:p w14:paraId="74305D75"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708" w:type="dxa"/>
            <w:tcBorders>
              <w:top w:val="nil"/>
              <w:left w:val="nil"/>
              <w:bottom w:val="nil"/>
              <w:right w:val="nil"/>
            </w:tcBorders>
            <w:shd w:val="clear" w:color="auto" w:fill="auto"/>
            <w:noWrap/>
            <w:vAlign w:val="bottom"/>
            <w:hideMark/>
          </w:tcPr>
          <w:p w14:paraId="7E7E4CC2"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709" w:type="dxa"/>
            <w:tcBorders>
              <w:top w:val="nil"/>
              <w:left w:val="nil"/>
              <w:bottom w:val="nil"/>
              <w:right w:val="nil"/>
            </w:tcBorders>
            <w:shd w:val="clear" w:color="auto" w:fill="auto"/>
            <w:noWrap/>
            <w:vAlign w:val="bottom"/>
            <w:hideMark/>
          </w:tcPr>
          <w:p w14:paraId="4E53A709"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7A3BE825"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6745D883"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7D900A34" w14:textId="77777777" w:rsidR="00297720" w:rsidRPr="00020C88" w:rsidRDefault="00297720" w:rsidP="00297720">
            <w:pPr>
              <w:spacing w:after="0" w:line="240" w:lineRule="auto"/>
              <w:jc w:val="right"/>
              <w:rPr>
                <w:rFonts w:ascii="Times New Roman" w:hAnsi="Times New Roman"/>
                <w:sz w:val="18"/>
                <w:szCs w:val="18"/>
                <w:lang w:eastAsia="sk-SK"/>
              </w:rPr>
            </w:pPr>
          </w:p>
        </w:tc>
        <w:tc>
          <w:tcPr>
            <w:tcW w:w="1276" w:type="dxa"/>
            <w:tcBorders>
              <w:top w:val="nil"/>
              <w:left w:val="nil"/>
              <w:bottom w:val="nil"/>
              <w:right w:val="nil"/>
            </w:tcBorders>
            <w:shd w:val="clear" w:color="auto" w:fill="auto"/>
            <w:noWrap/>
            <w:vAlign w:val="bottom"/>
            <w:hideMark/>
          </w:tcPr>
          <w:p w14:paraId="19E46D52" w14:textId="77777777" w:rsidR="00297720" w:rsidRPr="00020C88" w:rsidRDefault="00297720" w:rsidP="00297720">
            <w:pPr>
              <w:spacing w:after="0" w:line="240" w:lineRule="auto"/>
              <w:jc w:val="right"/>
              <w:rPr>
                <w:rFonts w:ascii="Times New Roman" w:hAnsi="Times New Roman"/>
                <w:sz w:val="18"/>
                <w:szCs w:val="18"/>
                <w:lang w:eastAsia="sk-SK"/>
              </w:rPr>
            </w:pPr>
          </w:p>
        </w:tc>
      </w:tr>
      <w:tr w:rsidR="000C10F9" w:rsidRPr="00020C88" w14:paraId="20177880" w14:textId="77777777" w:rsidTr="00B86229">
        <w:trPr>
          <w:trHeight w:val="290"/>
        </w:trPr>
        <w:tc>
          <w:tcPr>
            <w:tcW w:w="11624" w:type="dxa"/>
            <w:gridSpan w:val="17"/>
            <w:tcBorders>
              <w:top w:val="nil"/>
              <w:left w:val="nil"/>
              <w:bottom w:val="nil"/>
            </w:tcBorders>
            <w:shd w:val="clear" w:color="auto" w:fill="auto"/>
            <w:noWrap/>
            <w:vAlign w:val="bottom"/>
            <w:hideMark/>
          </w:tcPr>
          <w:p w14:paraId="363EBE4E" w14:textId="7F748109" w:rsidR="000C10F9" w:rsidRPr="00020C88" w:rsidRDefault="000C10F9" w:rsidP="00297720">
            <w:pPr>
              <w:spacing w:after="0" w:line="240" w:lineRule="auto"/>
              <w:rPr>
                <w:rFonts w:ascii="Times New Roman" w:hAnsi="Times New Roman"/>
                <w:sz w:val="18"/>
                <w:szCs w:val="18"/>
                <w:lang w:eastAsia="sk-SK"/>
              </w:rPr>
            </w:pPr>
            <w:r w:rsidRPr="00020C88">
              <w:rPr>
                <w:rFonts w:ascii="Times New Roman" w:hAnsi="Times New Roman"/>
                <w:b/>
                <w:bCs/>
                <w:color w:val="000000"/>
                <w:sz w:val="18"/>
                <w:szCs w:val="18"/>
                <w:lang w:eastAsia="sk-SK"/>
              </w:rPr>
              <w:t>c) Úhrada za lôžkodeň - príjmy poskytovateľov v roku 2017 (zdroje VZP+dotácie) a návrh optimálnej úhrady na pokrytie prevádzkových nákladov od 2020 + 5% medziročný nárast, mzdový automat</w:t>
            </w:r>
          </w:p>
        </w:tc>
      </w:tr>
      <w:tr w:rsidR="000C10F9" w:rsidRPr="00020C88" w14:paraId="61D2DE22" w14:textId="77777777" w:rsidTr="00B86229">
        <w:trPr>
          <w:trHeight w:val="290"/>
        </w:trPr>
        <w:tc>
          <w:tcPr>
            <w:tcW w:w="184" w:type="dxa"/>
            <w:tcBorders>
              <w:top w:val="nil"/>
              <w:left w:val="nil"/>
              <w:bottom w:val="nil"/>
              <w:right w:val="nil"/>
            </w:tcBorders>
            <w:shd w:val="clear" w:color="000000" w:fill="DBDBDB"/>
            <w:noWrap/>
            <w:vAlign w:val="bottom"/>
            <w:hideMark/>
          </w:tcPr>
          <w:p w14:paraId="3F7688E3"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2225"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16E43C2"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664" w:type="dxa"/>
            <w:tcBorders>
              <w:top w:val="single" w:sz="4" w:space="0" w:color="auto"/>
              <w:left w:val="nil"/>
              <w:bottom w:val="single" w:sz="4" w:space="0" w:color="auto"/>
              <w:right w:val="single" w:sz="4" w:space="0" w:color="auto"/>
            </w:tcBorders>
            <w:shd w:val="clear" w:color="000000" w:fill="DBDBDB"/>
            <w:noWrap/>
            <w:vAlign w:val="bottom"/>
            <w:hideMark/>
          </w:tcPr>
          <w:p w14:paraId="3E2A3468"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718" w:type="dxa"/>
            <w:tcBorders>
              <w:top w:val="single" w:sz="4" w:space="0" w:color="auto"/>
              <w:left w:val="nil"/>
              <w:bottom w:val="single" w:sz="4" w:space="0" w:color="auto"/>
              <w:right w:val="single" w:sz="4" w:space="0" w:color="auto"/>
            </w:tcBorders>
            <w:shd w:val="clear" w:color="000000" w:fill="DBDBDB"/>
            <w:noWrap/>
            <w:vAlign w:val="bottom"/>
            <w:hideMark/>
          </w:tcPr>
          <w:p w14:paraId="742945D5"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590" w:type="dxa"/>
            <w:tcBorders>
              <w:top w:val="single" w:sz="4" w:space="0" w:color="auto"/>
              <w:left w:val="nil"/>
              <w:bottom w:val="single" w:sz="4" w:space="0" w:color="auto"/>
              <w:right w:val="single" w:sz="4" w:space="0" w:color="auto"/>
            </w:tcBorders>
            <w:shd w:val="clear" w:color="000000" w:fill="DBDBDB"/>
            <w:noWrap/>
            <w:vAlign w:val="bottom"/>
            <w:hideMark/>
          </w:tcPr>
          <w:p w14:paraId="6E68E43A"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49087BFB"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65893036"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5B0B7443"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617816B7"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2023</w:t>
            </w:r>
          </w:p>
        </w:tc>
        <w:tc>
          <w:tcPr>
            <w:tcW w:w="629" w:type="dxa"/>
            <w:tcBorders>
              <w:top w:val="single" w:sz="4" w:space="0" w:color="auto"/>
              <w:left w:val="nil"/>
              <w:bottom w:val="single" w:sz="4" w:space="0" w:color="auto"/>
              <w:right w:val="single" w:sz="4" w:space="0" w:color="auto"/>
            </w:tcBorders>
            <w:shd w:val="clear" w:color="000000" w:fill="DBDBDB"/>
            <w:noWrap/>
            <w:vAlign w:val="bottom"/>
            <w:hideMark/>
          </w:tcPr>
          <w:p w14:paraId="570C454B"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2024</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0CCB2DC8"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69A81BD5"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2026</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7140B3D6"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2027</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5A400370"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2028</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64D0D2B3"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2029</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3A301643"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2030</w:t>
            </w:r>
          </w:p>
        </w:tc>
      </w:tr>
      <w:tr w:rsidR="000C10F9" w:rsidRPr="00020C88" w14:paraId="28DB55C0" w14:textId="77777777" w:rsidTr="00B86229">
        <w:trPr>
          <w:trHeight w:val="290"/>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0975D"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w:t>
            </w:r>
          </w:p>
        </w:tc>
        <w:tc>
          <w:tcPr>
            <w:tcW w:w="2225" w:type="dxa"/>
            <w:gridSpan w:val="2"/>
            <w:tcBorders>
              <w:top w:val="nil"/>
              <w:left w:val="nil"/>
              <w:bottom w:val="single" w:sz="4" w:space="0" w:color="auto"/>
              <w:right w:val="single" w:sz="4" w:space="0" w:color="auto"/>
            </w:tcBorders>
            <w:shd w:val="clear" w:color="auto" w:fill="auto"/>
            <w:noWrap/>
            <w:vAlign w:val="bottom"/>
            <w:hideMark/>
          </w:tcPr>
          <w:p w14:paraId="38DBC2E5"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ošetrovateľská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61D0AB9F"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45 € </w:t>
            </w:r>
          </w:p>
        </w:tc>
        <w:tc>
          <w:tcPr>
            <w:tcW w:w="718" w:type="dxa"/>
            <w:tcBorders>
              <w:top w:val="nil"/>
              <w:left w:val="nil"/>
              <w:bottom w:val="single" w:sz="4" w:space="0" w:color="auto"/>
              <w:right w:val="single" w:sz="4" w:space="0" w:color="auto"/>
            </w:tcBorders>
            <w:shd w:val="clear" w:color="auto" w:fill="auto"/>
            <w:noWrap/>
            <w:vAlign w:val="bottom"/>
            <w:hideMark/>
          </w:tcPr>
          <w:p w14:paraId="1D54EA33"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49 € </w:t>
            </w:r>
          </w:p>
        </w:tc>
        <w:tc>
          <w:tcPr>
            <w:tcW w:w="590" w:type="dxa"/>
            <w:tcBorders>
              <w:top w:val="nil"/>
              <w:left w:val="nil"/>
              <w:bottom w:val="single" w:sz="4" w:space="0" w:color="auto"/>
              <w:right w:val="single" w:sz="4" w:space="0" w:color="auto"/>
            </w:tcBorders>
            <w:shd w:val="clear" w:color="auto" w:fill="auto"/>
            <w:noWrap/>
            <w:vAlign w:val="bottom"/>
            <w:hideMark/>
          </w:tcPr>
          <w:p w14:paraId="5DA96E88"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52 € </w:t>
            </w:r>
          </w:p>
        </w:tc>
        <w:tc>
          <w:tcPr>
            <w:tcW w:w="555" w:type="dxa"/>
            <w:tcBorders>
              <w:top w:val="nil"/>
              <w:left w:val="nil"/>
              <w:bottom w:val="single" w:sz="4" w:space="0" w:color="auto"/>
              <w:right w:val="single" w:sz="4" w:space="0" w:color="auto"/>
            </w:tcBorders>
            <w:shd w:val="clear" w:color="auto" w:fill="auto"/>
            <w:noWrap/>
            <w:vAlign w:val="bottom"/>
            <w:hideMark/>
          </w:tcPr>
          <w:p w14:paraId="4802469A" w14:textId="77777777" w:rsidR="00297720" w:rsidRPr="00020C88" w:rsidRDefault="00297720" w:rsidP="00297720">
            <w:pPr>
              <w:spacing w:after="0" w:line="240" w:lineRule="auto"/>
              <w:rPr>
                <w:rFonts w:ascii="Times New Roman" w:hAnsi="Times New Roman"/>
                <w:color w:val="FF0000"/>
                <w:sz w:val="18"/>
                <w:szCs w:val="18"/>
                <w:lang w:eastAsia="sk-SK"/>
              </w:rPr>
            </w:pPr>
            <w:r w:rsidRPr="00020C88">
              <w:rPr>
                <w:rFonts w:ascii="Times New Roman" w:hAnsi="Times New Roman"/>
                <w:color w:val="FF0000"/>
                <w:sz w:val="18"/>
                <w:szCs w:val="18"/>
                <w:lang w:eastAsia="sk-SK"/>
              </w:rPr>
              <w:t xml:space="preserve">                  65 € </w:t>
            </w:r>
          </w:p>
        </w:tc>
        <w:tc>
          <w:tcPr>
            <w:tcW w:w="555" w:type="dxa"/>
            <w:tcBorders>
              <w:top w:val="nil"/>
              <w:left w:val="nil"/>
              <w:bottom w:val="single" w:sz="4" w:space="0" w:color="auto"/>
              <w:right w:val="single" w:sz="4" w:space="0" w:color="auto"/>
            </w:tcBorders>
            <w:shd w:val="clear" w:color="auto" w:fill="auto"/>
            <w:noWrap/>
            <w:vAlign w:val="bottom"/>
            <w:hideMark/>
          </w:tcPr>
          <w:p w14:paraId="1A5B4AB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68 € </w:t>
            </w:r>
          </w:p>
        </w:tc>
        <w:tc>
          <w:tcPr>
            <w:tcW w:w="555" w:type="dxa"/>
            <w:tcBorders>
              <w:top w:val="nil"/>
              <w:left w:val="nil"/>
              <w:bottom w:val="single" w:sz="4" w:space="0" w:color="auto"/>
              <w:right w:val="single" w:sz="4" w:space="0" w:color="auto"/>
            </w:tcBorders>
            <w:shd w:val="clear" w:color="auto" w:fill="auto"/>
            <w:noWrap/>
            <w:vAlign w:val="bottom"/>
            <w:hideMark/>
          </w:tcPr>
          <w:p w14:paraId="3B4D9D2E"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72 € </w:t>
            </w:r>
          </w:p>
        </w:tc>
        <w:tc>
          <w:tcPr>
            <w:tcW w:w="555" w:type="dxa"/>
            <w:tcBorders>
              <w:top w:val="nil"/>
              <w:left w:val="nil"/>
              <w:bottom w:val="single" w:sz="4" w:space="0" w:color="auto"/>
              <w:right w:val="single" w:sz="4" w:space="0" w:color="auto"/>
            </w:tcBorders>
            <w:shd w:val="clear" w:color="auto" w:fill="auto"/>
            <w:noWrap/>
            <w:vAlign w:val="bottom"/>
            <w:hideMark/>
          </w:tcPr>
          <w:p w14:paraId="2B93B39F"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75 € </w:t>
            </w:r>
          </w:p>
        </w:tc>
        <w:tc>
          <w:tcPr>
            <w:tcW w:w="629" w:type="dxa"/>
            <w:tcBorders>
              <w:top w:val="nil"/>
              <w:left w:val="nil"/>
              <w:bottom w:val="single" w:sz="4" w:space="0" w:color="auto"/>
              <w:right w:val="single" w:sz="4" w:space="0" w:color="auto"/>
            </w:tcBorders>
            <w:shd w:val="clear" w:color="auto" w:fill="auto"/>
            <w:noWrap/>
            <w:vAlign w:val="bottom"/>
            <w:hideMark/>
          </w:tcPr>
          <w:p w14:paraId="5C5EA04B"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79 € </w:t>
            </w:r>
          </w:p>
        </w:tc>
        <w:tc>
          <w:tcPr>
            <w:tcW w:w="708" w:type="dxa"/>
            <w:tcBorders>
              <w:top w:val="nil"/>
              <w:left w:val="nil"/>
              <w:bottom w:val="single" w:sz="4" w:space="0" w:color="auto"/>
              <w:right w:val="single" w:sz="4" w:space="0" w:color="auto"/>
            </w:tcBorders>
            <w:shd w:val="clear" w:color="auto" w:fill="auto"/>
            <w:noWrap/>
            <w:vAlign w:val="bottom"/>
            <w:hideMark/>
          </w:tcPr>
          <w:p w14:paraId="35384CA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83 € </w:t>
            </w:r>
          </w:p>
        </w:tc>
        <w:tc>
          <w:tcPr>
            <w:tcW w:w="709" w:type="dxa"/>
            <w:tcBorders>
              <w:top w:val="nil"/>
              <w:left w:val="nil"/>
              <w:bottom w:val="single" w:sz="4" w:space="0" w:color="auto"/>
              <w:right w:val="single" w:sz="4" w:space="0" w:color="auto"/>
            </w:tcBorders>
            <w:shd w:val="clear" w:color="auto" w:fill="auto"/>
            <w:noWrap/>
            <w:vAlign w:val="bottom"/>
            <w:hideMark/>
          </w:tcPr>
          <w:p w14:paraId="4BE1F36B"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87 € </w:t>
            </w:r>
          </w:p>
        </w:tc>
        <w:tc>
          <w:tcPr>
            <w:tcW w:w="567" w:type="dxa"/>
            <w:tcBorders>
              <w:top w:val="nil"/>
              <w:left w:val="nil"/>
              <w:bottom w:val="single" w:sz="4" w:space="0" w:color="auto"/>
              <w:right w:val="single" w:sz="4" w:space="0" w:color="auto"/>
            </w:tcBorders>
            <w:shd w:val="clear" w:color="auto" w:fill="auto"/>
            <w:noWrap/>
            <w:vAlign w:val="bottom"/>
            <w:hideMark/>
          </w:tcPr>
          <w:p w14:paraId="36442BA9"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91 € </w:t>
            </w:r>
          </w:p>
        </w:tc>
        <w:tc>
          <w:tcPr>
            <w:tcW w:w="567" w:type="dxa"/>
            <w:tcBorders>
              <w:top w:val="nil"/>
              <w:left w:val="nil"/>
              <w:bottom w:val="single" w:sz="4" w:space="0" w:color="auto"/>
              <w:right w:val="single" w:sz="4" w:space="0" w:color="auto"/>
            </w:tcBorders>
            <w:shd w:val="clear" w:color="auto" w:fill="auto"/>
            <w:noWrap/>
            <w:vAlign w:val="bottom"/>
            <w:hideMark/>
          </w:tcPr>
          <w:p w14:paraId="704BB96D"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96 € </w:t>
            </w:r>
          </w:p>
        </w:tc>
        <w:tc>
          <w:tcPr>
            <w:tcW w:w="567" w:type="dxa"/>
            <w:tcBorders>
              <w:top w:val="nil"/>
              <w:left w:val="nil"/>
              <w:bottom w:val="single" w:sz="4" w:space="0" w:color="auto"/>
              <w:right w:val="single" w:sz="4" w:space="0" w:color="auto"/>
            </w:tcBorders>
            <w:shd w:val="clear" w:color="auto" w:fill="auto"/>
            <w:noWrap/>
            <w:vAlign w:val="bottom"/>
            <w:hideMark/>
          </w:tcPr>
          <w:p w14:paraId="24156BEE"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101 € </w:t>
            </w:r>
          </w:p>
        </w:tc>
        <w:tc>
          <w:tcPr>
            <w:tcW w:w="1276" w:type="dxa"/>
            <w:tcBorders>
              <w:top w:val="nil"/>
              <w:left w:val="nil"/>
              <w:bottom w:val="single" w:sz="4" w:space="0" w:color="auto"/>
              <w:right w:val="single" w:sz="4" w:space="0" w:color="auto"/>
            </w:tcBorders>
            <w:shd w:val="clear" w:color="auto" w:fill="auto"/>
            <w:noWrap/>
            <w:vAlign w:val="bottom"/>
            <w:hideMark/>
          </w:tcPr>
          <w:p w14:paraId="64DA6180"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106 € </w:t>
            </w:r>
          </w:p>
        </w:tc>
      </w:tr>
      <w:tr w:rsidR="000C10F9" w:rsidRPr="00020C88" w14:paraId="1B40F165" w14:textId="77777777" w:rsidTr="00B86229">
        <w:trPr>
          <w:trHeight w:val="290"/>
        </w:trPr>
        <w:tc>
          <w:tcPr>
            <w:tcW w:w="184" w:type="dxa"/>
            <w:tcBorders>
              <w:top w:val="nil"/>
              <w:left w:val="nil"/>
              <w:bottom w:val="nil"/>
              <w:right w:val="nil"/>
            </w:tcBorders>
            <w:shd w:val="clear" w:color="auto" w:fill="auto"/>
            <w:noWrap/>
            <w:vAlign w:val="bottom"/>
            <w:hideMark/>
          </w:tcPr>
          <w:p w14:paraId="01756FF6" w14:textId="77777777" w:rsidR="00297720" w:rsidRPr="00020C88" w:rsidRDefault="00297720" w:rsidP="00297720">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54CF3E"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hospicová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7D9F2AB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50 € </w:t>
            </w:r>
          </w:p>
        </w:tc>
        <w:tc>
          <w:tcPr>
            <w:tcW w:w="718" w:type="dxa"/>
            <w:tcBorders>
              <w:top w:val="nil"/>
              <w:left w:val="nil"/>
              <w:bottom w:val="single" w:sz="4" w:space="0" w:color="auto"/>
              <w:right w:val="single" w:sz="4" w:space="0" w:color="auto"/>
            </w:tcBorders>
            <w:shd w:val="clear" w:color="auto" w:fill="auto"/>
            <w:noWrap/>
            <w:vAlign w:val="bottom"/>
            <w:hideMark/>
          </w:tcPr>
          <w:p w14:paraId="5E363509"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53 € </w:t>
            </w:r>
          </w:p>
        </w:tc>
        <w:tc>
          <w:tcPr>
            <w:tcW w:w="590" w:type="dxa"/>
            <w:tcBorders>
              <w:top w:val="nil"/>
              <w:left w:val="nil"/>
              <w:bottom w:val="single" w:sz="4" w:space="0" w:color="auto"/>
              <w:right w:val="single" w:sz="4" w:space="0" w:color="auto"/>
            </w:tcBorders>
            <w:shd w:val="clear" w:color="auto" w:fill="auto"/>
            <w:noWrap/>
            <w:vAlign w:val="bottom"/>
            <w:hideMark/>
          </w:tcPr>
          <w:p w14:paraId="609D833E"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55 € </w:t>
            </w:r>
          </w:p>
        </w:tc>
        <w:tc>
          <w:tcPr>
            <w:tcW w:w="555" w:type="dxa"/>
            <w:tcBorders>
              <w:top w:val="nil"/>
              <w:left w:val="nil"/>
              <w:bottom w:val="single" w:sz="4" w:space="0" w:color="auto"/>
              <w:right w:val="single" w:sz="4" w:space="0" w:color="auto"/>
            </w:tcBorders>
            <w:shd w:val="clear" w:color="auto" w:fill="auto"/>
            <w:noWrap/>
            <w:vAlign w:val="bottom"/>
            <w:hideMark/>
          </w:tcPr>
          <w:p w14:paraId="15C0CDB9" w14:textId="77777777" w:rsidR="00297720" w:rsidRPr="00020C88" w:rsidRDefault="00297720" w:rsidP="00297720">
            <w:pPr>
              <w:spacing w:after="0" w:line="240" w:lineRule="auto"/>
              <w:rPr>
                <w:rFonts w:ascii="Times New Roman" w:hAnsi="Times New Roman"/>
                <w:color w:val="FF0000"/>
                <w:sz w:val="18"/>
                <w:szCs w:val="18"/>
                <w:lang w:eastAsia="sk-SK"/>
              </w:rPr>
            </w:pPr>
            <w:r w:rsidRPr="00020C88">
              <w:rPr>
                <w:rFonts w:ascii="Times New Roman" w:hAnsi="Times New Roman"/>
                <w:color w:val="FF0000"/>
                <w:sz w:val="18"/>
                <w:szCs w:val="18"/>
                <w:lang w:eastAsia="sk-SK"/>
              </w:rPr>
              <w:t xml:space="preserve">                  85 € </w:t>
            </w:r>
          </w:p>
        </w:tc>
        <w:tc>
          <w:tcPr>
            <w:tcW w:w="555" w:type="dxa"/>
            <w:tcBorders>
              <w:top w:val="nil"/>
              <w:left w:val="nil"/>
              <w:bottom w:val="single" w:sz="4" w:space="0" w:color="auto"/>
              <w:right w:val="single" w:sz="4" w:space="0" w:color="auto"/>
            </w:tcBorders>
            <w:shd w:val="clear" w:color="auto" w:fill="auto"/>
            <w:noWrap/>
            <w:vAlign w:val="bottom"/>
            <w:hideMark/>
          </w:tcPr>
          <w:p w14:paraId="20A0F0C6"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89 € </w:t>
            </w:r>
          </w:p>
        </w:tc>
        <w:tc>
          <w:tcPr>
            <w:tcW w:w="555" w:type="dxa"/>
            <w:tcBorders>
              <w:top w:val="nil"/>
              <w:left w:val="nil"/>
              <w:bottom w:val="single" w:sz="4" w:space="0" w:color="auto"/>
              <w:right w:val="single" w:sz="4" w:space="0" w:color="auto"/>
            </w:tcBorders>
            <w:shd w:val="clear" w:color="auto" w:fill="auto"/>
            <w:noWrap/>
            <w:vAlign w:val="bottom"/>
            <w:hideMark/>
          </w:tcPr>
          <w:p w14:paraId="5941A91B"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94 € </w:t>
            </w:r>
          </w:p>
        </w:tc>
        <w:tc>
          <w:tcPr>
            <w:tcW w:w="555" w:type="dxa"/>
            <w:tcBorders>
              <w:top w:val="nil"/>
              <w:left w:val="nil"/>
              <w:bottom w:val="single" w:sz="4" w:space="0" w:color="auto"/>
              <w:right w:val="single" w:sz="4" w:space="0" w:color="auto"/>
            </w:tcBorders>
            <w:shd w:val="clear" w:color="auto" w:fill="auto"/>
            <w:noWrap/>
            <w:vAlign w:val="bottom"/>
            <w:hideMark/>
          </w:tcPr>
          <w:p w14:paraId="47014E18"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98 € </w:t>
            </w:r>
          </w:p>
        </w:tc>
        <w:tc>
          <w:tcPr>
            <w:tcW w:w="629" w:type="dxa"/>
            <w:tcBorders>
              <w:top w:val="nil"/>
              <w:left w:val="nil"/>
              <w:bottom w:val="single" w:sz="4" w:space="0" w:color="auto"/>
              <w:right w:val="single" w:sz="4" w:space="0" w:color="auto"/>
            </w:tcBorders>
            <w:shd w:val="clear" w:color="auto" w:fill="auto"/>
            <w:noWrap/>
            <w:vAlign w:val="bottom"/>
            <w:hideMark/>
          </w:tcPr>
          <w:p w14:paraId="181DCE08"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103 € </w:t>
            </w:r>
          </w:p>
        </w:tc>
        <w:tc>
          <w:tcPr>
            <w:tcW w:w="708" w:type="dxa"/>
            <w:tcBorders>
              <w:top w:val="nil"/>
              <w:left w:val="nil"/>
              <w:bottom w:val="single" w:sz="4" w:space="0" w:color="auto"/>
              <w:right w:val="single" w:sz="4" w:space="0" w:color="auto"/>
            </w:tcBorders>
            <w:shd w:val="clear" w:color="auto" w:fill="auto"/>
            <w:noWrap/>
            <w:vAlign w:val="bottom"/>
            <w:hideMark/>
          </w:tcPr>
          <w:p w14:paraId="4A75BE2E"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108 € </w:t>
            </w:r>
          </w:p>
        </w:tc>
        <w:tc>
          <w:tcPr>
            <w:tcW w:w="709" w:type="dxa"/>
            <w:tcBorders>
              <w:top w:val="nil"/>
              <w:left w:val="nil"/>
              <w:bottom w:val="single" w:sz="4" w:space="0" w:color="auto"/>
              <w:right w:val="single" w:sz="4" w:space="0" w:color="auto"/>
            </w:tcBorders>
            <w:shd w:val="clear" w:color="auto" w:fill="auto"/>
            <w:noWrap/>
            <w:vAlign w:val="bottom"/>
            <w:hideMark/>
          </w:tcPr>
          <w:p w14:paraId="220DCA2C"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114 € </w:t>
            </w:r>
          </w:p>
        </w:tc>
        <w:tc>
          <w:tcPr>
            <w:tcW w:w="567" w:type="dxa"/>
            <w:tcBorders>
              <w:top w:val="nil"/>
              <w:left w:val="nil"/>
              <w:bottom w:val="single" w:sz="4" w:space="0" w:color="auto"/>
              <w:right w:val="single" w:sz="4" w:space="0" w:color="auto"/>
            </w:tcBorders>
            <w:shd w:val="clear" w:color="auto" w:fill="auto"/>
            <w:noWrap/>
            <w:vAlign w:val="bottom"/>
            <w:hideMark/>
          </w:tcPr>
          <w:p w14:paraId="0611BD33"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120 € </w:t>
            </w:r>
          </w:p>
        </w:tc>
        <w:tc>
          <w:tcPr>
            <w:tcW w:w="567" w:type="dxa"/>
            <w:tcBorders>
              <w:top w:val="nil"/>
              <w:left w:val="nil"/>
              <w:bottom w:val="single" w:sz="4" w:space="0" w:color="auto"/>
              <w:right w:val="single" w:sz="4" w:space="0" w:color="auto"/>
            </w:tcBorders>
            <w:shd w:val="clear" w:color="auto" w:fill="auto"/>
            <w:noWrap/>
            <w:vAlign w:val="bottom"/>
            <w:hideMark/>
          </w:tcPr>
          <w:p w14:paraId="7193FE6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126 € </w:t>
            </w:r>
          </w:p>
        </w:tc>
        <w:tc>
          <w:tcPr>
            <w:tcW w:w="567" w:type="dxa"/>
            <w:tcBorders>
              <w:top w:val="nil"/>
              <w:left w:val="nil"/>
              <w:bottom w:val="single" w:sz="4" w:space="0" w:color="auto"/>
              <w:right w:val="single" w:sz="4" w:space="0" w:color="auto"/>
            </w:tcBorders>
            <w:shd w:val="clear" w:color="auto" w:fill="auto"/>
            <w:noWrap/>
            <w:vAlign w:val="bottom"/>
            <w:hideMark/>
          </w:tcPr>
          <w:p w14:paraId="5592B98F"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132 € </w:t>
            </w:r>
          </w:p>
        </w:tc>
        <w:tc>
          <w:tcPr>
            <w:tcW w:w="1276" w:type="dxa"/>
            <w:tcBorders>
              <w:top w:val="nil"/>
              <w:left w:val="nil"/>
              <w:bottom w:val="single" w:sz="4" w:space="0" w:color="auto"/>
              <w:right w:val="single" w:sz="4" w:space="0" w:color="auto"/>
            </w:tcBorders>
            <w:shd w:val="clear" w:color="auto" w:fill="auto"/>
            <w:noWrap/>
            <w:vAlign w:val="bottom"/>
            <w:hideMark/>
          </w:tcPr>
          <w:p w14:paraId="78E5998F"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138 € </w:t>
            </w:r>
          </w:p>
        </w:tc>
      </w:tr>
      <w:tr w:rsidR="000C10F9" w:rsidRPr="00020C88" w14:paraId="368C9BF4" w14:textId="77777777" w:rsidTr="00B86229">
        <w:trPr>
          <w:trHeight w:val="290"/>
        </w:trPr>
        <w:tc>
          <w:tcPr>
            <w:tcW w:w="184" w:type="dxa"/>
            <w:tcBorders>
              <w:top w:val="nil"/>
              <w:left w:val="nil"/>
              <w:bottom w:val="nil"/>
              <w:right w:val="nil"/>
            </w:tcBorders>
            <w:shd w:val="clear" w:color="auto" w:fill="auto"/>
            <w:noWrap/>
            <w:vAlign w:val="bottom"/>
            <w:hideMark/>
          </w:tcPr>
          <w:p w14:paraId="25797FA4" w14:textId="77777777" w:rsidR="00297720" w:rsidRPr="00020C88" w:rsidRDefault="00297720" w:rsidP="00297720">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228926"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paliatívna medicína</w:t>
            </w:r>
          </w:p>
        </w:tc>
        <w:tc>
          <w:tcPr>
            <w:tcW w:w="664" w:type="dxa"/>
            <w:tcBorders>
              <w:top w:val="nil"/>
              <w:left w:val="nil"/>
              <w:bottom w:val="single" w:sz="4" w:space="0" w:color="auto"/>
              <w:right w:val="single" w:sz="4" w:space="0" w:color="auto"/>
            </w:tcBorders>
            <w:shd w:val="clear" w:color="auto" w:fill="auto"/>
            <w:noWrap/>
            <w:vAlign w:val="bottom"/>
            <w:hideMark/>
          </w:tcPr>
          <w:p w14:paraId="64F45716"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61 € </w:t>
            </w:r>
          </w:p>
        </w:tc>
        <w:tc>
          <w:tcPr>
            <w:tcW w:w="718" w:type="dxa"/>
            <w:tcBorders>
              <w:top w:val="nil"/>
              <w:left w:val="nil"/>
              <w:bottom w:val="single" w:sz="4" w:space="0" w:color="auto"/>
              <w:right w:val="single" w:sz="4" w:space="0" w:color="auto"/>
            </w:tcBorders>
            <w:shd w:val="clear" w:color="auto" w:fill="auto"/>
            <w:noWrap/>
            <w:vAlign w:val="bottom"/>
            <w:hideMark/>
          </w:tcPr>
          <w:p w14:paraId="0CBDD07F"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66 € </w:t>
            </w:r>
          </w:p>
        </w:tc>
        <w:tc>
          <w:tcPr>
            <w:tcW w:w="590" w:type="dxa"/>
            <w:tcBorders>
              <w:top w:val="nil"/>
              <w:left w:val="nil"/>
              <w:bottom w:val="single" w:sz="4" w:space="0" w:color="auto"/>
              <w:right w:val="single" w:sz="4" w:space="0" w:color="auto"/>
            </w:tcBorders>
            <w:shd w:val="clear" w:color="auto" w:fill="auto"/>
            <w:noWrap/>
            <w:vAlign w:val="bottom"/>
            <w:hideMark/>
          </w:tcPr>
          <w:p w14:paraId="68F44205"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71 € </w:t>
            </w:r>
          </w:p>
        </w:tc>
        <w:tc>
          <w:tcPr>
            <w:tcW w:w="555" w:type="dxa"/>
            <w:tcBorders>
              <w:top w:val="nil"/>
              <w:left w:val="nil"/>
              <w:bottom w:val="single" w:sz="4" w:space="0" w:color="auto"/>
              <w:right w:val="single" w:sz="4" w:space="0" w:color="auto"/>
            </w:tcBorders>
            <w:shd w:val="clear" w:color="auto" w:fill="auto"/>
            <w:noWrap/>
            <w:vAlign w:val="bottom"/>
            <w:hideMark/>
          </w:tcPr>
          <w:p w14:paraId="7D95A842" w14:textId="77777777" w:rsidR="00297720" w:rsidRPr="00020C88" w:rsidRDefault="00297720" w:rsidP="00297720">
            <w:pPr>
              <w:spacing w:after="0" w:line="240" w:lineRule="auto"/>
              <w:rPr>
                <w:rFonts w:ascii="Times New Roman" w:hAnsi="Times New Roman"/>
                <w:color w:val="FF0000"/>
                <w:sz w:val="18"/>
                <w:szCs w:val="18"/>
                <w:lang w:eastAsia="sk-SK"/>
              </w:rPr>
            </w:pPr>
            <w:r w:rsidRPr="00020C88">
              <w:rPr>
                <w:rFonts w:ascii="Times New Roman" w:hAnsi="Times New Roman"/>
                <w:color w:val="FF0000"/>
                <w:sz w:val="18"/>
                <w:szCs w:val="18"/>
                <w:lang w:eastAsia="sk-SK"/>
              </w:rPr>
              <w:t xml:space="preserve">                  85 € </w:t>
            </w:r>
          </w:p>
        </w:tc>
        <w:tc>
          <w:tcPr>
            <w:tcW w:w="555" w:type="dxa"/>
            <w:tcBorders>
              <w:top w:val="nil"/>
              <w:left w:val="nil"/>
              <w:bottom w:val="single" w:sz="4" w:space="0" w:color="auto"/>
              <w:right w:val="single" w:sz="4" w:space="0" w:color="auto"/>
            </w:tcBorders>
            <w:shd w:val="clear" w:color="auto" w:fill="auto"/>
            <w:noWrap/>
            <w:vAlign w:val="bottom"/>
            <w:hideMark/>
          </w:tcPr>
          <w:p w14:paraId="7164E223"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89 € </w:t>
            </w:r>
          </w:p>
        </w:tc>
        <w:tc>
          <w:tcPr>
            <w:tcW w:w="555" w:type="dxa"/>
            <w:tcBorders>
              <w:top w:val="nil"/>
              <w:left w:val="nil"/>
              <w:bottom w:val="single" w:sz="4" w:space="0" w:color="auto"/>
              <w:right w:val="single" w:sz="4" w:space="0" w:color="auto"/>
            </w:tcBorders>
            <w:shd w:val="clear" w:color="auto" w:fill="auto"/>
            <w:noWrap/>
            <w:vAlign w:val="bottom"/>
            <w:hideMark/>
          </w:tcPr>
          <w:p w14:paraId="464443C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94 € </w:t>
            </w:r>
          </w:p>
        </w:tc>
        <w:tc>
          <w:tcPr>
            <w:tcW w:w="555" w:type="dxa"/>
            <w:tcBorders>
              <w:top w:val="nil"/>
              <w:left w:val="nil"/>
              <w:bottom w:val="single" w:sz="4" w:space="0" w:color="auto"/>
              <w:right w:val="single" w:sz="4" w:space="0" w:color="auto"/>
            </w:tcBorders>
            <w:shd w:val="clear" w:color="auto" w:fill="auto"/>
            <w:noWrap/>
            <w:vAlign w:val="bottom"/>
            <w:hideMark/>
          </w:tcPr>
          <w:p w14:paraId="43E96596"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98 € </w:t>
            </w:r>
          </w:p>
        </w:tc>
        <w:tc>
          <w:tcPr>
            <w:tcW w:w="629" w:type="dxa"/>
            <w:tcBorders>
              <w:top w:val="nil"/>
              <w:left w:val="nil"/>
              <w:bottom w:val="single" w:sz="4" w:space="0" w:color="auto"/>
              <w:right w:val="single" w:sz="4" w:space="0" w:color="auto"/>
            </w:tcBorders>
            <w:shd w:val="clear" w:color="auto" w:fill="auto"/>
            <w:noWrap/>
            <w:vAlign w:val="bottom"/>
            <w:hideMark/>
          </w:tcPr>
          <w:p w14:paraId="6BEB1716"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103 € </w:t>
            </w:r>
          </w:p>
        </w:tc>
        <w:tc>
          <w:tcPr>
            <w:tcW w:w="708" w:type="dxa"/>
            <w:tcBorders>
              <w:top w:val="nil"/>
              <w:left w:val="nil"/>
              <w:bottom w:val="single" w:sz="4" w:space="0" w:color="auto"/>
              <w:right w:val="single" w:sz="4" w:space="0" w:color="auto"/>
            </w:tcBorders>
            <w:shd w:val="clear" w:color="auto" w:fill="auto"/>
            <w:noWrap/>
            <w:vAlign w:val="bottom"/>
            <w:hideMark/>
          </w:tcPr>
          <w:p w14:paraId="34E1A0E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108 € </w:t>
            </w:r>
          </w:p>
        </w:tc>
        <w:tc>
          <w:tcPr>
            <w:tcW w:w="709" w:type="dxa"/>
            <w:tcBorders>
              <w:top w:val="nil"/>
              <w:left w:val="nil"/>
              <w:bottom w:val="single" w:sz="4" w:space="0" w:color="auto"/>
              <w:right w:val="single" w:sz="4" w:space="0" w:color="auto"/>
            </w:tcBorders>
            <w:shd w:val="clear" w:color="auto" w:fill="auto"/>
            <w:noWrap/>
            <w:vAlign w:val="bottom"/>
            <w:hideMark/>
          </w:tcPr>
          <w:p w14:paraId="4EE685C6"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114 € </w:t>
            </w:r>
          </w:p>
        </w:tc>
        <w:tc>
          <w:tcPr>
            <w:tcW w:w="567" w:type="dxa"/>
            <w:tcBorders>
              <w:top w:val="nil"/>
              <w:left w:val="nil"/>
              <w:bottom w:val="single" w:sz="4" w:space="0" w:color="auto"/>
              <w:right w:val="single" w:sz="4" w:space="0" w:color="auto"/>
            </w:tcBorders>
            <w:shd w:val="clear" w:color="auto" w:fill="auto"/>
            <w:noWrap/>
            <w:vAlign w:val="bottom"/>
            <w:hideMark/>
          </w:tcPr>
          <w:p w14:paraId="7CA6DE2F"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120 € </w:t>
            </w:r>
          </w:p>
        </w:tc>
        <w:tc>
          <w:tcPr>
            <w:tcW w:w="567" w:type="dxa"/>
            <w:tcBorders>
              <w:top w:val="nil"/>
              <w:left w:val="nil"/>
              <w:bottom w:val="single" w:sz="4" w:space="0" w:color="auto"/>
              <w:right w:val="single" w:sz="4" w:space="0" w:color="auto"/>
            </w:tcBorders>
            <w:shd w:val="clear" w:color="auto" w:fill="auto"/>
            <w:noWrap/>
            <w:vAlign w:val="bottom"/>
            <w:hideMark/>
          </w:tcPr>
          <w:p w14:paraId="28A6A870"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126 € </w:t>
            </w:r>
          </w:p>
        </w:tc>
        <w:tc>
          <w:tcPr>
            <w:tcW w:w="567" w:type="dxa"/>
            <w:tcBorders>
              <w:top w:val="nil"/>
              <w:left w:val="nil"/>
              <w:bottom w:val="single" w:sz="4" w:space="0" w:color="auto"/>
              <w:right w:val="single" w:sz="4" w:space="0" w:color="auto"/>
            </w:tcBorders>
            <w:shd w:val="clear" w:color="auto" w:fill="auto"/>
            <w:noWrap/>
            <w:vAlign w:val="bottom"/>
            <w:hideMark/>
          </w:tcPr>
          <w:p w14:paraId="1C9891CD"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132 € </w:t>
            </w:r>
          </w:p>
        </w:tc>
        <w:tc>
          <w:tcPr>
            <w:tcW w:w="1276" w:type="dxa"/>
            <w:tcBorders>
              <w:top w:val="nil"/>
              <w:left w:val="nil"/>
              <w:bottom w:val="single" w:sz="4" w:space="0" w:color="auto"/>
              <w:right w:val="single" w:sz="4" w:space="0" w:color="auto"/>
            </w:tcBorders>
            <w:shd w:val="clear" w:color="auto" w:fill="auto"/>
            <w:noWrap/>
            <w:vAlign w:val="bottom"/>
            <w:hideMark/>
          </w:tcPr>
          <w:p w14:paraId="241E3965"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138 € </w:t>
            </w:r>
          </w:p>
        </w:tc>
      </w:tr>
      <w:tr w:rsidR="000C10F9" w:rsidRPr="00020C88" w14:paraId="20E29DA0" w14:textId="77777777" w:rsidTr="00B86229">
        <w:trPr>
          <w:trHeight w:val="290"/>
        </w:trPr>
        <w:tc>
          <w:tcPr>
            <w:tcW w:w="184" w:type="dxa"/>
            <w:tcBorders>
              <w:top w:val="nil"/>
              <w:left w:val="nil"/>
              <w:bottom w:val="nil"/>
              <w:right w:val="nil"/>
            </w:tcBorders>
            <w:shd w:val="clear" w:color="auto" w:fill="auto"/>
            <w:noWrap/>
            <w:vAlign w:val="bottom"/>
            <w:hideMark/>
          </w:tcPr>
          <w:p w14:paraId="4B47A553" w14:textId="77777777" w:rsidR="00297720" w:rsidRPr="00020C88" w:rsidRDefault="00297720" w:rsidP="00297720">
            <w:pPr>
              <w:spacing w:after="0" w:line="240" w:lineRule="auto"/>
              <w:rPr>
                <w:rFonts w:ascii="Times New Roman" w:hAnsi="Times New Roman"/>
                <w:color w:val="000000"/>
                <w:sz w:val="18"/>
                <w:szCs w:val="18"/>
                <w:lang w:eastAsia="sk-SK"/>
              </w:rPr>
            </w:pPr>
          </w:p>
        </w:tc>
        <w:tc>
          <w:tcPr>
            <w:tcW w:w="2225" w:type="dxa"/>
            <w:gridSpan w:val="2"/>
            <w:tcBorders>
              <w:top w:val="nil"/>
              <w:left w:val="nil"/>
              <w:bottom w:val="nil"/>
              <w:right w:val="nil"/>
            </w:tcBorders>
            <w:shd w:val="clear" w:color="auto" w:fill="auto"/>
            <w:noWrap/>
            <w:vAlign w:val="bottom"/>
            <w:hideMark/>
          </w:tcPr>
          <w:p w14:paraId="169E3826" w14:textId="77777777" w:rsidR="00297720" w:rsidRPr="00020C88" w:rsidRDefault="00297720" w:rsidP="00297720">
            <w:pPr>
              <w:spacing w:after="0" w:line="240" w:lineRule="auto"/>
              <w:rPr>
                <w:rFonts w:ascii="Times New Roman" w:hAnsi="Times New Roman"/>
                <w:sz w:val="18"/>
                <w:szCs w:val="18"/>
                <w:lang w:eastAsia="sk-SK"/>
              </w:rPr>
            </w:pPr>
          </w:p>
        </w:tc>
        <w:tc>
          <w:tcPr>
            <w:tcW w:w="664" w:type="dxa"/>
            <w:tcBorders>
              <w:top w:val="nil"/>
              <w:left w:val="nil"/>
              <w:bottom w:val="nil"/>
              <w:right w:val="nil"/>
            </w:tcBorders>
            <w:shd w:val="clear" w:color="auto" w:fill="auto"/>
            <w:noWrap/>
            <w:vAlign w:val="bottom"/>
            <w:hideMark/>
          </w:tcPr>
          <w:p w14:paraId="4EDCB8DC" w14:textId="77777777" w:rsidR="00297720" w:rsidRPr="00020C88" w:rsidRDefault="00297720" w:rsidP="00297720">
            <w:pPr>
              <w:spacing w:after="0" w:line="240" w:lineRule="auto"/>
              <w:rPr>
                <w:rFonts w:ascii="Times New Roman" w:hAnsi="Times New Roman"/>
                <w:sz w:val="18"/>
                <w:szCs w:val="18"/>
                <w:lang w:eastAsia="sk-SK"/>
              </w:rPr>
            </w:pPr>
          </w:p>
        </w:tc>
        <w:tc>
          <w:tcPr>
            <w:tcW w:w="718" w:type="dxa"/>
            <w:tcBorders>
              <w:top w:val="nil"/>
              <w:left w:val="nil"/>
              <w:bottom w:val="nil"/>
              <w:right w:val="nil"/>
            </w:tcBorders>
            <w:shd w:val="clear" w:color="auto" w:fill="auto"/>
            <w:noWrap/>
            <w:vAlign w:val="bottom"/>
            <w:hideMark/>
          </w:tcPr>
          <w:p w14:paraId="04ACAC76" w14:textId="77777777" w:rsidR="00297720" w:rsidRPr="00020C88" w:rsidRDefault="00297720" w:rsidP="00297720">
            <w:pPr>
              <w:spacing w:after="0" w:line="240" w:lineRule="auto"/>
              <w:rPr>
                <w:rFonts w:ascii="Times New Roman" w:hAnsi="Times New Roman"/>
                <w:sz w:val="18"/>
                <w:szCs w:val="18"/>
                <w:lang w:eastAsia="sk-SK"/>
              </w:rPr>
            </w:pPr>
          </w:p>
        </w:tc>
        <w:tc>
          <w:tcPr>
            <w:tcW w:w="590" w:type="dxa"/>
            <w:tcBorders>
              <w:top w:val="nil"/>
              <w:left w:val="nil"/>
              <w:bottom w:val="nil"/>
              <w:right w:val="nil"/>
            </w:tcBorders>
            <w:shd w:val="clear" w:color="auto" w:fill="auto"/>
            <w:noWrap/>
            <w:vAlign w:val="bottom"/>
            <w:hideMark/>
          </w:tcPr>
          <w:p w14:paraId="6F60EADA" w14:textId="77777777" w:rsidR="00297720" w:rsidRPr="00020C88" w:rsidRDefault="00297720" w:rsidP="00297720">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741EB20A" w14:textId="77777777" w:rsidR="00297720" w:rsidRPr="00020C88" w:rsidRDefault="00297720" w:rsidP="00297720">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58A12BC8" w14:textId="77777777" w:rsidR="00297720" w:rsidRPr="00020C88" w:rsidRDefault="00297720" w:rsidP="00297720">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3A198521" w14:textId="77777777" w:rsidR="00297720" w:rsidRPr="00020C88" w:rsidRDefault="00297720" w:rsidP="00297720">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001504EE" w14:textId="77777777" w:rsidR="00297720" w:rsidRPr="00020C88" w:rsidRDefault="00297720" w:rsidP="00297720">
            <w:pPr>
              <w:spacing w:after="0" w:line="240" w:lineRule="auto"/>
              <w:rPr>
                <w:rFonts w:ascii="Times New Roman" w:hAnsi="Times New Roman"/>
                <w:sz w:val="18"/>
                <w:szCs w:val="18"/>
                <w:lang w:eastAsia="sk-SK"/>
              </w:rPr>
            </w:pPr>
          </w:p>
        </w:tc>
        <w:tc>
          <w:tcPr>
            <w:tcW w:w="629" w:type="dxa"/>
            <w:tcBorders>
              <w:top w:val="nil"/>
              <w:left w:val="nil"/>
              <w:bottom w:val="nil"/>
              <w:right w:val="nil"/>
            </w:tcBorders>
            <w:shd w:val="clear" w:color="auto" w:fill="auto"/>
            <w:noWrap/>
            <w:vAlign w:val="bottom"/>
            <w:hideMark/>
          </w:tcPr>
          <w:p w14:paraId="416ACBF1" w14:textId="77777777" w:rsidR="00297720" w:rsidRPr="00020C88" w:rsidRDefault="00297720" w:rsidP="00297720">
            <w:pPr>
              <w:spacing w:after="0" w:line="240" w:lineRule="auto"/>
              <w:rPr>
                <w:rFonts w:ascii="Times New Roman" w:hAnsi="Times New Roman"/>
                <w:sz w:val="18"/>
                <w:szCs w:val="18"/>
                <w:lang w:eastAsia="sk-SK"/>
              </w:rPr>
            </w:pPr>
          </w:p>
        </w:tc>
        <w:tc>
          <w:tcPr>
            <w:tcW w:w="708" w:type="dxa"/>
            <w:tcBorders>
              <w:top w:val="nil"/>
              <w:left w:val="nil"/>
              <w:bottom w:val="nil"/>
              <w:right w:val="nil"/>
            </w:tcBorders>
            <w:shd w:val="clear" w:color="auto" w:fill="auto"/>
            <w:noWrap/>
            <w:vAlign w:val="bottom"/>
            <w:hideMark/>
          </w:tcPr>
          <w:p w14:paraId="391EC035" w14:textId="77777777" w:rsidR="00297720" w:rsidRPr="00020C88" w:rsidRDefault="00297720" w:rsidP="00297720">
            <w:pPr>
              <w:spacing w:after="0" w:line="240" w:lineRule="auto"/>
              <w:rPr>
                <w:rFonts w:ascii="Times New Roman" w:hAnsi="Times New Roman"/>
                <w:sz w:val="18"/>
                <w:szCs w:val="18"/>
                <w:lang w:eastAsia="sk-SK"/>
              </w:rPr>
            </w:pPr>
          </w:p>
        </w:tc>
        <w:tc>
          <w:tcPr>
            <w:tcW w:w="709" w:type="dxa"/>
            <w:tcBorders>
              <w:top w:val="nil"/>
              <w:left w:val="nil"/>
              <w:bottom w:val="nil"/>
              <w:right w:val="nil"/>
            </w:tcBorders>
            <w:shd w:val="clear" w:color="auto" w:fill="auto"/>
            <w:noWrap/>
            <w:vAlign w:val="bottom"/>
            <w:hideMark/>
          </w:tcPr>
          <w:p w14:paraId="6BC088B1" w14:textId="77777777" w:rsidR="00297720" w:rsidRPr="00020C88" w:rsidRDefault="00297720" w:rsidP="00297720">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5448ED87" w14:textId="77777777" w:rsidR="00297720" w:rsidRPr="00020C88" w:rsidRDefault="00297720" w:rsidP="00297720">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0CCD3E5F" w14:textId="77777777" w:rsidR="00297720" w:rsidRPr="00020C88" w:rsidRDefault="00297720" w:rsidP="00297720">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38DE6C53" w14:textId="77777777" w:rsidR="00297720" w:rsidRPr="00020C88" w:rsidRDefault="00297720" w:rsidP="00297720">
            <w:pPr>
              <w:spacing w:after="0" w:line="240" w:lineRule="auto"/>
              <w:rPr>
                <w:rFonts w:ascii="Times New Roman" w:hAnsi="Times New Roman"/>
                <w:sz w:val="18"/>
                <w:szCs w:val="18"/>
                <w:lang w:eastAsia="sk-SK"/>
              </w:rPr>
            </w:pPr>
          </w:p>
        </w:tc>
        <w:tc>
          <w:tcPr>
            <w:tcW w:w="1276" w:type="dxa"/>
            <w:tcBorders>
              <w:top w:val="nil"/>
              <w:left w:val="nil"/>
              <w:bottom w:val="nil"/>
              <w:right w:val="nil"/>
            </w:tcBorders>
            <w:shd w:val="clear" w:color="auto" w:fill="auto"/>
            <w:noWrap/>
            <w:vAlign w:val="bottom"/>
            <w:hideMark/>
          </w:tcPr>
          <w:p w14:paraId="47EE6D44" w14:textId="77777777" w:rsidR="00297720" w:rsidRPr="00020C88" w:rsidRDefault="00297720" w:rsidP="00297720">
            <w:pPr>
              <w:spacing w:after="0" w:line="240" w:lineRule="auto"/>
              <w:rPr>
                <w:rFonts w:ascii="Times New Roman" w:hAnsi="Times New Roman"/>
                <w:sz w:val="18"/>
                <w:szCs w:val="18"/>
                <w:lang w:eastAsia="sk-SK"/>
              </w:rPr>
            </w:pPr>
          </w:p>
        </w:tc>
      </w:tr>
      <w:tr w:rsidR="000C10F9" w:rsidRPr="00020C88" w14:paraId="64A66EFE" w14:textId="77777777" w:rsidTr="00B86229">
        <w:trPr>
          <w:trHeight w:val="290"/>
        </w:trPr>
        <w:tc>
          <w:tcPr>
            <w:tcW w:w="11624" w:type="dxa"/>
            <w:gridSpan w:val="17"/>
            <w:tcBorders>
              <w:top w:val="nil"/>
              <w:left w:val="nil"/>
              <w:bottom w:val="nil"/>
            </w:tcBorders>
            <w:shd w:val="clear" w:color="auto" w:fill="auto"/>
            <w:noWrap/>
            <w:vAlign w:val="bottom"/>
            <w:hideMark/>
          </w:tcPr>
          <w:p w14:paraId="76FD0B46" w14:textId="67200B1E" w:rsidR="000C10F9" w:rsidRPr="00020C88" w:rsidRDefault="000C10F9" w:rsidP="00297720">
            <w:pPr>
              <w:spacing w:after="0" w:line="240" w:lineRule="auto"/>
              <w:rPr>
                <w:rFonts w:ascii="Times New Roman" w:hAnsi="Times New Roman"/>
                <w:sz w:val="18"/>
                <w:szCs w:val="18"/>
                <w:lang w:eastAsia="sk-SK"/>
              </w:rPr>
            </w:pPr>
            <w:r w:rsidRPr="00020C88">
              <w:rPr>
                <w:rFonts w:ascii="Times New Roman" w:hAnsi="Times New Roman"/>
                <w:b/>
                <w:bCs/>
                <w:color w:val="000000"/>
                <w:sz w:val="18"/>
                <w:szCs w:val="18"/>
                <w:lang w:eastAsia="sk-SK"/>
              </w:rPr>
              <w:t>d) Priemerná dĺžka hospitalizácie - podľa návrhu postupného zvyšovania  ALOS</w:t>
            </w:r>
          </w:p>
        </w:tc>
      </w:tr>
      <w:tr w:rsidR="000C10F9" w:rsidRPr="00020C88" w14:paraId="47555438" w14:textId="77777777" w:rsidTr="00B86229">
        <w:trPr>
          <w:trHeight w:val="290"/>
        </w:trPr>
        <w:tc>
          <w:tcPr>
            <w:tcW w:w="184" w:type="dxa"/>
            <w:tcBorders>
              <w:top w:val="nil"/>
              <w:left w:val="nil"/>
              <w:bottom w:val="nil"/>
              <w:right w:val="nil"/>
            </w:tcBorders>
            <w:shd w:val="clear" w:color="000000" w:fill="DBDBDB"/>
            <w:noWrap/>
            <w:vAlign w:val="bottom"/>
            <w:hideMark/>
          </w:tcPr>
          <w:p w14:paraId="5FFCFC22"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2225"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76199D8"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664" w:type="dxa"/>
            <w:tcBorders>
              <w:top w:val="single" w:sz="4" w:space="0" w:color="auto"/>
              <w:left w:val="nil"/>
              <w:bottom w:val="single" w:sz="4" w:space="0" w:color="auto"/>
              <w:right w:val="single" w:sz="4" w:space="0" w:color="auto"/>
            </w:tcBorders>
            <w:shd w:val="clear" w:color="000000" w:fill="DBDBDB"/>
            <w:noWrap/>
            <w:vAlign w:val="bottom"/>
            <w:hideMark/>
          </w:tcPr>
          <w:p w14:paraId="46579FC0"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718" w:type="dxa"/>
            <w:tcBorders>
              <w:top w:val="single" w:sz="4" w:space="0" w:color="auto"/>
              <w:left w:val="nil"/>
              <w:bottom w:val="single" w:sz="4" w:space="0" w:color="auto"/>
              <w:right w:val="single" w:sz="4" w:space="0" w:color="auto"/>
            </w:tcBorders>
            <w:shd w:val="clear" w:color="000000" w:fill="DBDBDB"/>
            <w:noWrap/>
            <w:vAlign w:val="bottom"/>
            <w:hideMark/>
          </w:tcPr>
          <w:p w14:paraId="2A987001"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590" w:type="dxa"/>
            <w:tcBorders>
              <w:top w:val="single" w:sz="4" w:space="0" w:color="auto"/>
              <w:left w:val="nil"/>
              <w:bottom w:val="single" w:sz="4" w:space="0" w:color="auto"/>
              <w:right w:val="single" w:sz="4" w:space="0" w:color="auto"/>
            </w:tcBorders>
            <w:shd w:val="clear" w:color="000000" w:fill="DBDBDB"/>
            <w:noWrap/>
            <w:vAlign w:val="bottom"/>
            <w:hideMark/>
          </w:tcPr>
          <w:p w14:paraId="350D9561"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65287ADC"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5CFE34D8"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1F3E2407"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2DF8E70D"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2023</w:t>
            </w:r>
          </w:p>
        </w:tc>
        <w:tc>
          <w:tcPr>
            <w:tcW w:w="629" w:type="dxa"/>
            <w:tcBorders>
              <w:top w:val="single" w:sz="4" w:space="0" w:color="auto"/>
              <w:left w:val="nil"/>
              <w:bottom w:val="single" w:sz="4" w:space="0" w:color="auto"/>
              <w:right w:val="single" w:sz="4" w:space="0" w:color="auto"/>
            </w:tcBorders>
            <w:shd w:val="clear" w:color="000000" w:fill="DBDBDB"/>
            <w:noWrap/>
            <w:vAlign w:val="bottom"/>
            <w:hideMark/>
          </w:tcPr>
          <w:p w14:paraId="40C4B4A4"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2024</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5552C607"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6383DB33"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2026</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547D1981"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2027</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5E484BDE"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2028</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169373F8"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2029</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31D4AF49"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2030</w:t>
            </w:r>
          </w:p>
        </w:tc>
      </w:tr>
      <w:tr w:rsidR="000C10F9" w:rsidRPr="00020C88" w14:paraId="79B14D9E" w14:textId="77777777" w:rsidTr="00B86229">
        <w:trPr>
          <w:trHeight w:val="290"/>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CB3DF"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w:t>
            </w:r>
          </w:p>
        </w:tc>
        <w:tc>
          <w:tcPr>
            <w:tcW w:w="2225" w:type="dxa"/>
            <w:gridSpan w:val="2"/>
            <w:tcBorders>
              <w:top w:val="nil"/>
              <w:left w:val="nil"/>
              <w:bottom w:val="single" w:sz="4" w:space="0" w:color="auto"/>
              <w:right w:val="single" w:sz="4" w:space="0" w:color="auto"/>
            </w:tcBorders>
            <w:shd w:val="clear" w:color="auto" w:fill="auto"/>
            <w:noWrap/>
            <w:vAlign w:val="bottom"/>
            <w:hideMark/>
          </w:tcPr>
          <w:p w14:paraId="43DD4F73"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ošetrovateľská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1C3DB5A9"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39   </w:t>
            </w:r>
          </w:p>
        </w:tc>
        <w:tc>
          <w:tcPr>
            <w:tcW w:w="718" w:type="dxa"/>
            <w:tcBorders>
              <w:top w:val="nil"/>
              <w:left w:val="nil"/>
              <w:bottom w:val="single" w:sz="4" w:space="0" w:color="auto"/>
              <w:right w:val="single" w:sz="4" w:space="0" w:color="auto"/>
            </w:tcBorders>
            <w:shd w:val="clear" w:color="auto" w:fill="auto"/>
            <w:noWrap/>
            <w:vAlign w:val="bottom"/>
            <w:hideMark/>
          </w:tcPr>
          <w:p w14:paraId="066EE7CB"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39   </w:t>
            </w:r>
          </w:p>
        </w:tc>
        <w:tc>
          <w:tcPr>
            <w:tcW w:w="590" w:type="dxa"/>
            <w:tcBorders>
              <w:top w:val="nil"/>
              <w:left w:val="nil"/>
              <w:bottom w:val="single" w:sz="4" w:space="0" w:color="auto"/>
              <w:right w:val="single" w:sz="4" w:space="0" w:color="auto"/>
            </w:tcBorders>
            <w:shd w:val="clear" w:color="auto" w:fill="auto"/>
            <w:noWrap/>
            <w:vAlign w:val="bottom"/>
            <w:hideMark/>
          </w:tcPr>
          <w:p w14:paraId="67BF109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39   </w:t>
            </w:r>
          </w:p>
        </w:tc>
        <w:tc>
          <w:tcPr>
            <w:tcW w:w="555" w:type="dxa"/>
            <w:tcBorders>
              <w:top w:val="nil"/>
              <w:left w:val="nil"/>
              <w:bottom w:val="single" w:sz="4" w:space="0" w:color="auto"/>
              <w:right w:val="single" w:sz="4" w:space="0" w:color="auto"/>
            </w:tcBorders>
            <w:shd w:val="clear" w:color="auto" w:fill="auto"/>
            <w:noWrap/>
            <w:vAlign w:val="bottom"/>
            <w:hideMark/>
          </w:tcPr>
          <w:p w14:paraId="27EC5363"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45   </w:t>
            </w:r>
          </w:p>
        </w:tc>
        <w:tc>
          <w:tcPr>
            <w:tcW w:w="555" w:type="dxa"/>
            <w:tcBorders>
              <w:top w:val="nil"/>
              <w:left w:val="nil"/>
              <w:bottom w:val="single" w:sz="4" w:space="0" w:color="auto"/>
              <w:right w:val="single" w:sz="4" w:space="0" w:color="auto"/>
            </w:tcBorders>
            <w:shd w:val="clear" w:color="auto" w:fill="auto"/>
            <w:noWrap/>
            <w:vAlign w:val="bottom"/>
            <w:hideMark/>
          </w:tcPr>
          <w:p w14:paraId="3047D156"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45   </w:t>
            </w:r>
          </w:p>
        </w:tc>
        <w:tc>
          <w:tcPr>
            <w:tcW w:w="555" w:type="dxa"/>
            <w:tcBorders>
              <w:top w:val="nil"/>
              <w:left w:val="nil"/>
              <w:bottom w:val="single" w:sz="4" w:space="0" w:color="auto"/>
              <w:right w:val="single" w:sz="4" w:space="0" w:color="auto"/>
            </w:tcBorders>
            <w:shd w:val="clear" w:color="auto" w:fill="auto"/>
            <w:noWrap/>
            <w:vAlign w:val="bottom"/>
            <w:hideMark/>
          </w:tcPr>
          <w:p w14:paraId="4E3697F3"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45   </w:t>
            </w:r>
          </w:p>
        </w:tc>
        <w:tc>
          <w:tcPr>
            <w:tcW w:w="555" w:type="dxa"/>
            <w:tcBorders>
              <w:top w:val="nil"/>
              <w:left w:val="nil"/>
              <w:bottom w:val="single" w:sz="4" w:space="0" w:color="auto"/>
              <w:right w:val="single" w:sz="4" w:space="0" w:color="auto"/>
            </w:tcBorders>
            <w:shd w:val="clear" w:color="auto" w:fill="auto"/>
            <w:noWrap/>
            <w:vAlign w:val="bottom"/>
            <w:hideMark/>
          </w:tcPr>
          <w:p w14:paraId="1F70189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70   </w:t>
            </w:r>
          </w:p>
        </w:tc>
        <w:tc>
          <w:tcPr>
            <w:tcW w:w="629" w:type="dxa"/>
            <w:tcBorders>
              <w:top w:val="nil"/>
              <w:left w:val="nil"/>
              <w:bottom w:val="single" w:sz="4" w:space="0" w:color="auto"/>
              <w:right w:val="single" w:sz="4" w:space="0" w:color="auto"/>
            </w:tcBorders>
            <w:shd w:val="clear" w:color="auto" w:fill="auto"/>
            <w:noWrap/>
            <w:vAlign w:val="bottom"/>
            <w:hideMark/>
          </w:tcPr>
          <w:p w14:paraId="2A6C7ED3"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75   </w:t>
            </w:r>
          </w:p>
        </w:tc>
        <w:tc>
          <w:tcPr>
            <w:tcW w:w="708" w:type="dxa"/>
            <w:tcBorders>
              <w:top w:val="nil"/>
              <w:left w:val="nil"/>
              <w:bottom w:val="single" w:sz="4" w:space="0" w:color="auto"/>
              <w:right w:val="single" w:sz="4" w:space="0" w:color="auto"/>
            </w:tcBorders>
            <w:shd w:val="clear" w:color="auto" w:fill="auto"/>
            <w:noWrap/>
            <w:vAlign w:val="bottom"/>
            <w:hideMark/>
          </w:tcPr>
          <w:p w14:paraId="1F4A24F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80   </w:t>
            </w:r>
          </w:p>
        </w:tc>
        <w:tc>
          <w:tcPr>
            <w:tcW w:w="709" w:type="dxa"/>
            <w:tcBorders>
              <w:top w:val="nil"/>
              <w:left w:val="nil"/>
              <w:bottom w:val="single" w:sz="4" w:space="0" w:color="auto"/>
              <w:right w:val="single" w:sz="4" w:space="0" w:color="auto"/>
            </w:tcBorders>
            <w:shd w:val="clear" w:color="auto" w:fill="auto"/>
            <w:noWrap/>
            <w:vAlign w:val="bottom"/>
            <w:hideMark/>
          </w:tcPr>
          <w:p w14:paraId="7A78058B"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85   </w:t>
            </w:r>
          </w:p>
        </w:tc>
        <w:tc>
          <w:tcPr>
            <w:tcW w:w="567" w:type="dxa"/>
            <w:tcBorders>
              <w:top w:val="nil"/>
              <w:left w:val="nil"/>
              <w:bottom w:val="single" w:sz="4" w:space="0" w:color="auto"/>
              <w:right w:val="single" w:sz="4" w:space="0" w:color="auto"/>
            </w:tcBorders>
            <w:shd w:val="clear" w:color="auto" w:fill="auto"/>
            <w:noWrap/>
            <w:vAlign w:val="bottom"/>
            <w:hideMark/>
          </w:tcPr>
          <w:p w14:paraId="69799716"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85   </w:t>
            </w:r>
          </w:p>
        </w:tc>
        <w:tc>
          <w:tcPr>
            <w:tcW w:w="567" w:type="dxa"/>
            <w:tcBorders>
              <w:top w:val="nil"/>
              <w:left w:val="nil"/>
              <w:bottom w:val="single" w:sz="4" w:space="0" w:color="auto"/>
              <w:right w:val="single" w:sz="4" w:space="0" w:color="auto"/>
            </w:tcBorders>
            <w:shd w:val="clear" w:color="auto" w:fill="auto"/>
            <w:noWrap/>
            <w:vAlign w:val="bottom"/>
            <w:hideMark/>
          </w:tcPr>
          <w:p w14:paraId="78A60EE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95   </w:t>
            </w:r>
          </w:p>
        </w:tc>
        <w:tc>
          <w:tcPr>
            <w:tcW w:w="567" w:type="dxa"/>
            <w:tcBorders>
              <w:top w:val="nil"/>
              <w:left w:val="nil"/>
              <w:bottom w:val="single" w:sz="4" w:space="0" w:color="auto"/>
              <w:right w:val="single" w:sz="4" w:space="0" w:color="auto"/>
            </w:tcBorders>
            <w:shd w:val="clear" w:color="auto" w:fill="auto"/>
            <w:noWrap/>
            <w:vAlign w:val="bottom"/>
            <w:hideMark/>
          </w:tcPr>
          <w:p w14:paraId="159724BE"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95   </w:t>
            </w:r>
          </w:p>
        </w:tc>
        <w:tc>
          <w:tcPr>
            <w:tcW w:w="1276" w:type="dxa"/>
            <w:tcBorders>
              <w:top w:val="nil"/>
              <w:left w:val="nil"/>
              <w:bottom w:val="single" w:sz="4" w:space="0" w:color="auto"/>
              <w:right w:val="single" w:sz="4" w:space="0" w:color="auto"/>
            </w:tcBorders>
            <w:shd w:val="clear" w:color="auto" w:fill="auto"/>
            <w:noWrap/>
            <w:vAlign w:val="bottom"/>
            <w:hideMark/>
          </w:tcPr>
          <w:p w14:paraId="626938B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95   </w:t>
            </w:r>
          </w:p>
        </w:tc>
      </w:tr>
      <w:tr w:rsidR="000C10F9" w:rsidRPr="00020C88" w14:paraId="4E811FD6" w14:textId="77777777" w:rsidTr="00B86229">
        <w:trPr>
          <w:trHeight w:val="290"/>
        </w:trPr>
        <w:tc>
          <w:tcPr>
            <w:tcW w:w="184" w:type="dxa"/>
            <w:tcBorders>
              <w:top w:val="nil"/>
              <w:left w:val="nil"/>
              <w:bottom w:val="nil"/>
              <w:right w:val="nil"/>
            </w:tcBorders>
            <w:shd w:val="clear" w:color="auto" w:fill="auto"/>
            <w:noWrap/>
            <w:vAlign w:val="bottom"/>
            <w:hideMark/>
          </w:tcPr>
          <w:p w14:paraId="21FBACBF" w14:textId="77777777" w:rsidR="00297720" w:rsidRPr="00020C88" w:rsidRDefault="00297720" w:rsidP="00297720">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1EE916"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hospicová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6FE0D8B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46   </w:t>
            </w:r>
          </w:p>
        </w:tc>
        <w:tc>
          <w:tcPr>
            <w:tcW w:w="718" w:type="dxa"/>
            <w:tcBorders>
              <w:top w:val="nil"/>
              <w:left w:val="nil"/>
              <w:bottom w:val="single" w:sz="4" w:space="0" w:color="auto"/>
              <w:right w:val="single" w:sz="4" w:space="0" w:color="auto"/>
            </w:tcBorders>
            <w:shd w:val="clear" w:color="auto" w:fill="auto"/>
            <w:noWrap/>
            <w:vAlign w:val="bottom"/>
            <w:hideMark/>
          </w:tcPr>
          <w:p w14:paraId="1FE5E72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46   </w:t>
            </w:r>
          </w:p>
        </w:tc>
        <w:tc>
          <w:tcPr>
            <w:tcW w:w="590" w:type="dxa"/>
            <w:tcBorders>
              <w:top w:val="nil"/>
              <w:left w:val="nil"/>
              <w:bottom w:val="single" w:sz="4" w:space="0" w:color="auto"/>
              <w:right w:val="single" w:sz="4" w:space="0" w:color="auto"/>
            </w:tcBorders>
            <w:shd w:val="clear" w:color="auto" w:fill="auto"/>
            <w:noWrap/>
            <w:vAlign w:val="bottom"/>
            <w:hideMark/>
          </w:tcPr>
          <w:p w14:paraId="51E094F5"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46   </w:t>
            </w:r>
          </w:p>
        </w:tc>
        <w:tc>
          <w:tcPr>
            <w:tcW w:w="555" w:type="dxa"/>
            <w:tcBorders>
              <w:top w:val="nil"/>
              <w:left w:val="nil"/>
              <w:bottom w:val="single" w:sz="4" w:space="0" w:color="auto"/>
              <w:right w:val="single" w:sz="4" w:space="0" w:color="auto"/>
            </w:tcBorders>
            <w:shd w:val="clear" w:color="auto" w:fill="auto"/>
            <w:noWrap/>
            <w:vAlign w:val="bottom"/>
            <w:hideMark/>
          </w:tcPr>
          <w:p w14:paraId="2FBF6F25"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   </w:t>
            </w:r>
          </w:p>
        </w:tc>
        <w:tc>
          <w:tcPr>
            <w:tcW w:w="555" w:type="dxa"/>
            <w:tcBorders>
              <w:top w:val="nil"/>
              <w:left w:val="nil"/>
              <w:bottom w:val="single" w:sz="4" w:space="0" w:color="auto"/>
              <w:right w:val="single" w:sz="4" w:space="0" w:color="auto"/>
            </w:tcBorders>
            <w:shd w:val="clear" w:color="auto" w:fill="auto"/>
            <w:noWrap/>
            <w:vAlign w:val="bottom"/>
            <w:hideMark/>
          </w:tcPr>
          <w:p w14:paraId="5E17A6BF"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   </w:t>
            </w:r>
          </w:p>
        </w:tc>
        <w:tc>
          <w:tcPr>
            <w:tcW w:w="555" w:type="dxa"/>
            <w:tcBorders>
              <w:top w:val="nil"/>
              <w:left w:val="nil"/>
              <w:bottom w:val="single" w:sz="4" w:space="0" w:color="auto"/>
              <w:right w:val="single" w:sz="4" w:space="0" w:color="auto"/>
            </w:tcBorders>
            <w:shd w:val="clear" w:color="auto" w:fill="auto"/>
            <w:noWrap/>
            <w:vAlign w:val="bottom"/>
            <w:hideMark/>
          </w:tcPr>
          <w:p w14:paraId="4C64D21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   </w:t>
            </w:r>
          </w:p>
        </w:tc>
        <w:tc>
          <w:tcPr>
            <w:tcW w:w="555" w:type="dxa"/>
            <w:tcBorders>
              <w:top w:val="nil"/>
              <w:left w:val="nil"/>
              <w:bottom w:val="single" w:sz="4" w:space="0" w:color="auto"/>
              <w:right w:val="single" w:sz="4" w:space="0" w:color="auto"/>
            </w:tcBorders>
            <w:shd w:val="clear" w:color="auto" w:fill="auto"/>
            <w:noWrap/>
            <w:vAlign w:val="bottom"/>
            <w:hideMark/>
          </w:tcPr>
          <w:p w14:paraId="52DC9AFD"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53   </w:t>
            </w:r>
          </w:p>
        </w:tc>
        <w:tc>
          <w:tcPr>
            <w:tcW w:w="629" w:type="dxa"/>
            <w:tcBorders>
              <w:top w:val="nil"/>
              <w:left w:val="nil"/>
              <w:bottom w:val="single" w:sz="4" w:space="0" w:color="auto"/>
              <w:right w:val="single" w:sz="4" w:space="0" w:color="auto"/>
            </w:tcBorders>
            <w:shd w:val="clear" w:color="auto" w:fill="auto"/>
            <w:noWrap/>
            <w:vAlign w:val="bottom"/>
            <w:hideMark/>
          </w:tcPr>
          <w:p w14:paraId="7432C58E"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54   </w:t>
            </w:r>
          </w:p>
        </w:tc>
        <w:tc>
          <w:tcPr>
            <w:tcW w:w="708" w:type="dxa"/>
            <w:tcBorders>
              <w:top w:val="nil"/>
              <w:left w:val="nil"/>
              <w:bottom w:val="single" w:sz="4" w:space="0" w:color="auto"/>
              <w:right w:val="single" w:sz="4" w:space="0" w:color="auto"/>
            </w:tcBorders>
            <w:shd w:val="clear" w:color="auto" w:fill="auto"/>
            <w:noWrap/>
            <w:vAlign w:val="bottom"/>
            <w:hideMark/>
          </w:tcPr>
          <w:p w14:paraId="5AD1DD22"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55   </w:t>
            </w:r>
          </w:p>
        </w:tc>
        <w:tc>
          <w:tcPr>
            <w:tcW w:w="709" w:type="dxa"/>
            <w:tcBorders>
              <w:top w:val="nil"/>
              <w:left w:val="nil"/>
              <w:bottom w:val="single" w:sz="4" w:space="0" w:color="auto"/>
              <w:right w:val="single" w:sz="4" w:space="0" w:color="auto"/>
            </w:tcBorders>
            <w:shd w:val="clear" w:color="auto" w:fill="auto"/>
            <w:noWrap/>
            <w:vAlign w:val="bottom"/>
            <w:hideMark/>
          </w:tcPr>
          <w:p w14:paraId="401D47A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57   </w:t>
            </w:r>
          </w:p>
        </w:tc>
        <w:tc>
          <w:tcPr>
            <w:tcW w:w="567" w:type="dxa"/>
            <w:tcBorders>
              <w:top w:val="nil"/>
              <w:left w:val="nil"/>
              <w:bottom w:val="single" w:sz="4" w:space="0" w:color="auto"/>
              <w:right w:val="single" w:sz="4" w:space="0" w:color="auto"/>
            </w:tcBorders>
            <w:shd w:val="clear" w:color="auto" w:fill="auto"/>
            <w:noWrap/>
            <w:vAlign w:val="bottom"/>
            <w:hideMark/>
          </w:tcPr>
          <w:p w14:paraId="3E51C30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57   </w:t>
            </w:r>
          </w:p>
        </w:tc>
        <w:tc>
          <w:tcPr>
            <w:tcW w:w="567" w:type="dxa"/>
            <w:tcBorders>
              <w:top w:val="nil"/>
              <w:left w:val="nil"/>
              <w:bottom w:val="single" w:sz="4" w:space="0" w:color="auto"/>
              <w:right w:val="single" w:sz="4" w:space="0" w:color="auto"/>
            </w:tcBorders>
            <w:shd w:val="clear" w:color="auto" w:fill="auto"/>
            <w:noWrap/>
            <w:vAlign w:val="bottom"/>
            <w:hideMark/>
          </w:tcPr>
          <w:p w14:paraId="61B2DD32"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59   </w:t>
            </w:r>
          </w:p>
        </w:tc>
        <w:tc>
          <w:tcPr>
            <w:tcW w:w="567" w:type="dxa"/>
            <w:tcBorders>
              <w:top w:val="nil"/>
              <w:left w:val="nil"/>
              <w:bottom w:val="single" w:sz="4" w:space="0" w:color="auto"/>
              <w:right w:val="single" w:sz="4" w:space="0" w:color="auto"/>
            </w:tcBorders>
            <w:shd w:val="clear" w:color="auto" w:fill="auto"/>
            <w:noWrap/>
            <w:vAlign w:val="bottom"/>
            <w:hideMark/>
          </w:tcPr>
          <w:p w14:paraId="25DCAD38"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59   </w:t>
            </w:r>
          </w:p>
        </w:tc>
        <w:tc>
          <w:tcPr>
            <w:tcW w:w="1276" w:type="dxa"/>
            <w:tcBorders>
              <w:top w:val="nil"/>
              <w:left w:val="nil"/>
              <w:bottom w:val="single" w:sz="4" w:space="0" w:color="auto"/>
              <w:right w:val="single" w:sz="4" w:space="0" w:color="auto"/>
            </w:tcBorders>
            <w:shd w:val="clear" w:color="auto" w:fill="auto"/>
            <w:noWrap/>
            <w:vAlign w:val="bottom"/>
            <w:hideMark/>
          </w:tcPr>
          <w:p w14:paraId="1DEDFFF5"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59   </w:t>
            </w:r>
          </w:p>
        </w:tc>
      </w:tr>
      <w:tr w:rsidR="000C10F9" w:rsidRPr="00020C88" w14:paraId="334BD778" w14:textId="77777777" w:rsidTr="00B86229">
        <w:trPr>
          <w:trHeight w:val="290"/>
        </w:trPr>
        <w:tc>
          <w:tcPr>
            <w:tcW w:w="184" w:type="dxa"/>
            <w:tcBorders>
              <w:top w:val="nil"/>
              <w:left w:val="nil"/>
              <w:bottom w:val="nil"/>
              <w:right w:val="nil"/>
            </w:tcBorders>
            <w:shd w:val="clear" w:color="auto" w:fill="auto"/>
            <w:noWrap/>
            <w:vAlign w:val="bottom"/>
            <w:hideMark/>
          </w:tcPr>
          <w:p w14:paraId="4AAF39AC" w14:textId="77777777" w:rsidR="00297720" w:rsidRPr="00020C88" w:rsidRDefault="00297720" w:rsidP="00297720">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4448A9"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paliatívna medicína</w:t>
            </w:r>
          </w:p>
        </w:tc>
        <w:tc>
          <w:tcPr>
            <w:tcW w:w="664" w:type="dxa"/>
            <w:tcBorders>
              <w:top w:val="nil"/>
              <w:left w:val="nil"/>
              <w:bottom w:val="single" w:sz="4" w:space="0" w:color="auto"/>
              <w:right w:val="single" w:sz="4" w:space="0" w:color="auto"/>
            </w:tcBorders>
            <w:shd w:val="clear" w:color="auto" w:fill="auto"/>
            <w:noWrap/>
            <w:vAlign w:val="bottom"/>
            <w:hideMark/>
          </w:tcPr>
          <w:p w14:paraId="39A458AE"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14   </w:t>
            </w:r>
          </w:p>
        </w:tc>
        <w:tc>
          <w:tcPr>
            <w:tcW w:w="718" w:type="dxa"/>
            <w:tcBorders>
              <w:top w:val="nil"/>
              <w:left w:val="nil"/>
              <w:bottom w:val="single" w:sz="4" w:space="0" w:color="auto"/>
              <w:right w:val="single" w:sz="4" w:space="0" w:color="auto"/>
            </w:tcBorders>
            <w:shd w:val="clear" w:color="auto" w:fill="auto"/>
            <w:noWrap/>
            <w:vAlign w:val="bottom"/>
            <w:hideMark/>
          </w:tcPr>
          <w:p w14:paraId="70EAEA8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14   </w:t>
            </w:r>
          </w:p>
        </w:tc>
        <w:tc>
          <w:tcPr>
            <w:tcW w:w="590" w:type="dxa"/>
            <w:tcBorders>
              <w:top w:val="nil"/>
              <w:left w:val="nil"/>
              <w:bottom w:val="single" w:sz="4" w:space="0" w:color="auto"/>
              <w:right w:val="single" w:sz="4" w:space="0" w:color="auto"/>
            </w:tcBorders>
            <w:shd w:val="clear" w:color="auto" w:fill="auto"/>
            <w:noWrap/>
            <w:vAlign w:val="bottom"/>
            <w:hideMark/>
          </w:tcPr>
          <w:p w14:paraId="7F33CBF3"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14   </w:t>
            </w:r>
          </w:p>
        </w:tc>
        <w:tc>
          <w:tcPr>
            <w:tcW w:w="555" w:type="dxa"/>
            <w:tcBorders>
              <w:top w:val="nil"/>
              <w:left w:val="nil"/>
              <w:bottom w:val="single" w:sz="4" w:space="0" w:color="auto"/>
              <w:right w:val="single" w:sz="4" w:space="0" w:color="auto"/>
            </w:tcBorders>
            <w:shd w:val="clear" w:color="auto" w:fill="auto"/>
            <w:noWrap/>
            <w:vAlign w:val="bottom"/>
            <w:hideMark/>
          </w:tcPr>
          <w:p w14:paraId="01242F2E"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18   </w:t>
            </w:r>
          </w:p>
        </w:tc>
        <w:tc>
          <w:tcPr>
            <w:tcW w:w="555" w:type="dxa"/>
            <w:tcBorders>
              <w:top w:val="nil"/>
              <w:left w:val="nil"/>
              <w:bottom w:val="single" w:sz="4" w:space="0" w:color="auto"/>
              <w:right w:val="single" w:sz="4" w:space="0" w:color="auto"/>
            </w:tcBorders>
            <w:shd w:val="clear" w:color="auto" w:fill="auto"/>
            <w:noWrap/>
            <w:vAlign w:val="bottom"/>
            <w:hideMark/>
          </w:tcPr>
          <w:p w14:paraId="64329B9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18   </w:t>
            </w:r>
          </w:p>
        </w:tc>
        <w:tc>
          <w:tcPr>
            <w:tcW w:w="555" w:type="dxa"/>
            <w:tcBorders>
              <w:top w:val="nil"/>
              <w:left w:val="nil"/>
              <w:bottom w:val="single" w:sz="4" w:space="0" w:color="auto"/>
              <w:right w:val="single" w:sz="4" w:space="0" w:color="auto"/>
            </w:tcBorders>
            <w:shd w:val="clear" w:color="auto" w:fill="auto"/>
            <w:noWrap/>
            <w:vAlign w:val="bottom"/>
            <w:hideMark/>
          </w:tcPr>
          <w:p w14:paraId="04883D0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18   </w:t>
            </w:r>
          </w:p>
        </w:tc>
        <w:tc>
          <w:tcPr>
            <w:tcW w:w="555" w:type="dxa"/>
            <w:tcBorders>
              <w:top w:val="nil"/>
              <w:left w:val="nil"/>
              <w:bottom w:val="single" w:sz="4" w:space="0" w:color="auto"/>
              <w:right w:val="single" w:sz="4" w:space="0" w:color="auto"/>
            </w:tcBorders>
            <w:shd w:val="clear" w:color="auto" w:fill="auto"/>
            <w:noWrap/>
            <w:vAlign w:val="bottom"/>
            <w:hideMark/>
          </w:tcPr>
          <w:p w14:paraId="799967C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22   </w:t>
            </w:r>
          </w:p>
        </w:tc>
        <w:tc>
          <w:tcPr>
            <w:tcW w:w="629" w:type="dxa"/>
            <w:tcBorders>
              <w:top w:val="nil"/>
              <w:left w:val="nil"/>
              <w:bottom w:val="single" w:sz="4" w:space="0" w:color="auto"/>
              <w:right w:val="single" w:sz="4" w:space="0" w:color="auto"/>
            </w:tcBorders>
            <w:shd w:val="clear" w:color="auto" w:fill="auto"/>
            <w:noWrap/>
            <w:vAlign w:val="bottom"/>
            <w:hideMark/>
          </w:tcPr>
          <w:p w14:paraId="0D2EB59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23   </w:t>
            </w:r>
          </w:p>
        </w:tc>
        <w:tc>
          <w:tcPr>
            <w:tcW w:w="708" w:type="dxa"/>
            <w:tcBorders>
              <w:top w:val="nil"/>
              <w:left w:val="nil"/>
              <w:bottom w:val="single" w:sz="4" w:space="0" w:color="auto"/>
              <w:right w:val="single" w:sz="4" w:space="0" w:color="auto"/>
            </w:tcBorders>
            <w:shd w:val="clear" w:color="auto" w:fill="auto"/>
            <w:noWrap/>
            <w:vAlign w:val="bottom"/>
            <w:hideMark/>
          </w:tcPr>
          <w:p w14:paraId="53F8AD7B"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25   </w:t>
            </w:r>
          </w:p>
        </w:tc>
        <w:tc>
          <w:tcPr>
            <w:tcW w:w="709" w:type="dxa"/>
            <w:tcBorders>
              <w:top w:val="nil"/>
              <w:left w:val="nil"/>
              <w:bottom w:val="single" w:sz="4" w:space="0" w:color="auto"/>
              <w:right w:val="single" w:sz="4" w:space="0" w:color="auto"/>
            </w:tcBorders>
            <w:shd w:val="clear" w:color="auto" w:fill="auto"/>
            <w:noWrap/>
            <w:vAlign w:val="bottom"/>
            <w:hideMark/>
          </w:tcPr>
          <w:p w14:paraId="062422CD"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26   </w:t>
            </w:r>
          </w:p>
        </w:tc>
        <w:tc>
          <w:tcPr>
            <w:tcW w:w="567" w:type="dxa"/>
            <w:tcBorders>
              <w:top w:val="nil"/>
              <w:left w:val="nil"/>
              <w:bottom w:val="single" w:sz="4" w:space="0" w:color="auto"/>
              <w:right w:val="single" w:sz="4" w:space="0" w:color="auto"/>
            </w:tcBorders>
            <w:shd w:val="clear" w:color="auto" w:fill="auto"/>
            <w:noWrap/>
            <w:vAlign w:val="bottom"/>
            <w:hideMark/>
          </w:tcPr>
          <w:p w14:paraId="3357C12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26   </w:t>
            </w:r>
          </w:p>
        </w:tc>
        <w:tc>
          <w:tcPr>
            <w:tcW w:w="567" w:type="dxa"/>
            <w:tcBorders>
              <w:top w:val="nil"/>
              <w:left w:val="nil"/>
              <w:bottom w:val="single" w:sz="4" w:space="0" w:color="auto"/>
              <w:right w:val="single" w:sz="4" w:space="0" w:color="auto"/>
            </w:tcBorders>
            <w:shd w:val="clear" w:color="auto" w:fill="auto"/>
            <w:noWrap/>
            <w:vAlign w:val="bottom"/>
            <w:hideMark/>
          </w:tcPr>
          <w:p w14:paraId="4899D53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29   </w:t>
            </w:r>
          </w:p>
        </w:tc>
        <w:tc>
          <w:tcPr>
            <w:tcW w:w="567" w:type="dxa"/>
            <w:tcBorders>
              <w:top w:val="nil"/>
              <w:left w:val="nil"/>
              <w:bottom w:val="single" w:sz="4" w:space="0" w:color="auto"/>
              <w:right w:val="single" w:sz="4" w:space="0" w:color="auto"/>
            </w:tcBorders>
            <w:shd w:val="clear" w:color="auto" w:fill="auto"/>
            <w:noWrap/>
            <w:vAlign w:val="bottom"/>
            <w:hideMark/>
          </w:tcPr>
          <w:p w14:paraId="5095E6A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29   </w:t>
            </w:r>
          </w:p>
        </w:tc>
        <w:tc>
          <w:tcPr>
            <w:tcW w:w="1276" w:type="dxa"/>
            <w:tcBorders>
              <w:top w:val="nil"/>
              <w:left w:val="nil"/>
              <w:bottom w:val="single" w:sz="4" w:space="0" w:color="auto"/>
              <w:right w:val="single" w:sz="4" w:space="0" w:color="auto"/>
            </w:tcBorders>
            <w:shd w:val="clear" w:color="auto" w:fill="auto"/>
            <w:noWrap/>
            <w:vAlign w:val="bottom"/>
            <w:hideMark/>
          </w:tcPr>
          <w:p w14:paraId="21BEE45F"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29   </w:t>
            </w:r>
          </w:p>
        </w:tc>
      </w:tr>
      <w:tr w:rsidR="000C10F9" w:rsidRPr="00020C88" w14:paraId="1B43F957" w14:textId="77777777" w:rsidTr="00B86229">
        <w:trPr>
          <w:trHeight w:val="290"/>
        </w:trPr>
        <w:tc>
          <w:tcPr>
            <w:tcW w:w="184" w:type="dxa"/>
            <w:tcBorders>
              <w:top w:val="nil"/>
              <w:left w:val="nil"/>
              <w:bottom w:val="nil"/>
              <w:right w:val="nil"/>
            </w:tcBorders>
            <w:shd w:val="clear" w:color="auto" w:fill="auto"/>
            <w:noWrap/>
            <w:vAlign w:val="bottom"/>
            <w:hideMark/>
          </w:tcPr>
          <w:p w14:paraId="7F95F0F4" w14:textId="77777777" w:rsidR="00297720" w:rsidRPr="00020C88" w:rsidRDefault="00297720" w:rsidP="00297720">
            <w:pPr>
              <w:spacing w:after="0" w:line="240" w:lineRule="auto"/>
              <w:rPr>
                <w:rFonts w:ascii="Times New Roman" w:hAnsi="Times New Roman"/>
                <w:color w:val="000000"/>
                <w:sz w:val="18"/>
                <w:szCs w:val="18"/>
                <w:lang w:eastAsia="sk-SK"/>
              </w:rPr>
            </w:pPr>
          </w:p>
        </w:tc>
        <w:tc>
          <w:tcPr>
            <w:tcW w:w="2225" w:type="dxa"/>
            <w:gridSpan w:val="2"/>
            <w:tcBorders>
              <w:top w:val="nil"/>
              <w:left w:val="nil"/>
              <w:bottom w:val="nil"/>
              <w:right w:val="nil"/>
            </w:tcBorders>
            <w:shd w:val="clear" w:color="auto" w:fill="auto"/>
            <w:noWrap/>
            <w:vAlign w:val="bottom"/>
            <w:hideMark/>
          </w:tcPr>
          <w:p w14:paraId="3649C317" w14:textId="77777777" w:rsidR="00297720" w:rsidRPr="00020C88" w:rsidRDefault="00297720" w:rsidP="00297720">
            <w:pPr>
              <w:spacing w:after="0" w:line="240" w:lineRule="auto"/>
              <w:rPr>
                <w:rFonts w:ascii="Times New Roman" w:hAnsi="Times New Roman"/>
                <w:sz w:val="18"/>
                <w:szCs w:val="18"/>
                <w:lang w:eastAsia="sk-SK"/>
              </w:rPr>
            </w:pPr>
          </w:p>
        </w:tc>
        <w:tc>
          <w:tcPr>
            <w:tcW w:w="664" w:type="dxa"/>
            <w:tcBorders>
              <w:top w:val="nil"/>
              <w:left w:val="nil"/>
              <w:bottom w:val="nil"/>
              <w:right w:val="nil"/>
            </w:tcBorders>
            <w:shd w:val="clear" w:color="auto" w:fill="auto"/>
            <w:noWrap/>
            <w:vAlign w:val="bottom"/>
            <w:hideMark/>
          </w:tcPr>
          <w:p w14:paraId="46CE2C56" w14:textId="77777777" w:rsidR="00297720" w:rsidRPr="00020C88" w:rsidRDefault="00297720" w:rsidP="00297720">
            <w:pPr>
              <w:spacing w:after="0" w:line="240" w:lineRule="auto"/>
              <w:rPr>
                <w:rFonts w:ascii="Times New Roman" w:hAnsi="Times New Roman"/>
                <w:sz w:val="18"/>
                <w:szCs w:val="18"/>
                <w:lang w:eastAsia="sk-SK"/>
              </w:rPr>
            </w:pPr>
          </w:p>
        </w:tc>
        <w:tc>
          <w:tcPr>
            <w:tcW w:w="718" w:type="dxa"/>
            <w:tcBorders>
              <w:top w:val="nil"/>
              <w:left w:val="nil"/>
              <w:bottom w:val="nil"/>
              <w:right w:val="nil"/>
            </w:tcBorders>
            <w:shd w:val="clear" w:color="auto" w:fill="auto"/>
            <w:noWrap/>
            <w:vAlign w:val="bottom"/>
            <w:hideMark/>
          </w:tcPr>
          <w:p w14:paraId="6E87B70E" w14:textId="77777777" w:rsidR="00297720" w:rsidRPr="00020C88" w:rsidRDefault="00297720" w:rsidP="00297720">
            <w:pPr>
              <w:spacing w:after="0" w:line="240" w:lineRule="auto"/>
              <w:rPr>
                <w:rFonts w:ascii="Times New Roman" w:hAnsi="Times New Roman"/>
                <w:sz w:val="18"/>
                <w:szCs w:val="18"/>
                <w:lang w:eastAsia="sk-SK"/>
              </w:rPr>
            </w:pPr>
          </w:p>
        </w:tc>
        <w:tc>
          <w:tcPr>
            <w:tcW w:w="590" w:type="dxa"/>
            <w:tcBorders>
              <w:top w:val="nil"/>
              <w:left w:val="nil"/>
              <w:bottom w:val="nil"/>
              <w:right w:val="nil"/>
            </w:tcBorders>
            <w:shd w:val="clear" w:color="auto" w:fill="auto"/>
            <w:noWrap/>
            <w:vAlign w:val="bottom"/>
            <w:hideMark/>
          </w:tcPr>
          <w:p w14:paraId="67868FCA" w14:textId="77777777" w:rsidR="00297720" w:rsidRPr="00020C88" w:rsidRDefault="00297720" w:rsidP="00297720">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30473464" w14:textId="77777777" w:rsidR="00297720" w:rsidRPr="00020C88" w:rsidRDefault="00297720" w:rsidP="00297720">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36B1AB68" w14:textId="77777777" w:rsidR="00297720" w:rsidRPr="00020C88" w:rsidRDefault="00297720" w:rsidP="00297720">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59098EC5" w14:textId="77777777" w:rsidR="00297720" w:rsidRPr="00020C88" w:rsidRDefault="00297720" w:rsidP="00297720">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5EB6FB2C" w14:textId="77777777" w:rsidR="00297720" w:rsidRPr="00020C88" w:rsidRDefault="00297720" w:rsidP="00297720">
            <w:pPr>
              <w:spacing w:after="0" w:line="240" w:lineRule="auto"/>
              <w:rPr>
                <w:rFonts w:ascii="Times New Roman" w:hAnsi="Times New Roman"/>
                <w:sz w:val="18"/>
                <w:szCs w:val="18"/>
                <w:lang w:eastAsia="sk-SK"/>
              </w:rPr>
            </w:pPr>
          </w:p>
        </w:tc>
        <w:tc>
          <w:tcPr>
            <w:tcW w:w="629" w:type="dxa"/>
            <w:tcBorders>
              <w:top w:val="nil"/>
              <w:left w:val="nil"/>
              <w:bottom w:val="nil"/>
              <w:right w:val="nil"/>
            </w:tcBorders>
            <w:shd w:val="clear" w:color="auto" w:fill="auto"/>
            <w:noWrap/>
            <w:vAlign w:val="bottom"/>
            <w:hideMark/>
          </w:tcPr>
          <w:p w14:paraId="2CCEBE7F" w14:textId="77777777" w:rsidR="00297720" w:rsidRPr="00020C88" w:rsidRDefault="00297720" w:rsidP="00297720">
            <w:pPr>
              <w:spacing w:after="0" w:line="240" w:lineRule="auto"/>
              <w:rPr>
                <w:rFonts w:ascii="Times New Roman" w:hAnsi="Times New Roman"/>
                <w:sz w:val="18"/>
                <w:szCs w:val="18"/>
                <w:lang w:eastAsia="sk-SK"/>
              </w:rPr>
            </w:pPr>
          </w:p>
        </w:tc>
        <w:tc>
          <w:tcPr>
            <w:tcW w:w="708" w:type="dxa"/>
            <w:tcBorders>
              <w:top w:val="nil"/>
              <w:left w:val="nil"/>
              <w:bottom w:val="nil"/>
              <w:right w:val="nil"/>
            </w:tcBorders>
            <w:shd w:val="clear" w:color="auto" w:fill="auto"/>
            <w:noWrap/>
            <w:vAlign w:val="bottom"/>
            <w:hideMark/>
          </w:tcPr>
          <w:p w14:paraId="126EDD1D" w14:textId="77777777" w:rsidR="00297720" w:rsidRPr="00020C88" w:rsidRDefault="00297720" w:rsidP="00297720">
            <w:pPr>
              <w:spacing w:after="0" w:line="240" w:lineRule="auto"/>
              <w:rPr>
                <w:rFonts w:ascii="Times New Roman" w:hAnsi="Times New Roman"/>
                <w:sz w:val="18"/>
                <w:szCs w:val="18"/>
                <w:lang w:eastAsia="sk-SK"/>
              </w:rPr>
            </w:pPr>
          </w:p>
        </w:tc>
        <w:tc>
          <w:tcPr>
            <w:tcW w:w="709" w:type="dxa"/>
            <w:tcBorders>
              <w:top w:val="nil"/>
              <w:left w:val="nil"/>
              <w:bottom w:val="nil"/>
              <w:right w:val="nil"/>
            </w:tcBorders>
            <w:shd w:val="clear" w:color="auto" w:fill="auto"/>
            <w:noWrap/>
            <w:vAlign w:val="bottom"/>
            <w:hideMark/>
          </w:tcPr>
          <w:p w14:paraId="4225663F" w14:textId="77777777" w:rsidR="00297720" w:rsidRPr="00020C88" w:rsidRDefault="00297720" w:rsidP="00297720">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2FD04805" w14:textId="77777777" w:rsidR="00297720" w:rsidRPr="00020C88" w:rsidRDefault="00297720" w:rsidP="00297720">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6467A614" w14:textId="77777777" w:rsidR="00297720" w:rsidRPr="00020C88" w:rsidRDefault="00297720" w:rsidP="00297720">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775B4B4B" w14:textId="77777777" w:rsidR="00297720" w:rsidRPr="00020C88" w:rsidRDefault="00297720" w:rsidP="00297720">
            <w:pPr>
              <w:spacing w:after="0" w:line="240" w:lineRule="auto"/>
              <w:rPr>
                <w:rFonts w:ascii="Times New Roman" w:hAnsi="Times New Roman"/>
                <w:sz w:val="18"/>
                <w:szCs w:val="18"/>
                <w:lang w:eastAsia="sk-SK"/>
              </w:rPr>
            </w:pPr>
          </w:p>
        </w:tc>
        <w:tc>
          <w:tcPr>
            <w:tcW w:w="1276" w:type="dxa"/>
            <w:tcBorders>
              <w:top w:val="nil"/>
              <w:left w:val="nil"/>
              <w:bottom w:val="nil"/>
              <w:right w:val="nil"/>
            </w:tcBorders>
            <w:shd w:val="clear" w:color="auto" w:fill="auto"/>
            <w:noWrap/>
            <w:vAlign w:val="bottom"/>
            <w:hideMark/>
          </w:tcPr>
          <w:p w14:paraId="04646A05" w14:textId="77777777" w:rsidR="00297720" w:rsidRPr="00020C88" w:rsidRDefault="00297720" w:rsidP="00297720">
            <w:pPr>
              <w:spacing w:after="0" w:line="240" w:lineRule="auto"/>
              <w:rPr>
                <w:rFonts w:ascii="Times New Roman" w:hAnsi="Times New Roman"/>
                <w:sz w:val="18"/>
                <w:szCs w:val="18"/>
                <w:lang w:eastAsia="sk-SK"/>
              </w:rPr>
            </w:pPr>
          </w:p>
        </w:tc>
      </w:tr>
      <w:tr w:rsidR="000C10F9" w:rsidRPr="00020C88" w14:paraId="47E37FA2" w14:textId="77777777" w:rsidTr="00B86229">
        <w:trPr>
          <w:trHeight w:val="290"/>
        </w:trPr>
        <w:tc>
          <w:tcPr>
            <w:tcW w:w="11624" w:type="dxa"/>
            <w:gridSpan w:val="17"/>
            <w:tcBorders>
              <w:top w:val="nil"/>
              <w:left w:val="nil"/>
              <w:bottom w:val="nil"/>
            </w:tcBorders>
            <w:shd w:val="clear" w:color="auto" w:fill="auto"/>
            <w:noWrap/>
            <w:vAlign w:val="bottom"/>
            <w:hideMark/>
          </w:tcPr>
          <w:p w14:paraId="76EB9C99" w14:textId="1652AEFF" w:rsidR="000C10F9" w:rsidRPr="00020C88" w:rsidRDefault="000C10F9" w:rsidP="00297720">
            <w:pPr>
              <w:spacing w:after="0" w:line="240" w:lineRule="auto"/>
              <w:rPr>
                <w:rFonts w:ascii="Times New Roman" w:hAnsi="Times New Roman"/>
                <w:sz w:val="18"/>
                <w:szCs w:val="18"/>
                <w:lang w:eastAsia="sk-SK"/>
              </w:rPr>
            </w:pPr>
            <w:r w:rsidRPr="00020C88">
              <w:rPr>
                <w:rFonts w:ascii="Times New Roman" w:hAnsi="Times New Roman"/>
                <w:b/>
                <w:bCs/>
                <w:color w:val="000000"/>
                <w:sz w:val="18"/>
                <w:szCs w:val="18"/>
                <w:lang w:eastAsia="sk-SK"/>
              </w:rPr>
              <w:t>e) Predpokladaný počet pacientov pri 90% obložnosti</w:t>
            </w:r>
          </w:p>
        </w:tc>
      </w:tr>
      <w:tr w:rsidR="000C10F9" w:rsidRPr="00020C88" w14:paraId="226C86D1" w14:textId="77777777" w:rsidTr="00B86229">
        <w:trPr>
          <w:trHeight w:val="290"/>
        </w:trPr>
        <w:tc>
          <w:tcPr>
            <w:tcW w:w="184" w:type="dxa"/>
            <w:tcBorders>
              <w:top w:val="nil"/>
              <w:left w:val="nil"/>
              <w:bottom w:val="nil"/>
              <w:right w:val="nil"/>
            </w:tcBorders>
            <w:shd w:val="clear" w:color="000000" w:fill="DBDBDB"/>
            <w:noWrap/>
            <w:vAlign w:val="bottom"/>
            <w:hideMark/>
          </w:tcPr>
          <w:p w14:paraId="7DA452F9"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lastRenderedPageBreak/>
              <w:t> </w:t>
            </w:r>
          </w:p>
        </w:tc>
        <w:tc>
          <w:tcPr>
            <w:tcW w:w="2225"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4101498"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664" w:type="dxa"/>
            <w:tcBorders>
              <w:top w:val="single" w:sz="4" w:space="0" w:color="auto"/>
              <w:left w:val="nil"/>
              <w:bottom w:val="single" w:sz="4" w:space="0" w:color="auto"/>
              <w:right w:val="single" w:sz="4" w:space="0" w:color="auto"/>
            </w:tcBorders>
            <w:shd w:val="clear" w:color="000000" w:fill="DBDBDB"/>
            <w:noWrap/>
            <w:vAlign w:val="bottom"/>
            <w:hideMark/>
          </w:tcPr>
          <w:p w14:paraId="17F2C1B2"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718" w:type="dxa"/>
            <w:tcBorders>
              <w:top w:val="single" w:sz="4" w:space="0" w:color="auto"/>
              <w:left w:val="nil"/>
              <w:bottom w:val="single" w:sz="4" w:space="0" w:color="auto"/>
              <w:right w:val="single" w:sz="4" w:space="0" w:color="auto"/>
            </w:tcBorders>
            <w:shd w:val="clear" w:color="000000" w:fill="DBDBDB"/>
            <w:noWrap/>
            <w:vAlign w:val="bottom"/>
            <w:hideMark/>
          </w:tcPr>
          <w:p w14:paraId="56FD7F29"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590" w:type="dxa"/>
            <w:tcBorders>
              <w:top w:val="single" w:sz="4" w:space="0" w:color="auto"/>
              <w:left w:val="nil"/>
              <w:bottom w:val="single" w:sz="4" w:space="0" w:color="auto"/>
              <w:right w:val="single" w:sz="4" w:space="0" w:color="auto"/>
            </w:tcBorders>
            <w:shd w:val="clear" w:color="000000" w:fill="DBDBDB"/>
            <w:noWrap/>
            <w:vAlign w:val="bottom"/>
            <w:hideMark/>
          </w:tcPr>
          <w:p w14:paraId="56043C42"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7B888D2F"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409D42C7"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6C17AC20"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c>
          <w:tcPr>
            <w:tcW w:w="555" w:type="dxa"/>
            <w:tcBorders>
              <w:top w:val="single" w:sz="4" w:space="0" w:color="auto"/>
              <w:left w:val="nil"/>
              <w:bottom w:val="single" w:sz="4" w:space="0" w:color="auto"/>
              <w:right w:val="single" w:sz="4" w:space="0" w:color="auto"/>
            </w:tcBorders>
            <w:shd w:val="clear" w:color="000000" w:fill="DBDBDB"/>
            <w:noWrap/>
            <w:vAlign w:val="bottom"/>
            <w:hideMark/>
          </w:tcPr>
          <w:p w14:paraId="63332DAD"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2023</w:t>
            </w:r>
          </w:p>
        </w:tc>
        <w:tc>
          <w:tcPr>
            <w:tcW w:w="629" w:type="dxa"/>
            <w:tcBorders>
              <w:top w:val="single" w:sz="4" w:space="0" w:color="auto"/>
              <w:left w:val="nil"/>
              <w:bottom w:val="single" w:sz="4" w:space="0" w:color="auto"/>
              <w:right w:val="single" w:sz="4" w:space="0" w:color="auto"/>
            </w:tcBorders>
            <w:shd w:val="clear" w:color="000000" w:fill="DBDBDB"/>
            <w:noWrap/>
            <w:vAlign w:val="bottom"/>
            <w:hideMark/>
          </w:tcPr>
          <w:p w14:paraId="3D6C2EF9"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2024</w:t>
            </w:r>
          </w:p>
        </w:tc>
        <w:tc>
          <w:tcPr>
            <w:tcW w:w="708" w:type="dxa"/>
            <w:tcBorders>
              <w:top w:val="single" w:sz="4" w:space="0" w:color="auto"/>
              <w:left w:val="nil"/>
              <w:bottom w:val="single" w:sz="4" w:space="0" w:color="auto"/>
              <w:right w:val="single" w:sz="4" w:space="0" w:color="auto"/>
            </w:tcBorders>
            <w:shd w:val="clear" w:color="000000" w:fill="DBDBDB"/>
            <w:noWrap/>
            <w:vAlign w:val="bottom"/>
            <w:hideMark/>
          </w:tcPr>
          <w:p w14:paraId="7A52DA39"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2025</w:t>
            </w:r>
          </w:p>
        </w:tc>
        <w:tc>
          <w:tcPr>
            <w:tcW w:w="709" w:type="dxa"/>
            <w:tcBorders>
              <w:top w:val="single" w:sz="4" w:space="0" w:color="auto"/>
              <w:left w:val="nil"/>
              <w:bottom w:val="single" w:sz="4" w:space="0" w:color="auto"/>
              <w:right w:val="single" w:sz="4" w:space="0" w:color="auto"/>
            </w:tcBorders>
            <w:shd w:val="clear" w:color="000000" w:fill="DBDBDB"/>
            <w:noWrap/>
            <w:vAlign w:val="bottom"/>
            <w:hideMark/>
          </w:tcPr>
          <w:p w14:paraId="578ABFC1"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2026</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00EB437B"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2027</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5C887C88"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2028</w:t>
            </w:r>
          </w:p>
        </w:tc>
        <w:tc>
          <w:tcPr>
            <w:tcW w:w="567" w:type="dxa"/>
            <w:tcBorders>
              <w:top w:val="single" w:sz="4" w:space="0" w:color="auto"/>
              <w:left w:val="nil"/>
              <w:bottom w:val="single" w:sz="4" w:space="0" w:color="auto"/>
              <w:right w:val="single" w:sz="4" w:space="0" w:color="auto"/>
            </w:tcBorders>
            <w:shd w:val="clear" w:color="000000" w:fill="DBDBDB"/>
            <w:noWrap/>
            <w:vAlign w:val="bottom"/>
            <w:hideMark/>
          </w:tcPr>
          <w:p w14:paraId="7B1E45BF"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2029</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53669B9C" w14:textId="77777777" w:rsidR="00297720" w:rsidRPr="00020C88" w:rsidRDefault="00297720" w:rsidP="00297720">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2030</w:t>
            </w:r>
          </w:p>
        </w:tc>
      </w:tr>
      <w:tr w:rsidR="000C10F9" w:rsidRPr="00020C88" w14:paraId="70E343CC" w14:textId="77777777" w:rsidTr="00B86229">
        <w:trPr>
          <w:trHeight w:val="290"/>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CBCEB"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w:t>
            </w:r>
          </w:p>
        </w:tc>
        <w:tc>
          <w:tcPr>
            <w:tcW w:w="2225" w:type="dxa"/>
            <w:gridSpan w:val="2"/>
            <w:tcBorders>
              <w:top w:val="nil"/>
              <w:left w:val="nil"/>
              <w:bottom w:val="single" w:sz="4" w:space="0" w:color="auto"/>
              <w:right w:val="single" w:sz="4" w:space="0" w:color="auto"/>
            </w:tcBorders>
            <w:shd w:val="clear" w:color="auto" w:fill="auto"/>
            <w:noWrap/>
            <w:vAlign w:val="bottom"/>
            <w:hideMark/>
          </w:tcPr>
          <w:p w14:paraId="246857AB"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ošetrovateľská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51F7FBDC"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1 932   </w:t>
            </w:r>
          </w:p>
        </w:tc>
        <w:tc>
          <w:tcPr>
            <w:tcW w:w="718" w:type="dxa"/>
            <w:tcBorders>
              <w:top w:val="nil"/>
              <w:left w:val="nil"/>
              <w:bottom w:val="single" w:sz="4" w:space="0" w:color="auto"/>
              <w:right w:val="single" w:sz="4" w:space="0" w:color="auto"/>
            </w:tcBorders>
            <w:shd w:val="clear" w:color="auto" w:fill="auto"/>
            <w:noWrap/>
            <w:vAlign w:val="bottom"/>
            <w:hideMark/>
          </w:tcPr>
          <w:p w14:paraId="3185FE5D"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1 932   </w:t>
            </w:r>
          </w:p>
        </w:tc>
        <w:tc>
          <w:tcPr>
            <w:tcW w:w="590" w:type="dxa"/>
            <w:tcBorders>
              <w:top w:val="nil"/>
              <w:left w:val="nil"/>
              <w:bottom w:val="single" w:sz="4" w:space="0" w:color="auto"/>
              <w:right w:val="single" w:sz="4" w:space="0" w:color="auto"/>
            </w:tcBorders>
            <w:shd w:val="clear" w:color="auto" w:fill="auto"/>
            <w:noWrap/>
            <w:vAlign w:val="bottom"/>
            <w:hideMark/>
          </w:tcPr>
          <w:p w14:paraId="7C7C0EA6"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1 932   </w:t>
            </w:r>
          </w:p>
        </w:tc>
        <w:tc>
          <w:tcPr>
            <w:tcW w:w="555" w:type="dxa"/>
            <w:tcBorders>
              <w:top w:val="nil"/>
              <w:left w:val="nil"/>
              <w:bottom w:val="single" w:sz="4" w:space="0" w:color="auto"/>
              <w:right w:val="single" w:sz="4" w:space="0" w:color="auto"/>
            </w:tcBorders>
            <w:shd w:val="clear" w:color="auto" w:fill="auto"/>
            <w:noWrap/>
            <w:vAlign w:val="bottom"/>
            <w:hideMark/>
          </w:tcPr>
          <w:p w14:paraId="3E4AE07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2 388   </w:t>
            </w:r>
          </w:p>
        </w:tc>
        <w:tc>
          <w:tcPr>
            <w:tcW w:w="555" w:type="dxa"/>
            <w:tcBorders>
              <w:top w:val="nil"/>
              <w:left w:val="nil"/>
              <w:bottom w:val="single" w:sz="4" w:space="0" w:color="auto"/>
              <w:right w:val="single" w:sz="4" w:space="0" w:color="auto"/>
            </w:tcBorders>
            <w:shd w:val="clear" w:color="auto" w:fill="auto"/>
            <w:noWrap/>
            <w:vAlign w:val="bottom"/>
            <w:hideMark/>
          </w:tcPr>
          <w:p w14:paraId="599290FE"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2 594   </w:t>
            </w:r>
          </w:p>
        </w:tc>
        <w:tc>
          <w:tcPr>
            <w:tcW w:w="555" w:type="dxa"/>
            <w:tcBorders>
              <w:top w:val="nil"/>
              <w:left w:val="nil"/>
              <w:bottom w:val="single" w:sz="4" w:space="0" w:color="auto"/>
              <w:right w:val="single" w:sz="4" w:space="0" w:color="auto"/>
            </w:tcBorders>
            <w:shd w:val="clear" w:color="auto" w:fill="auto"/>
            <w:noWrap/>
            <w:vAlign w:val="bottom"/>
            <w:hideMark/>
          </w:tcPr>
          <w:p w14:paraId="66D156F5"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2 799   </w:t>
            </w:r>
          </w:p>
        </w:tc>
        <w:tc>
          <w:tcPr>
            <w:tcW w:w="555" w:type="dxa"/>
            <w:tcBorders>
              <w:top w:val="nil"/>
              <w:left w:val="nil"/>
              <w:bottom w:val="single" w:sz="4" w:space="0" w:color="auto"/>
              <w:right w:val="single" w:sz="4" w:space="0" w:color="auto"/>
            </w:tcBorders>
            <w:shd w:val="clear" w:color="auto" w:fill="auto"/>
            <w:noWrap/>
            <w:vAlign w:val="bottom"/>
            <w:hideMark/>
          </w:tcPr>
          <w:p w14:paraId="0801EA6C"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1 931   </w:t>
            </w:r>
          </w:p>
        </w:tc>
        <w:tc>
          <w:tcPr>
            <w:tcW w:w="629" w:type="dxa"/>
            <w:tcBorders>
              <w:top w:val="nil"/>
              <w:left w:val="nil"/>
              <w:bottom w:val="single" w:sz="4" w:space="0" w:color="auto"/>
              <w:right w:val="single" w:sz="4" w:space="0" w:color="auto"/>
            </w:tcBorders>
            <w:shd w:val="clear" w:color="auto" w:fill="auto"/>
            <w:noWrap/>
            <w:vAlign w:val="bottom"/>
            <w:hideMark/>
          </w:tcPr>
          <w:p w14:paraId="4C8AD68C"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1 926   </w:t>
            </w:r>
          </w:p>
        </w:tc>
        <w:tc>
          <w:tcPr>
            <w:tcW w:w="708" w:type="dxa"/>
            <w:tcBorders>
              <w:top w:val="nil"/>
              <w:left w:val="nil"/>
              <w:bottom w:val="single" w:sz="4" w:space="0" w:color="auto"/>
              <w:right w:val="single" w:sz="4" w:space="0" w:color="auto"/>
            </w:tcBorders>
            <w:shd w:val="clear" w:color="auto" w:fill="auto"/>
            <w:noWrap/>
            <w:vAlign w:val="bottom"/>
            <w:hideMark/>
          </w:tcPr>
          <w:p w14:paraId="0555A43C"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1 921   </w:t>
            </w:r>
          </w:p>
        </w:tc>
        <w:tc>
          <w:tcPr>
            <w:tcW w:w="709" w:type="dxa"/>
            <w:tcBorders>
              <w:top w:val="nil"/>
              <w:left w:val="nil"/>
              <w:bottom w:val="single" w:sz="4" w:space="0" w:color="auto"/>
              <w:right w:val="single" w:sz="4" w:space="0" w:color="auto"/>
            </w:tcBorders>
            <w:shd w:val="clear" w:color="auto" w:fill="auto"/>
            <w:noWrap/>
            <w:vAlign w:val="bottom"/>
            <w:hideMark/>
          </w:tcPr>
          <w:p w14:paraId="418A5070"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1 917   </w:t>
            </w:r>
          </w:p>
        </w:tc>
        <w:tc>
          <w:tcPr>
            <w:tcW w:w="567" w:type="dxa"/>
            <w:tcBorders>
              <w:top w:val="nil"/>
              <w:left w:val="nil"/>
              <w:bottom w:val="single" w:sz="4" w:space="0" w:color="auto"/>
              <w:right w:val="single" w:sz="4" w:space="0" w:color="auto"/>
            </w:tcBorders>
            <w:shd w:val="clear" w:color="auto" w:fill="auto"/>
            <w:noWrap/>
            <w:vAlign w:val="bottom"/>
            <w:hideMark/>
          </w:tcPr>
          <w:p w14:paraId="723CACD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2 026   </w:t>
            </w:r>
          </w:p>
        </w:tc>
        <w:tc>
          <w:tcPr>
            <w:tcW w:w="567" w:type="dxa"/>
            <w:tcBorders>
              <w:top w:val="nil"/>
              <w:left w:val="nil"/>
              <w:bottom w:val="single" w:sz="4" w:space="0" w:color="auto"/>
              <w:right w:val="single" w:sz="4" w:space="0" w:color="auto"/>
            </w:tcBorders>
            <w:shd w:val="clear" w:color="auto" w:fill="auto"/>
            <w:noWrap/>
            <w:vAlign w:val="bottom"/>
            <w:hideMark/>
          </w:tcPr>
          <w:p w14:paraId="1CBF408C"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1 910   </w:t>
            </w:r>
          </w:p>
        </w:tc>
        <w:tc>
          <w:tcPr>
            <w:tcW w:w="567" w:type="dxa"/>
            <w:tcBorders>
              <w:top w:val="nil"/>
              <w:left w:val="nil"/>
              <w:bottom w:val="single" w:sz="4" w:space="0" w:color="auto"/>
              <w:right w:val="single" w:sz="4" w:space="0" w:color="auto"/>
            </w:tcBorders>
            <w:shd w:val="clear" w:color="auto" w:fill="auto"/>
            <w:noWrap/>
            <w:vAlign w:val="bottom"/>
            <w:hideMark/>
          </w:tcPr>
          <w:p w14:paraId="701BF45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2 007   </w:t>
            </w:r>
          </w:p>
        </w:tc>
        <w:tc>
          <w:tcPr>
            <w:tcW w:w="1276" w:type="dxa"/>
            <w:tcBorders>
              <w:top w:val="nil"/>
              <w:left w:val="nil"/>
              <w:bottom w:val="single" w:sz="4" w:space="0" w:color="auto"/>
              <w:right w:val="single" w:sz="4" w:space="0" w:color="auto"/>
            </w:tcBorders>
            <w:shd w:val="clear" w:color="auto" w:fill="auto"/>
            <w:noWrap/>
            <w:vAlign w:val="bottom"/>
            <w:hideMark/>
          </w:tcPr>
          <w:p w14:paraId="7B79209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2 104   </w:t>
            </w:r>
          </w:p>
        </w:tc>
      </w:tr>
      <w:tr w:rsidR="000C10F9" w:rsidRPr="00020C88" w14:paraId="6F634C34" w14:textId="77777777" w:rsidTr="00B86229">
        <w:trPr>
          <w:trHeight w:val="290"/>
        </w:trPr>
        <w:tc>
          <w:tcPr>
            <w:tcW w:w="184" w:type="dxa"/>
            <w:tcBorders>
              <w:top w:val="nil"/>
              <w:left w:val="nil"/>
              <w:bottom w:val="nil"/>
              <w:right w:val="nil"/>
            </w:tcBorders>
            <w:shd w:val="clear" w:color="auto" w:fill="auto"/>
            <w:noWrap/>
            <w:vAlign w:val="bottom"/>
            <w:hideMark/>
          </w:tcPr>
          <w:p w14:paraId="59ACE351" w14:textId="77777777" w:rsidR="00297720" w:rsidRPr="00020C88" w:rsidRDefault="00297720" w:rsidP="00297720">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997E2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hospicová starostlivosť</w:t>
            </w:r>
          </w:p>
        </w:tc>
        <w:tc>
          <w:tcPr>
            <w:tcW w:w="664" w:type="dxa"/>
            <w:tcBorders>
              <w:top w:val="nil"/>
              <w:left w:val="nil"/>
              <w:bottom w:val="single" w:sz="4" w:space="0" w:color="auto"/>
              <w:right w:val="single" w:sz="4" w:space="0" w:color="auto"/>
            </w:tcBorders>
            <w:shd w:val="clear" w:color="auto" w:fill="auto"/>
            <w:noWrap/>
            <w:vAlign w:val="bottom"/>
            <w:hideMark/>
          </w:tcPr>
          <w:p w14:paraId="1389954F"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1 209   </w:t>
            </w:r>
          </w:p>
        </w:tc>
        <w:tc>
          <w:tcPr>
            <w:tcW w:w="718" w:type="dxa"/>
            <w:tcBorders>
              <w:top w:val="nil"/>
              <w:left w:val="nil"/>
              <w:bottom w:val="single" w:sz="4" w:space="0" w:color="auto"/>
              <w:right w:val="single" w:sz="4" w:space="0" w:color="auto"/>
            </w:tcBorders>
            <w:shd w:val="clear" w:color="auto" w:fill="auto"/>
            <w:noWrap/>
            <w:vAlign w:val="bottom"/>
            <w:hideMark/>
          </w:tcPr>
          <w:p w14:paraId="2031A3D6"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1 209   </w:t>
            </w:r>
          </w:p>
        </w:tc>
        <w:tc>
          <w:tcPr>
            <w:tcW w:w="590" w:type="dxa"/>
            <w:tcBorders>
              <w:top w:val="nil"/>
              <w:left w:val="nil"/>
              <w:bottom w:val="single" w:sz="4" w:space="0" w:color="auto"/>
              <w:right w:val="single" w:sz="4" w:space="0" w:color="auto"/>
            </w:tcBorders>
            <w:shd w:val="clear" w:color="auto" w:fill="auto"/>
            <w:noWrap/>
            <w:vAlign w:val="bottom"/>
            <w:hideMark/>
          </w:tcPr>
          <w:p w14:paraId="2B66FBB2"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1 209   </w:t>
            </w:r>
          </w:p>
        </w:tc>
        <w:tc>
          <w:tcPr>
            <w:tcW w:w="555" w:type="dxa"/>
            <w:tcBorders>
              <w:top w:val="nil"/>
              <w:left w:val="nil"/>
              <w:bottom w:val="single" w:sz="4" w:space="0" w:color="auto"/>
              <w:right w:val="single" w:sz="4" w:space="0" w:color="auto"/>
            </w:tcBorders>
            <w:shd w:val="clear" w:color="auto" w:fill="auto"/>
            <w:noWrap/>
            <w:vAlign w:val="bottom"/>
            <w:hideMark/>
          </w:tcPr>
          <w:p w14:paraId="28D2A2EC"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1 709   </w:t>
            </w:r>
          </w:p>
        </w:tc>
        <w:tc>
          <w:tcPr>
            <w:tcW w:w="555" w:type="dxa"/>
            <w:tcBorders>
              <w:top w:val="nil"/>
              <w:left w:val="nil"/>
              <w:bottom w:val="single" w:sz="4" w:space="0" w:color="auto"/>
              <w:right w:val="single" w:sz="4" w:space="0" w:color="auto"/>
            </w:tcBorders>
            <w:shd w:val="clear" w:color="auto" w:fill="auto"/>
            <w:noWrap/>
            <w:vAlign w:val="bottom"/>
            <w:hideMark/>
          </w:tcPr>
          <w:p w14:paraId="33C1079C"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2 176   </w:t>
            </w:r>
          </w:p>
        </w:tc>
        <w:tc>
          <w:tcPr>
            <w:tcW w:w="555" w:type="dxa"/>
            <w:tcBorders>
              <w:top w:val="nil"/>
              <w:left w:val="nil"/>
              <w:bottom w:val="single" w:sz="4" w:space="0" w:color="auto"/>
              <w:right w:val="single" w:sz="4" w:space="0" w:color="auto"/>
            </w:tcBorders>
            <w:shd w:val="clear" w:color="auto" w:fill="auto"/>
            <w:noWrap/>
            <w:vAlign w:val="bottom"/>
            <w:hideMark/>
          </w:tcPr>
          <w:p w14:paraId="0F4DB74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2 644   </w:t>
            </w:r>
          </w:p>
        </w:tc>
        <w:tc>
          <w:tcPr>
            <w:tcW w:w="555" w:type="dxa"/>
            <w:tcBorders>
              <w:top w:val="nil"/>
              <w:left w:val="nil"/>
              <w:bottom w:val="single" w:sz="4" w:space="0" w:color="auto"/>
              <w:right w:val="single" w:sz="4" w:space="0" w:color="auto"/>
            </w:tcBorders>
            <w:shd w:val="clear" w:color="auto" w:fill="auto"/>
            <w:noWrap/>
            <w:vAlign w:val="bottom"/>
            <w:hideMark/>
          </w:tcPr>
          <w:p w14:paraId="337CDCD6"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3 228   </w:t>
            </w:r>
          </w:p>
        </w:tc>
        <w:tc>
          <w:tcPr>
            <w:tcW w:w="629" w:type="dxa"/>
            <w:tcBorders>
              <w:top w:val="nil"/>
              <w:left w:val="nil"/>
              <w:bottom w:val="single" w:sz="4" w:space="0" w:color="auto"/>
              <w:right w:val="single" w:sz="4" w:space="0" w:color="auto"/>
            </w:tcBorders>
            <w:shd w:val="clear" w:color="auto" w:fill="auto"/>
            <w:noWrap/>
            <w:vAlign w:val="bottom"/>
            <w:hideMark/>
          </w:tcPr>
          <w:p w14:paraId="5830C08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3 644   </w:t>
            </w:r>
          </w:p>
        </w:tc>
        <w:tc>
          <w:tcPr>
            <w:tcW w:w="708" w:type="dxa"/>
            <w:tcBorders>
              <w:top w:val="nil"/>
              <w:left w:val="nil"/>
              <w:bottom w:val="single" w:sz="4" w:space="0" w:color="auto"/>
              <w:right w:val="single" w:sz="4" w:space="0" w:color="auto"/>
            </w:tcBorders>
            <w:shd w:val="clear" w:color="auto" w:fill="auto"/>
            <w:noWrap/>
            <w:vAlign w:val="bottom"/>
            <w:hideMark/>
          </w:tcPr>
          <w:p w14:paraId="6155E8A2"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4 045   </w:t>
            </w:r>
          </w:p>
        </w:tc>
        <w:tc>
          <w:tcPr>
            <w:tcW w:w="709" w:type="dxa"/>
            <w:tcBorders>
              <w:top w:val="nil"/>
              <w:left w:val="nil"/>
              <w:bottom w:val="single" w:sz="4" w:space="0" w:color="auto"/>
              <w:right w:val="single" w:sz="4" w:space="0" w:color="auto"/>
            </w:tcBorders>
            <w:shd w:val="clear" w:color="auto" w:fill="auto"/>
            <w:noWrap/>
            <w:vAlign w:val="bottom"/>
            <w:hideMark/>
          </w:tcPr>
          <w:p w14:paraId="37CA6B8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4 354   </w:t>
            </w:r>
          </w:p>
        </w:tc>
        <w:tc>
          <w:tcPr>
            <w:tcW w:w="567" w:type="dxa"/>
            <w:tcBorders>
              <w:top w:val="nil"/>
              <w:left w:val="nil"/>
              <w:bottom w:val="single" w:sz="4" w:space="0" w:color="auto"/>
              <w:right w:val="single" w:sz="4" w:space="0" w:color="auto"/>
            </w:tcBorders>
            <w:shd w:val="clear" w:color="auto" w:fill="auto"/>
            <w:noWrap/>
            <w:vAlign w:val="bottom"/>
            <w:hideMark/>
          </w:tcPr>
          <w:p w14:paraId="6B8C5B0E"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4 804   </w:t>
            </w:r>
          </w:p>
        </w:tc>
        <w:tc>
          <w:tcPr>
            <w:tcW w:w="567" w:type="dxa"/>
            <w:tcBorders>
              <w:top w:val="nil"/>
              <w:left w:val="nil"/>
              <w:bottom w:val="single" w:sz="4" w:space="0" w:color="auto"/>
              <w:right w:val="single" w:sz="4" w:space="0" w:color="auto"/>
            </w:tcBorders>
            <w:shd w:val="clear" w:color="auto" w:fill="auto"/>
            <w:noWrap/>
            <w:vAlign w:val="bottom"/>
            <w:hideMark/>
          </w:tcPr>
          <w:p w14:paraId="028E24B2"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5 077   </w:t>
            </w:r>
          </w:p>
        </w:tc>
        <w:tc>
          <w:tcPr>
            <w:tcW w:w="567" w:type="dxa"/>
            <w:tcBorders>
              <w:top w:val="nil"/>
              <w:left w:val="nil"/>
              <w:bottom w:val="single" w:sz="4" w:space="0" w:color="auto"/>
              <w:right w:val="single" w:sz="4" w:space="0" w:color="auto"/>
            </w:tcBorders>
            <w:shd w:val="clear" w:color="auto" w:fill="auto"/>
            <w:noWrap/>
            <w:vAlign w:val="bottom"/>
            <w:hideMark/>
          </w:tcPr>
          <w:p w14:paraId="222276D7"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5 512   </w:t>
            </w:r>
          </w:p>
        </w:tc>
        <w:tc>
          <w:tcPr>
            <w:tcW w:w="1276" w:type="dxa"/>
            <w:tcBorders>
              <w:top w:val="nil"/>
              <w:left w:val="nil"/>
              <w:bottom w:val="single" w:sz="4" w:space="0" w:color="auto"/>
              <w:right w:val="single" w:sz="4" w:space="0" w:color="auto"/>
            </w:tcBorders>
            <w:shd w:val="clear" w:color="auto" w:fill="auto"/>
            <w:noWrap/>
            <w:vAlign w:val="bottom"/>
            <w:hideMark/>
          </w:tcPr>
          <w:p w14:paraId="1F35D619"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5 948   </w:t>
            </w:r>
          </w:p>
        </w:tc>
      </w:tr>
      <w:tr w:rsidR="000C10F9" w:rsidRPr="00020C88" w14:paraId="11F59EB7" w14:textId="77777777" w:rsidTr="00B86229">
        <w:trPr>
          <w:trHeight w:val="290"/>
        </w:trPr>
        <w:tc>
          <w:tcPr>
            <w:tcW w:w="184" w:type="dxa"/>
            <w:tcBorders>
              <w:top w:val="nil"/>
              <w:left w:val="nil"/>
              <w:bottom w:val="nil"/>
              <w:right w:val="nil"/>
            </w:tcBorders>
            <w:shd w:val="clear" w:color="auto" w:fill="auto"/>
            <w:noWrap/>
            <w:vAlign w:val="bottom"/>
            <w:hideMark/>
          </w:tcPr>
          <w:p w14:paraId="4F6F5FE6" w14:textId="77777777" w:rsidR="00297720" w:rsidRPr="00020C88" w:rsidRDefault="00297720" w:rsidP="00297720">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BEE1E1"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paliatívna medicína</w:t>
            </w:r>
          </w:p>
        </w:tc>
        <w:tc>
          <w:tcPr>
            <w:tcW w:w="664" w:type="dxa"/>
            <w:tcBorders>
              <w:top w:val="nil"/>
              <w:left w:val="nil"/>
              <w:bottom w:val="single" w:sz="4" w:space="0" w:color="auto"/>
              <w:right w:val="single" w:sz="4" w:space="0" w:color="auto"/>
            </w:tcBorders>
            <w:shd w:val="clear" w:color="auto" w:fill="auto"/>
            <w:noWrap/>
            <w:vAlign w:val="bottom"/>
            <w:hideMark/>
          </w:tcPr>
          <w:p w14:paraId="7BEC6115"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1 292   </w:t>
            </w:r>
          </w:p>
        </w:tc>
        <w:tc>
          <w:tcPr>
            <w:tcW w:w="718" w:type="dxa"/>
            <w:tcBorders>
              <w:top w:val="nil"/>
              <w:left w:val="nil"/>
              <w:bottom w:val="single" w:sz="4" w:space="0" w:color="auto"/>
              <w:right w:val="single" w:sz="4" w:space="0" w:color="auto"/>
            </w:tcBorders>
            <w:shd w:val="clear" w:color="auto" w:fill="auto"/>
            <w:noWrap/>
            <w:vAlign w:val="bottom"/>
            <w:hideMark/>
          </w:tcPr>
          <w:p w14:paraId="365555A5"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1 292   </w:t>
            </w:r>
          </w:p>
        </w:tc>
        <w:tc>
          <w:tcPr>
            <w:tcW w:w="590" w:type="dxa"/>
            <w:tcBorders>
              <w:top w:val="nil"/>
              <w:left w:val="nil"/>
              <w:bottom w:val="single" w:sz="4" w:space="0" w:color="auto"/>
              <w:right w:val="single" w:sz="4" w:space="0" w:color="auto"/>
            </w:tcBorders>
            <w:shd w:val="clear" w:color="auto" w:fill="auto"/>
            <w:noWrap/>
            <w:vAlign w:val="bottom"/>
            <w:hideMark/>
          </w:tcPr>
          <w:p w14:paraId="02C36DE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1 292   </w:t>
            </w:r>
          </w:p>
        </w:tc>
        <w:tc>
          <w:tcPr>
            <w:tcW w:w="555" w:type="dxa"/>
            <w:tcBorders>
              <w:top w:val="nil"/>
              <w:left w:val="nil"/>
              <w:bottom w:val="single" w:sz="4" w:space="0" w:color="auto"/>
              <w:right w:val="single" w:sz="4" w:space="0" w:color="auto"/>
            </w:tcBorders>
            <w:shd w:val="clear" w:color="auto" w:fill="auto"/>
            <w:noWrap/>
            <w:vAlign w:val="bottom"/>
            <w:hideMark/>
          </w:tcPr>
          <w:p w14:paraId="1E5B7A3A"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2 122   </w:t>
            </w:r>
          </w:p>
        </w:tc>
        <w:tc>
          <w:tcPr>
            <w:tcW w:w="555" w:type="dxa"/>
            <w:tcBorders>
              <w:top w:val="nil"/>
              <w:left w:val="nil"/>
              <w:bottom w:val="single" w:sz="4" w:space="0" w:color="auto"/>
              <w:right w:val="single" w:sz="4" w:space="0" w:color="auto"/>
            </w:tcBorders>
            <w:shd w:val="clear" w:color="auto" w:fill="auto"/>
            <w:noWrap/>
            <w:vAlign w:val="bottom"/>
            <w:hideMark/>
          </w:tcPr>
          <w:p w14:paraId="366CD7F8"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2 674   </w:t>
            </w:r>
          </w:p>
        </w:tc>
        <w:tc>
          <w:tcPr>
            <w:tcW w:w="555" w:type="dxa"/>
            <w:tcBorders>
              <w:top w:val="nil"/>
              <w:left w:val="nil"/>
              <w:bottom w:val="single" w:sz="4" w:space="0" w:color="auto"/>
              <w:right w:val="single" w:sz="4" w:space="0" w:color="auto"/>
            </w:tcBorders>
            <w:shd w:val="clear" w:color="auto" w:fill="auto"/>
            <w:noWrap/>
            <w:vAlign w:val="bottom"/>
            <w:hideMark/>
          </w:tcPr>
          <w:p w14:paraId="08A607DC"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3 226   </w:t>
            </w:r>
          </w:p>
        </w:tc>
        <w:tc>
          <w:tcPr>
            <w:tcW w:w="555" w:type="dxa"/>
            <w:tcBorders>
              <w:top w:val="nil"/>
              <w:left w:val="nil"/>
              <w:bottom w:val="single" w:sz="4" w:space="0" w:color="auto"/>
              <w:right w:val="single" w:sz="4" w:space="0" w:color="auto"/>
            </w:tcBorders>
            <w:shd w:val="clear" w:color="auto" w:fill="auto"/>
            <w:noWrap/>
            <w:vAlign w:val="bottom"/>
            <w:hideMark/>
          </w:tcPr>
          <w:p w14:paraId="6488305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3 091   </w:t>
            </w:r>
          </w:p>
        </w:tc>
        <w:tc>
          <w:tcPr>
            <w:tcW w:w="629" w:type="dxa"/>
            <w:tcBorders>
              <w:top w:val="nil"/>
              <w:left w:val="nil"/>
              <w:bottom w:val="single" w:sz="4" w:space="0" w:color="auto"/>
              <w:right w:val="single" w:sz="4" w:space="0" w:color="auto"/>
            </w:tcBorders>
            <w:shd w:val="clear" w:color="auto" w:fill="auto"/>
            <w:noWrap/>
            <w:vAlign w:val="bottom"/>
            <w:hideMark/>
          </w:tcPr>
          <w:p w14:paraId="57B2E333"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3 389   </w:t>
            </w:r>
          </w:p>
        </w:tc>
        <w:tc>
          <w:tcPr>
            <w:tcW w:w="708" w:type="dxa"/>
            <w:tcBorders>
              <w:top w:val="nil"/>
              <w:left w:val="nil"/>
              <w:bottom w:val="single" w:sz="4" w:space="0" w:color="auto"/>
              <w:right w:val="single" w:sz="4" w:space="0" w:color="auto"/>
            </w:tcBorders>
            <w:shd w:val="clear" w:color="auto" w:fill="auto"/>
            <w:noWrap/>
            <w:vAlign w:val="bottom"/>
            <w:hideMark/>
          </w:tcPr>
          <w:p w14:paraId="04C30FD2"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3 515   </w:t>
            </w:r>
          </w:p>
        </w:tc>
        <w:tc>
          <w:tcPr>
            <w:tcW w:w="709" w:type="dxa"/>
            <w:tcBorders>
              <w:top w:val="nil"/>
              <w:left w:val="nil"/>
              <w:bottom w:val="single" w:sz="4" w:space="0" w:color="auto"/>
              <w:right w:val="single" w:sz="4" w:space="0" w:color="auto"/>
            </w:tcBorders>
            <w:shd w:val="clear" w:color="auto" w:fill="auto"/>
            <w:noWrap/>
            <w:vAlign w:val="bottom"/>
            <w:hideMark/>
          </w:tcPr>
          <w:p w14:paraId="4A429B2B"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3 762   </w:t>
            </w:r>
          </w:p>
        </w:tc>
        <w:tc>
          <w:tcPr>
            <w:tcW w:w="567" w:type="dxa"/>
            <w:tcBorders>
              <w:top w:val="nil"/>
              <w:left w:val="nil"/>
              <w:bottom w:val="single" w:sz="4" w:space="0" w:color="auto"/>
              <w:right w:val="single" w:sz="4" w:space="0" w:color="auto"/>
            </w:tcBorders>
            <w:shd w:val="clear" w:color="auto" w:fill="auto"/>
            <w:noWrap/>
            <w:vAlign w:val="bottom"/>
            <w:hideMark/>
          </w:tcPr>
          <w:p w14:paraId="78479D14"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4 145   </w:t>
            </w:r>
          </w:p>
        </w:tc>
        <w:tc>
          <w:tcPr>
            <w:tcW w:w="567" w:type="dxa"/>
            <w:tcBorders>
              <w:top w:val="nil"/>
              <w:left w:val="nil"/>
              <w:bottom w:val="single" w:sz="4" w:space="0" w:color="auto"/>
              <w:right w:val="single" w:sz="4" w:space="0" w:color="auto"/>
            </w:tcBorders>
            <w:shd w:val="clear" w:color="auto" w:fill="auto"/>
            <w:noWrap/>
            <w:vAlign w:val="bottom"/>
            <w:hideMark/>
          </w:tcPr>
          <w:p w14:paraId="6E620E03"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4 059   </w:t>
            </w:r>
          </w:p>
        </w:tc>
        <w:tc>
          <w:tcPr>
            <w:tcW w:w="567" w:type="dxa"/>
            <w:tcBorders>
              <w:top w:val="nil"/>
              <w:left w:val="nil"/>
              <w:bottom w:val="single" w:sz="4" w:space="0" w:color="auto"/>
              <w:right w:val="single" w:sz="4" w:space="0" w:color="auto"/>
            </w:tcBorders>
            <w:shd w:val="clear" w:color="auto" w:fill="auto"/>
            <w:noWrap/>
            <w:vAlign w:val="bottom"/>
            <w:hideMark/>
          </w:tcPr>
          <w:p w14:paraId="42C06BC5"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4 401   </w:t>
            </w:r>
          </w:p>
        </w:tc>
        <w:tc>
          <w:tcPr>
            <w:tcW w:w="1276" w:type="dxa"/>
            <w:tcBorders>
              <w:top w:val="nil"/>
              <w:left w:val="nil"/>
              <w:bottom w:val="single" w:sz="4" w:space="0" w:color="auto"/>
              <w:right w:val="single" w:sz="4" w:space="0" w:color="auto"/>
            </w:tcBorders>
            <w:shd w:val="clear" w:color="auto" w:fill="auto"/>
            <w:noWrap/>
            <w:vAlign w:val="bottom"/>
            <w:hideMark/>
          </w:tcPr>
          <w:p w14:paraId="6AF346F2"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4 744   </w:t>
            </w:r>
          </w:p>
        </w:tc>
      </w:tr>
      <w:tr w:rsidR="000C10F9" w:rsidRPr="00020C88" w14:paraId="47AF7EFC" w14:textId="77777777" w:rsidTr="00B86229">
        <w:trPr>
          <w:trHeight w:val="290"/>
        </w:trPr>
        <w:tc>
          <w:tcPr>
            <w:tcW w:w="184" w:type="dxa"/>
            <w:tcBorders>
              <w:top w:val="nil"/>
              <w:left w:val="nil"/>
              <w:bottom w:val="nil"/>
              <w:right w:val="nil"/>
            </w:tcBorders>
            <w:shd w:val="clear" w:color="auto" w:fill="auto"/>
            <w:noWrap/>
            <w:vAlign w:val="bottom"/>
            <w:hideMark/>
          </w:tcPr>
          <w:p w14:paraId="16D67C12" w14:textId="77777777" w:rsidR="00297720" w:rsidRPr="00020C88" w:rsidRDefault="00297720" w:rsidP="00297720">
            <w:pPr>
              <w:spacing w:after="0" w:line="240" w:lineRule="auto"/>
              <w:rPr>
                <w:rFonts w:ascii="Times New Roman" w:hAnsi="Times New Roman"/>
                <w:color w:val="000000"/>
                <w:sz w:val="18"/>
                <w:szCs w:val="18"/>
                <w:lang w:eastAsia="sk-SK"/>
              </w:rPr>
            </w:pPr>
          </w:p>
        </w:tc>
        <w:tc>
          <w:tcPr>
            <w:tcW w:w="2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626ABF" w14:textId="77777777" w:rsidR="00297720" w:rsidRPr="00020C88" w:rsidRDefault="00297720" w:rsidP="00297720">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SPOLU</w:t>
            </w:r>
          </w:p>
        </w:tc>
        <w:tc>
          <w:tcPr>
            <w:tcW w:w="664" w:type="dxa"/>
            <w:tcBorders>
              <w:top w:val="nil"/>
              <w:left w:val="nil"/>
              <w:bottom w:val="single" w:sz="4" w:space="0" w:color="auto"/>
              <w:right w:val="single" w:sz="4" w:space="0" w:color="auto"/>
            </w:tcBorders>
            <w:shd w:val="clear" w:color="auto" w:fill="auto"/>
            <w:noWrap/>
            <w:vAlign w:val="bottom"/>
            <w:hideMark/>
          </w:tcPr>
          <w:p w14:paraId="03A601AC"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1 209   </w:t>
            </w:r>
          </w:p>
        </w:tc>
        <w:tc>
          <w:tcPr>
            <w:tcW w:w="718" w:type="dxa"/>
            <w:tcBorders>
              <w:top w:val="nil"/>
              <w:left w:val="nil"/>
              <w:bottom w:val="single" w:sz="4" w:space="0" w:color="auto"/>
              <w:right w:val="single" w:sz="4" w:space="0" w:color="auto"/>
            </w:tcBorders>
            <w:shd w:val="clear" w:color="auto" w:fill="auto"/>
            <w:noWrap/>
            <w:vAlign w:val="bottom"/>
            <w:hideMark/>
          </w:tcPr>
          <w:p w14:paraId="129AE6A0"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1 209   </w:t>
            </w:r>
          </w:p>
        </w:tc>
        <w:tc>
          <w:tcPr>
            <w:tcW w:w="590" w:type="dxa"/>
            <w:tcBorders>
              <w:top w:val="nil"/>
              <w:left w:val="nil"/>
              <w:bottom w:val="single" w:sz="4" w:space="0" w:color="auto"/>
              <w:right w:val="single" w:sz="4" w:space="0" w:color="auto"/>
            </w:tcBorders>
            <w:shd w:val="clear" w:color="auto" w:fill="auto"/>
            <w:noWrap/>
            <w:vAlign w:val="bottom"/>
            <w:hideMark/>
          </w:tcPr>
          <w:p w14:paraId="5B8E3202"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1 209   </w:t>
            </w:r>
          </w:p>
        </w:tc>
        <w:tc>
          <w:tcPr>
            <w:tcW w:w="555" w:type="dxa"/>
            <w:tcBorders>
              <w:top w:val="nil"/>
              <w:left w:val="nil"/>
              <w:bottom w:val="single" w:sz="4" w:space="0" w:color="auto"/>
              <w:right w:val="single" w:sz="4" w:space="0" w:color="auto"/>
            </w:tcBorders>
            <w:shd w:val="clear" w:color="auto" w:fill="auto"/>
            <w:noWrap/>
            <w:vAlign w:val="bottom"/>
            <w:hideMark/>
          </w:tcPr>
          <w:p w14:paraId="7921652B"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1 709   </w:t>
            </w:r>
          </w:p>
        </w:tc>
        <w:tc>
          <w:tcPr>
            <w:tcW w:w="555" w:type="dxa"/>
            <w:tcBorders>
              <w:top w:val="nil"/>
              <w:left w:val="nil"/>
              <w:bottom w:val="single" w:sz="4" w:space="0" w:color="auto"/>
              <w:right w:val="single" w:sz="4" w:space="0" w:color="auto"/>
            </w:tcBorders>
            <w:shd w:val="clear" w:color="auto" w:fill="auto"/>
            <w:noWrap/>
            <w:vAlign w:val="bottom"/>
            <w:hideMark/>
          </w:tcPr>
          <w:p w14:paraId="113318C9"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2 176   </w:t>
            </w:r>
          </w:p>
        </w:tc>
        <w:tc>
          <w:tcPr>
            <w:tcW w:w="555" w:type="dxa"/>
            <w:tcBorders>
              <w:top w:val="nil"/>
              <w:left w:val="nil"/>
              <w:bottom w:val="single" w:sz="4" w:space="0" w:color="auto"/>
              <w:right w:val="single" w:sz="4" w:space="0" w:color="auto"/>
            </w:tcBorders>
            <w:shd w:val="clear" w:color="auto" w:fill="auto"/>
            <w:noWrap/>
            <w:vAlign w:val="bottom"/>
            <w:hideMark/>
          </w:tcPr>
          <w:p w14:paraId="704A9BBA"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2 644   </w:t>
            </w:r>
          </w:p>
        </w:tc>
        <w:tc>
          <w:tcPr>
            <w:tcW w:w="555" w:type="dxa"/>
            <w:tcBorders>
              <w:top w:val="nil"/>
              <w:left w:val="nil"/>
              <w:bottom w:val="single" w:sz="4" w:space="0" w:color="auto"/>
              <w:right w:val="single" w:sz="4" w:space="0" w:color="auto"/>
            </w:tcBorders>
            <w:shd w:val="clear" w:color="auto" w:fill="auto"/>
            <w:noWrap/>
            <w:vAlign w:val="bottom"/>
            <w:hideMark/>
          </w:tcPr>
          <w:p w14:paraId="79451E0F"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3 228   </w:t>
            </w:r>
          </w:p>
        </w:tc>
        <w:tc>
          <w:tcPr>
            <w:tcW w:w="629" w:type="dxa"/>
            <w:tcBorders>
              <w:top w:val="nil"/>
              <w:left w:val="nil"/>
              <w:bottom w:val="single" w:sz="4" w:space="0" w:color="auto"/>
              <w:right w:val="single" w:sz="4" w:space="0" w:color="auto"/>
            </w:tcBorders>
            <w:shd w:val="clear" w:color="auto" w:fill="auto"/>
            <w:noWrap/>
            <w:vAlign w:val="bottom"/>
            <w:hideMark/>
          </w:tcPr>
          <w:p w14:paraId="6B9F3070"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3 644   </w:t>
            </w:r>
          </w:p>
        </w:tc>
        <w:tc>
          <w:tcPr>
            <w:tcW w:w="708" w:type="dxa"/>
            <w:tcBorders>
              <w:top w:val="nil"/>
              <w:left w:val="nil"/>
              <w:bottom w:val="single" w:sz="4" w:space="0" w:color="auto"/>
              <w:right w:val="single" w:sz="4" w:space="0" w:color="auto"/>
            </w:tcBorders>
            <w:shd w:val="clear" w:color="auto" w:fill="auto"/>
            <w:noWrap/>
            <w:vAlign w:val="bottom"/>
            <w:hideMark/>
          </w:tcPr>
          <w:p w14:paraId="551236CA"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4 045   </w:t>
            </w:r>
          </w:p>
        </w:tc>
        <w:tc>
          <w:tcPr>
            <w:tcW w:w="709" w:type="dxa"/>
            <w:tcBorders>
              <w:top w:val="nil"/>
              <w:left w:val="nil"/>
              <w:bottom w:val="single" w:sz="4" w:space="0" w:color="auto"/>
              <w:right w:val="single" w:sz="4" w:space="0" w:color="auto"/>
            </w:tcBorders>
            <w:shd w:val="clear" w:color="auto" w:fill="auto"/>
            <w:noWrap/>
            <w:vAlign w:val="bottom"/>
            <w:hideMark/>
          </w:tcPr>
          <w:p w14:paraId="36CCD832"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4 354   </w:t>
            </w:r>
          </w:p>
        </w:tc>
        <w:tc>
          <w:tcPr>
            <w:tcW w:w="567" w:type="dxa"/>
            <w:tcBorders>
              <w:top w:val="nil"/>
              <w:left w:val="nil"/>
              <w:bottom w:val="single" w:sz="4" w:space="0" w:color="auto"/>
              <w:right w:val="single" w:sz="4" w:space="0" w:color="auto"/>
            </w:tcBorders>
            <w:shd w:val="clear" w:color="auto" w:fill="auto"/>
            <w:noWrap/>
            <w:vAlign w:val="bottom"/>
            <w:hideMark/>
          </w:tcPr>
          <w:p w14:paraId="6B8ED6D2"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4 804   </w:t>
            </w:r>
          </w:p>
        </w:tc>
        <w:tc>
          <w:tcPr>
            <w:tcW w:w="567" w:type="dxa"/>
            <w:tcBorders>
              <w:top w:val="nil"/>
              <w:left w:val="nil"/>
              <w:bottom w:val="single" w:sz="4" w:space="0" w:color="auto"/>
              <w:right w:val="single" w:sz="4" w:space="0" w:color="auto"/>
            </w:tcBorders>
            <w:shd w:val="clear" w:color="auto" w:fill="auto"/>
            <w:noWrap/>
            <w:vAlign w:val="bottom"/>
            <w:hideMark/>
          </w:tcPr>
          <w:p w14:paraId="61D41C44"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5 077   </w:t>
            </w:r>
          </w:p>
        </w:tc>
        <w:tc>
          <w:tcPr>
            <w:tcW w:w="567" w:type="dxa"/>
            <w:tcBorders>
              <w:top w:val="nil"/>
              <w:left w:val="nil"/>
              <w:bottom w:val="single" w:sz="4" w:space="0" w:color="auto"/>
              <w:right w:val="single" w:sz="4" w:space="0" w:color="auto"/>
            </w:tcBorders>
            <w:shd w:val="clear" w:color="auto" w:fill="auto"/>
            <w:noWrap/>
            <w:vAlign w:val="bottom"/>
            <w:hideMark/>
          </w:tcPr>
          <w:p w14:paraId="214D3EC9"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5 512   </w:t>
            </w:r>
          </w:p>
        </w:tc>
        <w:tc>
          <w:tcPr>
            <w:tcW w:w="1276" w:type="dxa"/>
            <w:tcBorders>
              <w:top w:val="nil"/>
              <w:left w:val="nil"/>
              <w:bottom w:val="single" w:sz="4" w:space="0" w:color="auto"/>
              <w:right w:val="single" w:sz="4" w:space="0" w:color="auto"/>
            </w:tcBorders>
            <w:shd w:val="clear" w:color="auto" w:fill="auto"/>
            <w:noWrap/>
            <w:vAlign w:val="bottom"/>
            <w:hideMark/>
          </w:tcPr>
          <w:p w14:paraId="2B6E75F2" w14:textId="77777777" w:rsidR="00297720" w:rsidRPr="00020C88" w:rsidRDefault="00297720" w:rsidP="00297720">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5 948   </w:t>
            </w:r>
          </w:p>
        </w:tc>
      </w:tr>
      <w:tr w:rsidR="000C10F9" w:rsidRPr="00020C88" w14:paraId="77127AE9" w14:textId="77777777" w:rsidTr="00B86229">
        <w:trPr>
          <w:trHeight w:val="290"/>
        </w:trPr>
        <w:tc>
          <w:tcPr>
            <w:tcW w:w="184" w:type="dxa"/>
            <w:tcBorders>
              <w:top w:val="nil"/>
              <w:left w:val="nil"/>
              <w:bottom w:val="nil"/>
              <w:right w:val="nil"/>
            </w:tcBorders>
            <w:shd w:val="clear" w:color="auto" w:fill="auto"/>
            <w:noWrap/>
            <w:vAlign w:val="bottom"/>
            <w:hideMark/>
          </w:tcPr>
          <w:p w14:paraId="32A75A9F" w14:textId="77777777" w:rsidR="000C10F9" w:rsidRPr="00020C88" w:rsidRDefault="000C10F9" w:rsidP="00297720">
            <w:pPr>
              <w:spacing w:after="0" w:line="240" w:lineRule="auto"/>
              <w:rPr>
                <w:rFonts w:ascii="Times New Roman" w:hAnsi="Times New Roman"/>
                <w:b/>
                <w:bCs/>
                <w:color w:val="000000"/>
                <w:sz w:val="18"/>
                <w:szCs w:val="18"/>
                <w:lang w:eastAsia="sk-SK"/>
              </w:rPr>
            </w:pPr>
          </w:p>
        </w:tc>
        <w:tc>
          <w:tcPr>
            <w:tcW w:w="1112" w:type="dxa"/>
            <w:tcBorders>
              <w:top w:val="nil"/>
              <w:left w:val="nil"/>
              <w:bottom w:val="nil"/>
              <w:right w:val="nil"/>
            </w:tcBorders>
            <w:shd w:val="clear" w:color="auto" w:fill="auto"/>
            <w:noWrap/>
            <w:vAlign w:val="bottom"/>
            <w:hideMark/>
          </w:tcPr>
          <w:p w14:paraId="7F0B2973" w14:textId="77777777" w:rsidR="000C10F9" w:rsidRPr="00020C88" w:rsidRDefault="000C10F9" w:rsidP="00297720">
            <w:pPr>
              <w:spacing w:after="0" w:line="240" w:lineRule="auto"/>
              <w:rPr>
                <w:rFonts w:ascii="Times New Roman" w:hAnsi="Times New Roman"/>
                <w:sz w:val="18"/>
                <w:szCs w:val="18"/>
                <w:lang w:eastAsia="sk-SK"/>
              </w:rPr>
            </w:pPr>
          </w:p>
        </w:tc>
        <w:tc>
          <w:tcPr>
            <w:tcW w:w="1113" w:type="dxa"/>
            <w:tcBorders>
              <w:top w:val="nil"/>
              <w:left w:val="nil"/>
              <w:bottom w:val="nil"/>
              <w:right w:val="nil"/>
            </w:tcBorders>
            <w:shd w:val="clear" w:color="auto" w:fill="auto"/>
            <w:vAlign w:val="bottom"/>
          </w:tcPr>
          <w:p w14:paraId="594C4DC4" w14:textId="5DD2E795" w:rsidR="000C10F9" w:rsidRPr="00020C88" w:rsidRDefault="000C10F9" w:rsidP="00297720">
            <w:pPr>
              <w:spacing w:after="0" w:line="240" w:lineRule="auto"/>
              <w:rPr>
                <w:rFonts w:ascii="Times New Roman" w:hAnsi="Times New Roman"/>
                <w:sz w:val="18"/>
                <w:szCs w:val="18"/>
                <w:lang w:eastAsia="sk-SK"/>
              </w:rPr>
            </w:pPr>
          </w:p>
        </w:tc>
        <w:tc>
          <w:tcPr>
            <w:tcW w:w="664" w:type="dxa"/>
            <w:tcBorders>
              <w:top w:val="nil"/>
              <w:left w:val="nil"/>
              <w:bottom w:val="nil"/>
              <w:right w:val="nil"/>
            </w:tcBorders>
            <w:shd w:val="clear" w:color="auto" w:fill="auto"/>
            <w:noWrap/>
            <w:vAlign w:val="bottom"/>
            <w:hideMark/>
          </w:tcPr>
          <w:p w14:paraId="5F504765" w14:textId="77777777" w:rsidR="000C10F9" w:rsidRPr="00020C88" w:rsidRDefault="000C10F9" w:rsidP="00297720">
            <w:pPr>
              <w:spacing w:after="0" w:line="240" w:lineRule="auto"/>
              <w:rPr>
                <w:rFonts w:ascii="Times New Roman" w:hAnsi="Times New Roman"/>
                <w:sz w:val="18"/>
                <w:szCs w:val="18"/>
                <w:lang w:eastAsia="sk-SK"/>
              </w:rPr>
            </w:pPr>
          </w:p>
        </w:tc>
        <w:tc>
          <w:tcPr>
            <w:tcW w:w="718" w:type="dxa"/>
            <w:tcBorders>
              <w:top w:val="nil"/>
              <w:left w:val="nil"/>
              <w:bottom w:val="nil"/>
              <w:right w:val="nil"/>
            </w:tcBorders>
            <w:shd w:val="clear" w:color="auto" w:fill="auto"/>
            <w:noWrap/>
            <w:vAlign w:val="bottom"/>
            <w:hideMark/>
          </w:tcPr>
          <w:p w14:paraId="25CFDCD0" w14:textId="77777777" w:rsidR="000C10F9" w:rsidRPr="00020C88" w:rsidRDefault="000C10F9" w:rsidP="00297720">
            <w:pPr>
              <w:spacing w:after="0" w:line="240" w:lineRule="auto"/>
              <w:rPr>
                <w:rFonts w:ascii="Times New Roman" w:hAnsi="Times New Roman"/>
                <w:sz w:val="18"/>
                <w:szCs w:val="18"/>
                <w:lang w:eastAsia="sk-SK"/>
              </w:rPr>
            </w:pPr>
          </w:p>
        </w:tc>
        <w:tc>
          <w:tcPr>
            <w:tcW w:w="590" w:type="dxa"/>
            <w:tcBorders>
              <w:top w:val="nil"/>
              <w:left w:val="nil"/>
              <w:bottom w:val="nil"/>
              <w:right w:val="nil"/>
            </w:tcBorders>
            <w:shd w:val="clear" w:color="auto" w:fill="auto"/>
            <w:noWrap/>
            <w:vAlign w:val="bottom"/>
            <w:hideMark/>
          </w:tcPr>
          <w:p w14:paraId="3256D95A" w14:textId="77777777" w:rsidR="000C10F9" w:rsidRPr="00020C88" w:rsidRDefault="000C10F9" w:rsidP="00297720">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48DD179A" w14:textId="77777777" w:rsidR="000C10F9" w:rsidRPr="00020C88" w:rsidRDefault="000C10F9" w:rsidP="00297720">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64DF5AD7" w14:textId="77777777" w:rsidR="000C10F9" w:rsidRPr="00020C88" w:rsidRDefault="000C10F9" w:rsidP="00297720">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67ACD986" w14:textId="77777777" w:rsidR="000C10F9" w:rsidRPr="00020C88" w:rsidRDefault="000C10F9" w:rsidP="00297720">
            <w:pPr>
              <w:spacing w:after="0" w:line="240" w:lineRule="auto"/>
              <w:rPr>
                <w:rFonts w:ascii="Times New Roman" w:hAnsi="Times New Roman"/>
                <w:sz w:val="18"/>
                <w:szCs w:val="18"/>
                <w:lang w:eastAsia="sk-SK"/>
              </w:rPr>
            </w:pPr>
          </w:p>
        </w:tc>
        <w:tc>
          <w:tcPr>
            <w:tcW w:w="555" w:type="dxa"/>
            <w:tcBorders>
              <w:top w:val="nil"/>
              <w:left w:val="nil"/>
              <w:bottom w:val="nil"/>
              <w:right w:val="nil"/>
            </w:tcBorders>
            <w:shd w:val="clear" w:color="auto" w:fill="auto"/>
            <w:noWrap/>
            <w:vAlign w:val="bottom"/>
            <w:hideMark/>
          </w:tcPr>
          <w:p w14:paraId="6D21C756" w14:textId="77777777" w:rsidR="000C10F9" w:rsidRPr="00020C88" w:rsidRDefault="000C10F9" w:rsidP="00297720">
            <w:pPr>
              <w:spacing w:after="0" w:line="240" w:lineRule="auto"/>
              <w:rPr>
                <w:rFonts w:ascii="Times New Roman" w:hAnsi="Times New Roman"/>
                <w:sz w:val="18"/>
                <w:szCs w:val="18"/>
                <w:lang w:eastAsia="sk-SK"/>
              </w:rPr>
            </w:pPr>
          </w:p>
        </w:tc>
        <w:tc>
          <w:tcPr>
            <w:tcW w:w="629" w:type="dxa"/>
            <w:tcBorders>
              <w:top w:val="nil"/>
              <w:left w:val="nil"/>
              <w:bottom w:val="nil"/>
              <w:right w:val="nil"/>
            </w:tcBorders>
            <w:shd w:val="clear" w:color="auto" w:fill="auto"/>
            <w:noWrap/>
            <w:vAlign w:val="bottom"/>
            <w:hideMark/>
          </w:tcPr>
          <w:p w14:paraId="43E93065" w14:textId="77777777" w:rsidR="000C10F9" w:rsidRPr="00020C88" w:rsidRDefault="000C10F9" w:rsidP="00297720">
            <w:pPr>
              <w:spacing w:after="0" w:line="240" w:lineRule="auto"/>
              <w:rPr>
                <w:rFonts w:ascii="Times New Roman" w:hAnsi="Times New Roman"/>
                <w:sz w:val="18"/>
                <w:szCs w:val="18"/>
                <w:lang w:eastAsia="sk-SK"/>
              </w:rPr>
            </w:pPr>
          </w:p>
        </w:tc>
        <w:tc>
          <w:tcPr>
            <w:tcW w:w="708" w:type="dxa"/>
            <w:tcBorders>
              <w:top w:val="nil"/>
              <w:left w:val="nil"/>
              <w:bottom w:val="nil"/>
              <w:right w:val="nil"/>
            </w:tcBorders>
            <w:shd w:val="clear" w:color="auto" w:fill="auto"/>
            <w:noWrap/>
            <w:vAlign w:val="bottom"/>
            <w:hideMark/>
          </w:tcPr>
          <w:p w14:paraId="63F259CC" w14:textId="77777777" w:rsidR="000C10F9" w:rsidRPr="00020C88" w:rsidRDefault="000C10F9" w:rsidP="00297720">
            <w:pPr>
              <w:spacing w:after="0" w:line="240" w:lineRule="auto"/>
              <w:rPr>
                <w:rFonts w:ascii="Times New Roman" w:hAnsi="Times New Roman"/>
                <w:sz w:val="18"/>
                <w:szCs w:val="18"/>
                <w:lang w:eastAsia="sk-SK"/>
              </w:rPr>
            </w:pPr>
          </w:p>
        </w:tc>
        <w:tc>
          <w:tcPr>
            <w:tcW w:w="709" w:type="dxa"/>
            <w:tcBorders>
              <w:top w:val="nil"/>
              <w:left w:val="nil"/>
              <w:bottom w:val="nil"/>
              <w:right w:val="nil"/>
            </w:tcBorders>
            <w:shd w:val="clear" w:color="auto" w:fill="auto"/>
            <w:noWrap/>
            <w:vAlign w:val="bottom"/>
            <w:hideMark/>
          </w:tcPr>
          <w:p w14:paraId="636BCF68" w14:textId="77777777" w:rsidR="000C10F9" w:rsidRPr="00020C88" w:rsidRDefault="000C10F9" w:rsidP="00297720">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3A00C2FD" w14:textId="77777777" w:rsidR="000C10F9" w:rsidRPr="00020C88" w:rsidRDefault="000C10F9" w:rsidP="00297720">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4A454791" w14:textId="77777777" w:rsidR="000C10F9" w:rsidRPr="00020C88" w:rsidRDefault="000C10F9" w:rsidP="00297720">
            <w:pPr>
              <w:spacing w:after="0" w:line="240" w:lineRule="auto"/>
              <w:rPr>
                <w:rFonts w:ascii="Times New Roman" w:hAnsi="Times New Roman"/>
                <w:sz w:val="18"/>
                <w:szCs w:val="18"/>
                <w:lang w:eastAsia="sk-SK"/>
              </w:rPr>
            </w:pPr>
          </w:p>
        </w:tc>
        <w:tc>
          <w:tcPr>
            <w:tcW w:w="567" w:type="dxa"/>
            <w:tcBorders>
              <w:top w:val="nil"/>
              <w:left w:val="nil"/>
              <w:bottom w:val="nil"/>
              <w:right w:val="nil"/>
            </w:tcBorders>
            <w:shd w:val="clear" w:color="auto" w:fill="auto"/>
            <w:noWrap/>
            <w:vAlign w:val="bottom"/>
            <w:hideMark/>
          </w:tcPr>
          <w:p w14:paraId="5ED74F7B" w14:textId="77777777" w:rsidR="000C10F9" w:rsidRPr="00020C88" w:rsidRDefault="000C10F9" w:rsidP="00297720">
            <w:pPr>
              <w:spacing w:after="0" w:line="240" w:lineRule="auto"/>
              <w:rPr>
                <w:rFonts w:ascii="Times New Roman" w:hAnsi="Times New Roman"/>
                <w:sz w:val="18"/>
                <w:szCs w:val="18"/>
                <w:lang w:eastAsia="sk-SK"/>
              </w:rPr>
            </w:pPr>
          </w:p>
        </w:tc>
        <w:tc>
          <w:tcPr>
            <w:tcW w:w="1276" w:type="dxa"/>
            <w:tcBorders>
              <w:top w:val="nil"/>
              <w:left w:val="nil"/>
              <w:bottom w:val="nil"/>
              <w:right w:val="nil"/>
            </w:tcBorders>
            <w:shd w:val="clear" w:color="auto" w:fill="auto"/>
            <w:noWrap/>
            <w:vAlign w:val="bottom"/>
            <w:hideMark/>
          </w:tcPr>
          <w:p w14:paraId="0510F84E" w14:textId="77777777" w:rsidR="000C10F9" w:rsidRPr="00020C88" w:rsidRDefault="000C10F9" w:rsidP="00297720">
            <w:pPr>
              <w:spacing w:after="0" w:line="240" w:lineRule="auto"/>
              <w:rPr>
                <w:rFonts w:ascii="Times New Roman" w:hAnsi="Times New Roman"/>
                <w:sz w:val="18"/>
                <w:szCs w:val="18"/>
                <w:lang w:eastAsia="sk-SK"/>
              </w:rPr>
            </w:pPr>
          </w:p>
        </w:tc>
      </w:tr>
      <w:tr w:rsidR="000C10F9" w:rsidRPr="00020C88" w14:paraId="123C13CB" w14:textId="77777777" w:rsidTr="00B86229">
        <w:trPr>
          <w:trHeight w:val="290"/>
        </w:trPr>
        <w:tc>
          <w:tcPr>
            <w:tcW w:w="11624" w:type="dxa"/>
            <w:gridSpan w:val="17"/>
            <w:tcBorders>
              <w:top w:val="nil"/>
              <w:left w:val="nil"/>
              <w:bottom w:val="nil"/>
            </w:tcBorders>
            <w:shd w:val="clear" w:color="auto" w:fill="auto"/>
            <w:noWrap/>
            <w:vAlign w:val="bottom"/>
          </w:tcPr>
          <w:p w14:paraId="2023A34A" w14:textId="127E886C" w:rsidR="000C10F9" w:rsidRPr="00020C88" w:rsidRDefault="000C10F9" w:rsidP="00297720">
            <w:pPr>
              <w:spacing w:after="0" w:line="240" w:lineRule="auto"/>
              <w:rPr>
                <w:rFonts w:ascii="Times New Roman" w:hAnsi="Times New Roman"/>
                <w:sz w:val="18"/>
                <w:szCs w:val="18"/>
                <w:lang w:eastAsia="sk-SK"/>
              </w:rPr>
            </w:pPr>
          </w:p>
        </w:tc>
      </w:tr>
    </w:tbl>
    <w:p w14:paraId="2E564E4F" w14:textId="6C44870D" w:rsidR="000C10F9" w:rsidRPr="00020C88" w:rsidRDefault="000C10F9" w:rsidP="00CB750F">
      <w:pPr>
        <w:spacing w:after="0" w:line="240" w:lineRule="auto"/>
        <w:jc w:val="both"/>
        <w:rPr>
          <w:rFonts w:ascii="Times New Roman" w:hAnsi="Times New Roman"/>
          <w:b/>
          <w:szCs w:val="18"/>
        </w:rPr>
      </w:pPr>
    </w:p>
    <w:tbl>
      <w:tblPr>
        <w:tblW w:w="15435" w:type="dxa"/>
        <w:tblCellMar>
          <w:left w:w="70" w:type="dxa"/>
          <w:right w:w="70" w:type="dxa"/>
        </w:tblCellMar>
        <w:tblLook w:val="04A0" w:firstRow="1" w:lastRow="0" w:firstColumn="1" w:lastColumn="0" w:noHBand="0" w:noVBand="1"/>
      </w:tblPr>
      <w:tblGrid>
        <w:gridCol w:w="146"/>
        <w:gridCol w:w="4674"/>
        <w:gridCol w:w="1559"/>
        <w:gridCol w:w="1559"/>
        <w:gridCol w:w="1701"/>
        <w:gridCol w:w="1560"/>
        <w:gridCol w:w="1559"/>
        <w:gridCol w:w="1717"/>
        <w:gridCol w:w="960"/>
      </w:tblGrid>
      <w:tr w:rsidR="000C10F9" w:rsidRPr="00020C88" w14:paraId="672CA996" w14:textId="77777777" w:rsidTr="000C10F9">
        <w:trPr>
          <w:trHeight w:val="253"/>
        </w:trPr>
        <w:tc>
          <w:tcPr>
            <w:tcW w:w="4820" w:type="dxa"/>
            <w:gridSpan w:val="2"/>
            <w:tcBorders>
              <w:top w:val="nil"/>
              <w:left w:val="nil"/>
              <w:bottom w:val="nil"/>
              <w:right w:val="nil"/>
            </w:tcBorders>
            <w:shd w:val="clear" w:color="auto" w:fill="auto"/>
            <w:noWrap/>
            <w:vAlign w:val="bottom"/>
            <w:hideMark/>
          </w:tcPr>
          <w:p w14:paraId="64183BA0"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f) Kalkulácia dopadu za ústavnú zdravotnú starostlivosť bez zmeny legislatívy</w:t>
            </w:r>
          </w:p>
        </w:tc>
        <w:tc>
          <w:tcPr>
            <w:tcW w:w="1559" w:type="dxa"/>
            <w:tcBorders>
              <w:top w:val="nil"/>
              <w:left w:val="nil"/>
              <w:bottom w:val="nil"/>
              <w:right w:val="nil"/>
            </w:tcBorders>
            <w:shd w:val="clear" w:color="auto" w:fill="auto"/>
            <w:noWrap/>
            <w:vAlign w:val="bottom"/>
            <w:hideMark/>
          </w:tcPr>
          <w:p w14:paraId="10B45EB1" w14:textId="77777777" w:rsidR="000C10F9" w:rsidRPr="00020C88" w:rsidRDefault="000C10F9" w:rsidP="000C10F9">
            <w:pPr>
              <w:spacing w:after="0" w:line="240" w:lineRule="auto"/>
              <w:rPr>
                <w:rFonts w:ascii="Times New Roman" w:hAnsi="Times New Roman"/>
                <w:b/>
                <w:bCs/>
                <w:color w:val="000000"/>
                <w:lang w:eastAsia="sk-SK"/>
              </w:rPr>
            </w:pPr>
          </w:p>
        </w:tc>
        <w:tc>
          <w:tcPr>
            <w:tcW w:w="1559" w:type="dxa"/>
            <w:tcBorders>
              <w:top w:val="nil"/>
              <w:left w:val="nil"/>
              <w:bottom w:val="nil"/>
              <w:right w:val="nil"/>
            </w:tcBorders>
            <w:shd w:val="clear" w:color="auto" w:fill="auto"/>
            <w:noWrap/>
            <w:vAlign w:val="bottom"/>
            <w:hideMark/>
          </w:tcPr>
          <w:p w14:paraId="72A15F8D" w14:textId="77777777" w:rsidR="000C10F9" w:rsidRPr="00020C88" w:rsidRDefault="000C10F9" w:rsidP="000C10F9">
            <w:pPr>
              <w:spacing w:after="0" w:line="240" w:lineRule="auto"/>
              <w:rPr>
                <w:rFonts w:ascii="Times New Roman" w:hAnsi="Times New Roman"/>
                <w:sz w:val="20"/>
                <w:szCs w:val="20"/>
                <w:lang w:eastAsia="sk-SK"/>
              </w:rPr>
            </w:pPr>
          </w:p>
        </w:tc>
        <w:tc>
          <w:tcPr>
            <w:tcW w:w="1701" w:type="dxa"/>
            <w:tcBorders>
              <w:top w:val="nil"/>
              <w:left w:val="nil"/>
              <w:bottom w:val="nil"/>
              <w:right w:val="nil"/>
            </w:tcBorders>
            <w:shd w:val="clear" w:color="auto" w:fill="auto"/>
            <w:noWrap/>
            <w:vAlign w:val="bottom"/>
            <w:hideMark/>
          </w:tcPr>
          <w:p w14:paraId="33DB875B" w14:textId="77777777" w:rsidR="000C10F9" w:rsidRPr="00020C88" w:rsidRDefault="000C10F9" w:rsidP="000C10F9">
            <w:pPr>
              <w:spacing w:after="0" w:line="240" w:lineRule="auto"/>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14:paraId="07E46D87" w14:textId="77777777" w:rsidR="000C10F9" w:rsidRPr="00020C88" w:rsidRDefault="000C10F9" w:rsidP="000C10F9">
            <w:pPr>
              <w:spacing w:after="0" w:line="240" w:lineRule="auto"/>
              <w:rPr>
                <w:rFonts w:ascii="Times New Roman" w:hAnsi="Times New Roman"/>
                <w:sz w:val="20"/>
                <w:szCs w:val="20"/>
                <w:lang w:eastAsia="sk-SK"/>
              </w:rPr>
            </w:pPr>
          </w:p>
        </w:tc>
        <w:tc>
          <w:tcPr>
            <w:tcW w:w="1559" w:type="dxa"/>
            <w:tcBorders>
              <w:top w:val="nil"/>
              <w:left w:val="nil"/>
              <w:bottom w:val="nil"/>
              <w:right w:val="nil"/>
            </w:tcBorders>
            <w:shd w:val="clear" w:color="auto" w:fill="auto"/>
            <w:noWrap/>
            <w:vAlign w:val="bottom"/>
            <w:hideMark/>
          </w:tcPr>
          <w:p w14:paraId="614A81BF" w14:textId="77777777" w:rsidR="000C10F9" w:rsidRPr="00020C88" w:rsidRDefault="000C10F9" w:rsidP="000C10F9">
            <w:pPr>
              <w:spacing w:after="0" w:line="240" w:lineRule="auto"/>
              <w:rPr>
                <w:rFonts w:ascii="Times New Roman" w:hAnsi="Times New Roman"/>
                <w:sz w:val="20"/>
                <w:szCs w:val="20"/>
                <w:lang w:eastAsia="sk-SK"/>
              </w:rPr>
            </w:pPr>
          </w:p>
        </w:tc>
        <w:tc>
          <w:tcPr>
            <w:tcW w:w="1717" w:type="dxa"/>
            <w:tcBorders>
              <w:top w:val="nil"/>
              <w:left w:val="nil"/>
              <w:bottom w:val="nil"/>
              <w:right w:val="nil"/>
            </w:tcBorders>
            <w:shd w:val="clear" w:color="auto" w:fill="auto"/>
            <w:noWrap/>
            <w:vAlign w:val="bottom"/>
            <w:hideMark/>
          </w:tcPr>
          <w:p w14:paraId="026074F3" w14:textId="77777777" w:rsidR="000C10F9" w:rsidRPr="00020C88" w:rsidRDefault="000C10F9" w:rsidP="000C10F9">
            <w:pPr>
              <w:spacing w:after="0" w:line="240" w:lineRule="auto"/>
              <w:rPr>
                <w:rFonts w:ascii="Times New Roman" w:hAnsi="Times New Roman"/>
                <w:sz w:val="20"/>
                <w:szCs w:val="20"/>
                <w:lang w:eastAsia="sk-SK"/>
              </w:rPr>
            </w:pPr>
          </w:p>
        </w:tc>
        <w:tc>
          <w:tcPr>
            <w:tcW w:w="960" w:type="dxa"/>
            <w:tcBorders>
              <w:top w:val="nil"/>
              <w:left w:val="nil"/>
              <w:bottom w:val="nil"/>
              <w:right w:val="nil"/>
            </w:tcBorders>
            <w:shd w:val="clear" w:color="auto" w:fill="auto"/>
            <w:noWrap/>
            <w:vAlign w:val="bottom"/>
            <w:hideMark/>
          </w:tcPr>
          <w:p w14:paraId="49734BB8" w14:textId="77777777" w:rsidR="000C10F9" w:rsidRPr="00020C88" w:rsidRDefault="000C10F9" w:rsidP="000C10F9">
            <w:pPr>
              <w:spacing w:after="0" w:line="240" w:lineRule="auto"/>
              <w:rPr>
                <w:rFonts w:ascii="Times New Roman" w:hAnsi="Times New Roman"/>
                <w:sz w:val="20"/>
                <w:szCs w:val="20"/>
                <w:lang w:eastAsia="sk-SK"/>
              </w:rPr>
            </w:pPr>
          </w:p>
        </w:tc>
      </w:tr>
      <w:tr w:rsidR="000C10F9" w:rsidRPr="00020C88" w14:paraId="54CD4C64" w14:textId="77777777" w:rsidTr="000C10F9">
        <w:trPr>
          <w:trHeight w:val="253"/>
        </w:trPr>
        <w:tc>
          <w:tcPr>
            <w:tcW w:w="146" w:type="dxa"/>
            <w:tcBorders>
              <w:top w:val="nil"/>
              <w:left w:val="nil"/>
              <w:bottom w:val="nil"/>
              <w:right w:val="nil"/>
            </w:tcBorders>
            <w:shd w:val="clear" w:color="auto" w:fill="auto"/>
            <w:noWrap/>
            <w:vAlign w:val="bottom"/>
            <w:hideMark/>
          </w:tcPr>
          <w:p w14:paraId="3772C4DF"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8F76FA2"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Celkové náklady pre zdroje VZP od 2020</w:t>
            </w:r>
          </w:p>
        </w:tc>
        <w:tc>
          <w:tcPr>
            <w:tcW w:w="1559" w:type="dxa"/>
            <w:tcBorders>
              <w:top w:val="single" w:sz="4" w:space="0" w:color="auto"/>
              <w:left w:val="nil"/>
              <w:bottom w:val="single" w:sz="4" w:space="0" w:color="auto"/>
              <w:right w:val="single" w:sz="4" w:space="0" w:color="auto"/>
            </w:tcBorders>
            <w:shd w:val="clear" w:color="000000" w:fill="DBDBDB"/>
            <w:noWrap/>
            <w:vAlign w:val="bottom"/>
            <w:hideMark/>
          </w:tcPr>
          <w:p w14:paraId="578284C6" w14:textId="77777777" w:rsidR="000C10F9" w:rsidRPr="00020C88" w:rsidRDefault="000C10F9" w:rsidP="000C10F9">
            <w:pPr>
              <w:spacing w:after="0" w:line="240" w:lineRule="auto"/>
              <w:jc w:val="right"/>
              <w:rPr>
                <w:rFonts w:ascii="Times New Roman" w:hAnsi="Times New Roman"/>
                <w:b/>
                <w:bCs/>
                <w:color w:val="000000"/>
                <w:lang w:eastAsia="sk-SK"/>
              </w:rPr>
            </w:pPr>
            <w:r w:rsidRPr="00020C88">
              <w:rPr>
                <w:rFonts w:ascii="Times New Roman" w:hAnsi="Times New Roman"/>
                <w:b/>
                <w:bCs/>
                <w:color w:val="000000"/>
                <w:lang w:eastAsia="sk-SK"/>
              </w:rPr>
              <w:t>2017</w:t>
            </w:r>
          </w:p>
        </w:tc>
        <w:tc>
          <w:tcPr>
            <w:tcW w:w="1559" w:type="dxa"/>
            <w:tcBorders>
              <w:top w:val="single" w:sz="4" w:space="0" w:color="auto"/>
              <w:left w:val="nil"/>
              <w:bottom w:val="single" w:sz="4" w:space="0" w:color="auto"/>
              <w:right w:val="single" w:sz="4" w:space="0" w:color="auto"/>
            </w:tcBorders>
            <w:shd w:val="clear" w:color="000000" w:fill="DBDBDB"/>
            <w:noWrap/>
            <w:vAlign w:val="bottom"/>
            <w:hideMark/>
          </w:tcPr>
          <w:p w14:paraId="452C817D" w14:textId="77777777" w:rsidR="000C10F9" w:rsidRPr="00020C88" w:rsidRDefault="000C10F9" w:rsidP="000C10F9">
            <w:pPr>
              <w:spacing w:after="0" w:line="240" w:lineRule="auto"/>
              <w:jc w:val="right"/>
              <w:rPr>
                <w:rFonts w:ascii="Times New Roman" w:hAnsi="Times New Roman"/>
                <w:b/>
                <w:bCs/>
                <w:color w:val="000000"/>
                <w:lang w:eastAsia="sk-SK"/>
              </w:rPr>
            </w:pPr>
            <w:r w:rsidRPr="00020C88">
              <w:rPr>
                <w:rFonts w:ascii="Times New Roman" w:hAnsi="Times New Roman"/>
                <w:b/>
                <w:bCs/>
                <w:color w:val="000000"/>
                <w:lang w:eastAsia="sk-SK"/>
              </w:rPr>
              <w:t>2018*</w:t>
            </w:r>
          </w:p>
        </w:tc>
        <w:tc>
          <w:tcPr>
            <w:tcW w:w="1701" w:type="dxa"/>
            <w:tcBorders>
              <w:top w:val="single" w:sz="4" w:space="0" w:color="auto"/>
              <w:left w:val="nil"/>
              <w:bottom w:val="single" w:sz="4" w:space="0" w:color="auto"/>
              <w:right w:val="single" w:sz="4" w:space="0" w:color="auto"/>
            </w:tcBorders>
            <w:shd w:val="clear" w:color="000000" w:fill="DBDBDB"/>
            <w:noWrap/>
            <w:vAlign w:val="bottom"/>
            <w:hideMark/>
          </w:tcPr>
          <w:p w14:paraId="57705EEB" w14:textId="77777777" w:rsidR="000C10F9" w:rsidRPr="00020C88" w:rsidRDefault="000C10F9" w:rsidP="000C10F9">
            <w:pPr>
              <w:spacing w:after="0" w:line="240" w:lineRule="auto"/>
              <w:jc w:val="right"/>
              <w:rPr>
                <w:rFonts w:ascii="Times New Roman" w:hAnsi="Times New Roman"/>
                <w:b/>
                <w:bCs/>
                <w:color w:val="000000"/>
                <w:lang w:eastAsia="sk-SK"/>
              </w:rPr>
            </w:pPr>
            <w:r w:rsidRPr="00020C88">
              <w:rPr>
                <w:rFonts w:ascii="Times New Roman" w:hAnsi="Times New Roman"/>
                <w:b/>
                <w:bCs/>
                <w:color w:val="000000"/>
                <w:lang w:eastAsia="sk-SK"/>
              </w:rPr>
              <w:t>2019*</w:t>
            </w:r>
          </w:p>
        </w:tc>
        <w:tc>
          <w:tcPr>
            <w:tcW w:w="1560" w:type="dxa"/>
            <w:tcBorders>
              <w:top w:val="single" w:sz="4" w:space="0" w:color="auto"/>
              <w:left w:val="nil"/>
              <w:bottom w:val="single" w:sz="4" w:space="0" w:color="auto"/>
              <w:right w:val="single" w:sz="4" w:space="0" w:color="auto"/>
            </w:tcBorders>
            <w:shd w:val="clear" w:color="000000" w:fill="DBDBDB"/>
            <w:noWrap/>
            <w:vAlign w:val="bottom"/>
            <w:hideMark/>
          </w:tcPr>
          <w:p w14:paraId="0CF6344B" w14:textId="77777777" w:rsidR="000C10F9" w:rsidRPr="00020C88" w:rsidRDefault="000C10F9" w:rsidP="000C10F9">
            <w:pPr>
              <w:spacing w:after="0" w:line="240" w:lineRule="auto"/>
              <w:jc w:val="right"/>
              <w:rPr>
                <w:rFonts w:ascii="Times New Roman" w:hAnsi="Times New Roman"/>
                <w:b/>
                <w:bCs/>
                <w:color w:val="000000"/>
                <w:lang w:eastAsia="sk-SK"/>
              </w:rPr>
            </w:pPr>
            <w:r w:rsidRPr="00020C88">
              <w:rPr>
                <w:rFonts w:ascii="Times New Roman" w:hAnsi="Times New Roman"/>
                <w:b/>
                <w:bCs/>
                <w:color w:val="000000"/>
                <w:lang w:eastAsia="sk-SK"/>
              </w:rPr>
              <w:t>2020</w:t>
            </w:r>
          </w:p>
        </w:tc>
        <w:tc>
          <w:tcPr>
            <w:tcW w:w="1559" w:type="dxa"/>
            <w:tcBorders>
              <w:top w:val="single" w:sz="4" w:space="0" w:color="auto"/>
              <w:left w:val="nil"/>
              <w:bottom w:val="single" w:sz="4" w:space="0" w:color="auto"/>
              <w:right w:val="single" w:sz="4" w:space="0" w:color="auto"/>
            </w:tcBorders>
            <w:shd w:val="clear" w:color="000000" w:fill="DBDBDB"/>
            <w:noWrap/>
            <w:vAlign w:val="bottom"/>
            <w:hideMark/>
          </w:tcPr>
          <w:p w14:paraId="5C40C955" w14:textId="77777777" w:rsidR="000C10F9" w:rsidRPr="00020C88" w:rsidRDefault="000C10F9" w:rsidP="000C10F9">
            <w:pPr>
              <w:spacing w:after="0" w:line="240" w:lineRule="auto"/>
              <w:jc w:val="right"/>
              <w:rPr>
                <w:rFonts w:ascii="Times New Roman" w:hAnsi="Times New Roman"/>
                <w:b/>
                <w:bCs/>
                <w:color w:val="000000"/>
                <w:lang w:eastAsia="sk-SK"/>
              </w:rPr>
            </w:pPr>
            <w:r w:rsidRPr="00020C88">
              <w:rPr>
                <w:rFonts w:ascii="Times New Roman" w:hAnsi="Times New Roman"/>
                <w:b/>
                <w:bCs/>
                <w:color w:val="000000"/>
                <w:lang w:eastAsia="sk-SK"/>
              </w:rPr>
              <w:t>2021</w:t>
            </w:r>
          </w:p>
        </w:tc>
        <w:tc>
          <w:tcPr>
            <w:tcW w:w="1717" w:type="dxa"/>
            <w:tcBorders>
              <w:top w:val="single" w:sz="4" w:space="0" w:color="auto"/>
              <w:left w:val="nil"/>
              <w:bottom w:val="single" w:sz="4" w:space="0" w:color="auto"/>
              <w:right w:val="single" w:sz="4" w:space="0" w:color="auto"/>
            </w:tcBorders>
            <w:shd w:val="clear" w:color="000000" w:fill="DBDBDB"/>
            <w:noWrap/>
            <w:vAlign w:val="bottom"/>
            <w:hideMark/>
          </w:tcPr>
          <w:p w14:paraId="3C78A289" w14:textId="77777777" w:rsidR="000C10F9" w:rsidRPr="00020C88" w:rsidRDefault="000C10F9" w:rsidP="000C10F9">
            <w:pPr>
              <w:spacing w:after="0" w:line="240" w:lineRule="auto"/>
              <w:jc w:val="right"/>
              <w:rPr>
                <w:rFonts w:ascii="Times New Roman" w:hAnsi="Times New Roman"/>
                <w:b/>
                <w:bCs/>
                <w:color w:val="000000"/>
                <w:lang w:eastAsia="sk-SK"/>
              </w:rPr>
            </w:pPr>
            <w:r w:rsidRPr="00020C88">
              <w:rPr>
                <w:rFonts w:ascii="Times New Roman" w:hAnsi="Times New Roman"/>
                <w:b/>
                <w:bCs/>
                <w:color w:val="000000"/>
                <w:lang w:eastAsia="sk-SK"/>
              </w:rPr>
              <w:t>2022</w:t>
            </w:r>
          </w:p>
        </w:tc>
        <w:tc>
          <w:tcPr>
            <w:tcW w:w="960" w:type="dxa"/>
            <w:tcBorders>
              <w:top w:val="nil"/>
              <w:left w:val="nil"/>
              <w:bottom w:val="nil"/>
              <w:right w:val="nil"/>
            </w:tcBorders>
            <w:shd w:val="clear" w:color="auto" w:fill="auto"/>
            <w:noWrap/>
            <w:vAlign w:val="bottom"/>
            <w:hideMark/>
          </w:tcPr>
          <w:p w14:paraId="7B0047BE" w14:textId="77777777" w:rsidR="000C10F9" w:rsidRPr="00020C88" w:rsidRDefault="000C10F9" w:rsidP="000C10F9">
            <w:pPr>
              <w:spacing w:after="0" w:line="240" w:lineRule="auto"/>
              <w:jc w:val="right"/>
              <w:rPr>
                <w:rFonts w:ascii="Times New Roman" w:hAnsi="Times New Roman"/>
                <w:b/>
                <w:bCs/>
                <w:color w:val="000000"/>
                <w:lang w:eastAsia="sk-SK"/>
              </w:rPr>
            </w:pPr>
          </w:p>
        </w:tc>
      </w:tr>
      <w:tr w:rsidR="000C10F9" w:rsidRPr="00020C88" w14:paraId="20F8FA74" w14:textId="77777777" w:rsidTr="000C10F9">
        <w:trPr>
          <w:trHeight w:val="253"/>
        </w:trPr>
        <w:tc>
          <w:tcPr>
            <w:tcW w:w="146" w:type="dxa"/>
            <w:tcBorders>
              <w:top w:val="nil"/>
              <w:left w:val="nil"/>
              <w:bottom w:val="nil"/>
              <w:right w:val="nil"/>
            </w:tcBorders>
            <w:shd w:val="clear" w:color="auto" w:fill="auto"/>
            <w:noWrap/>
            <w:vAlign w:val="bottom"/>
            <w:hideMark/>
          </w:tcPr>
          <w:p w14:paraId="62F888A5"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single" w:sz="4" w:space="0" w:color="auto"/>
              <w:bottom w:val="single" w:sz="4" w:space="0" w:color="auto"/>
              <w:right w:val="single" w:sz="4" w:space="0" w:color="auto"/>
            </w:tcBorders>
            <w:shd w:val="clear" w:color="auto" w:fill="auto"/>
            <w:noWrap/>
            <w:vAlign w:val="bottom"/>
            <w:hideMark/>
          </w:tcPr>
          <w:p w14:paraId="739F067E"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ústavná ošetrovateľská starostlivosť</w:t>
            </w:r>
          </w:p>
        </w:tc>
        <w:tc>
          <w:tcPr>
            <w:tcW w:w="1559" w:type="dxa"/>
            <w:tcBorders>
              <w:top w:val="nil"/>
              <w:left w:val="nil"/>
              <w:bottom w:val="single" w:sz="4" w:space="0" w:color="auto"/>
              <w:right w:val="single" w:sz="4" w:space="0" w:color="auto"/>
            </w:tcBorders>
            <w:shd w:val="clear" w:color="auto" w:fill="auto"/>
            <w:noWrap/>
            <w:vAlign w:val="bottom"/>
            <w:hideMark/>
          </w:tcPr>
          <w:p w14:paraId="36C906D6"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3 348 045 € </w:t>
            </w:r>
          </w:p>
        </w:tc>
        <w:tc>
          <w:tcPr>
            <w:tcW w:w="1559" w:type="dxa"/>
            <w:tcBorders>
              <w:top w:val="nil"/>
              <w:left w:val="nil"/>
              <w:bottom w:val="single" w:sz="4" w:space="0" w:color="auto"/>
              <w:right w:val="single" w:sz="4" w:space="0" w:color="auto"/>
            </w:tcBorders>
            <w:shd w:val="clear" w:color="auto" w:fill="auto"/>
            <w:noWrap/>
            <w:vAlign w:val="bottom"/>
            <w:hideMark/>
          </w:tcPr>
          <w:p w14:paraId="59180B58"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3 615 889 € </w:t>
            </w:r>
          </w:p>
        </w:tc>
        <w:tc>
          <w:tcPr>
            <w:tcW w:w="1701" w:type="dxa"/>
            <w:tcBorders>
              <w:top w:val="nil"/>
              <w:left w:val="nil"/>
              <w:bottom w:val="single" w:sz="4" w:space="0" w:color="auto"/>
              <w:right w:val="single" w:sz="4" w:space="0" w:color="auto"/>
            </w:tcBorders>
            <w:shd w:val="clear" w:color="auto" w:fill="auto"/>
            <w:noWrap/>
            <w:vAlign w:val="bottom"/>
            <w:hideMark/>
          </w:tcPr>
          <w:p w14:paraId="0A781360"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3 905 160 € </w:t>
            </w:r>
          </w:p>
        </w:tc>
        <w:tc>
          <w:tcPr>
            <w:tcW w:w="1560" w:type="dxa"/>
            <w:tcBorders>
              <w:top w:val="nil"/>
              <w:left w:val="nil"/>
              <w:bottom w:val="single" w:sz="4" w:space="0" w:color="auto"/>
              <w:right w:val="single" w:sz="4" w:space="0" w:color="auto"/>
            </w:tcBorders>
            <w:shd w:val="clear" w:color="auto" w:fill="auto"/>
            <w:noWrap/>
            <w:vAlign w:val="bottom"/>
            <w:hideMark/>
          </w:tcPr>
          <w:p w14:paraId="3B8C0CA3"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6 091 873 € </w:t>
            </w:r>
          </w:p>
        </w:tc>
        <w:tc>
          <w:tcPr>
            <w:tcW w:w="1559" w:type="dxa"/>
            <w:tcBorders>
              <w:top w:val="nil"/>
              <w:left w:val="nil"/>
              <w:bottom w:val="single" w:sz="4" w:space="0" w:color="auto"/>
              <w:right w:val="single" w:sz="4" w:space="0" w:color="auto"/>
            </w:tcBorders>
            <w:shd w:val="clear" w:color="auto" w:fill="auto"/>
            <w:noWrap/>
            <w:vAlign w:val="bottom"/>
            <w:hideMark/>
          </w:tcPr>
          <w:p w14:paraId="06CD9CFD"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7 145 129 € </w:t>
            </w:r>
          </w:p>
        </w:tc>
        <w:tc>
          <w:tcPr>
            <w:tcW w:w="1717" w:type="dxa"/>
            <w:tcBorders>
              <w:top w:val="nil"/>
              <w:left w:val="nil"/>
              <w:bottom w:val="single" w:sz="4" w:space="0" w:color="auto"/>
              <w:right w:val="single" w:sz="4" w:space="0" w:color="auto"/>
            </w:tcBorders>
            <w:shd w:val="clear" w:color="auto" w:fill="auto"/>
            <w:noWrap/>
            <w:vAlign w:val="bottom"/>
            <w:hideMark/>
          </w:tcPr>
          <w:p w14:paraId="190C4C3C"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8 327 918 € </w:t>
            </w:r>
          </w:p>
        </w:tc>
        <w:tc>
          <w:tcPr>
            <w:tcW w:w="960" w:type="dxa"/>
            <w:tcBorders>
              <w:top w:val="nil"/>
              <w:left w:val="nil"/>
              <w:bottom w:val="nil"/>
              <w:right w:val="nil"/>
            </w:tcBorders>
            <w:shd w:val="clear" w:color="auto" w:fill="auto"/>
            <w:noWrap/>
            <w:vAlign w:val="bottom"/>
            <w:hideMark/>
          </w:tcPr>
          <w:p w14:paraId="07D567BA" w14:textId="77777777" w:rsidR="000C10F9" w:rsidRPr="00020C88" w:rsidRDefault="000C10F9" w:rsidP="000C10F9">
            <w:pPr>
              <w:spacing w:after="0" w:line="240" w:lineRule="auto"/>
              <w:rPr>
                <w:rFonts w:ascii="Times New Roman" w:hAnsi="Times New Roman"/>
                <w:color w:val="000000"/>
                <w:lang w:eastAsia="sk-SK"/>
              </w:rPr>
            </w:pPr>
          </w:p>
        </w:tc>
      </w:tr>
      <w:tr w:rsidR="000C10F9" w:rsidRPr="00020C88" w14:paraId="4D68319D" w14:textId="77777777" w:rsidTr="000C10F9">
        <w:trPr>
          <w:trHeight w:val="253"/>
        </w:trPr>
        <w:tc>
          <w:tcPr>
            <w:tcW w:w="146" w:type="dxa"/>
            <w:tcBorders>
              <w:top w:val="nil"/>
              <w:left w:val="nil"/>
              <w:bottom w:val="nil"/>
              <w:right w:val="nil"/>
            </w:tcBorders>
            <w:shd w:val="clear" w:color="auto" w:fill="auto"/>
            <w:noWrap/>
            <w:vAlign w:val="bottom"/>
            <w:hideMark/>
          </w:tcPr>
          <w:p w14:paraId="0AACEA3E"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single" w:sz="4" w:space="0" w:color="auto"/>
              <w:bottom w:val="single" w:sz="4" w:space="0" w:color="auto"/>
              <w:right w:val="single" w:sz="4" w:space="0" w:color="auto"/>
            </w:tcBorders>
            <w:shd w:val="clear" w:color="auto" w:fill="auto"/>
            <w:noWrap/>
            <w:vAlign w:val="bottom"/>
            <w:hideMark/>
          </w:tcPr>
          <w:p w14:paraId="26A3058C"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ústavná hospicová starostlivosť</w:t>
            </w:r>
          </w:p>
        </w:tc>
        <w:tc>
          <w:tcPr>
            <w:tcW w:w="1559" w:type="dxa"/>
            <w:tcBorders>
              <w:top w:val="nil"/>
              <w:left w:val="nil"/>
              <w:bottom w:val="single" w:sz="4" w:space="0" w:color="auto"/>
              <w:right w:val="single" w:sz="4" w:space="0" w:color="auto"/>
            </w:tcBorders>
            <w:shd w:val="clear" w:color="auto" w:fill="auto"/>
            <w:noWrap/>
            <w:vAlign w:val="bottom"/>
            <w:hideMark/>
          </w:tcPr>
          <w:p w14:paraId="5718881A"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2 790 400 € </w:t>
            </w:r>
          </w:p>
        </w:tc>
        <w:tc>
          <w:tcPr>
            <w:tcW w:w="1559" w:type="dxa"/>
            <w:tcBorders>
              <w:top w:val="nil"/>
              <w:left w:val="nil"/>
              <w:bottom w:val="single" w:sz="4" w:space="0" w:color="auto"/>
              <w:right w:val="single" w:sz="4" w:space="0" w:color="auto"/>
            </w:tcBorders>
            <w:shd w:val="clear" w:color="auto" w:fill="auto"/>
            <w:noWrap/>
            <w:vAlign w:val="bottom"/>
            <w:hideMark/>
          </w:tcPr>
          <w:p w14:paraId="632A28C8"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2 947 542 € </w:t>
            </w:r>
          </w:p>
        </w:tc>
        <w:tc>
          <w:tcPr>
            <w:tcW w:w="1701" w:type="dxa"/>
            <w:tcBorders>
              <w:top w:val="nil"/>
              <w:left w:val="nil"/>
              <w:bottom w:val="single" w:sz="4" w:space="0" w:color="auto"/>
              <w:right w:val="single" w:sz="4" w:space="0" w:color="auto"/>
            </w:tcBorders>
            <w:shd w:val="clear" w:color="auto" w:fill="auto"/>
            <w:noWrap/>
            <w:vAlign w:val="bottom"/>
            <w:hideMark/>
          </w:tcPr>
          <w:p w14:paraId="636B6A9A"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3 058 770 € </w:t>
            </w:r>
          </w:p>
        </w:tc>
        <w:tc>
          <w:tcPr>
            <w:tcW w:w="1560" w:type="dxa"/>
            <w:tcBorders>
              <w:top w:val="nil"/>
              <w:left w:val="nil"/>
              <w:bottom w:val="single" w:sz="4" w:space="0" w:color="auto"/>
              <w:right w:val="single" w:sz="4" w:space="0" w:color="auto"/>
            </w:tcBorders>
            <w:shd w:val="clear" w:color="auto" w:fill="auto"/>
            <w:noWrap/>
            <w:vAlign w:val="bottom"/>
            <w:hideMark/>
          </w:tcPr>
          <w:p w14:paraId="2AE59001"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5 584 619 € </w:t>
            </w:r>
          </w:p>
        </w:tc>
        <w:tc>
          <w:tcPr>
            <w:tcW w:w="1559" w:type="dxa"/>
            <w:tcBorders>
              <w:top w:val="nil"/>
              <w:left w:val="nil"/>
              <w:bottom w:val="single" w:sz="4" w:space="0" w:color="auto"/>
              <w:right w:val="single" w:sz="4" w:space="0" w:color="auto"/>
            </w:tcBorders>
            <w:shd w:val="clear" w:color="auto" w:fill="auto"/>
            <w:noWrap/>
            <w:vAlign w:val="bottom"/>
            <w:hideMark/>
          </w:tcPr>
          <w:p w14:paraId="43D24C15"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7 679 399 € </w:t>
            </w:r>
          </w:p>
        </w:tc>
        <w:tc>
          <w:tcPr>
            <w:tcW w:w="1717" w:type="dxa"/>
            <w:tcBorders>
              <w:top w:val="nil"/>
              <w:left w:val="nil"/>
              <w:bottom w:val="single" w:sz="4" w:space="0" w:color="auto"/>
              <w:right w:val="single" w:sz="4" w:space="0" w:color="auto"/>
            </w:tcBorders>
            <w:shd w:val="clear" w:color="auto" w:fill="auto"/>
            <w:noWrap/>
            <w:vAlign w:val="bottom"/>
            <w:hideMark/>
          </w:tcPr>
          <w:p w14:paraId="75BD93AC"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10 073 602 € </w:t>
            </w:r>
          </w:p>
        </w:tc>
        <w:tc>
          <w:tcPr>
            <w:tcW w:w="960" w:type="dxa"/>
            <w:tcBorders>
              <w:top w:val="nil"/>
              <w:left w:val="nil"/>
              <w:bottom w:val="nil"/>
              <w:right w:val="nil"/>
            </w:tcBorders>
            <w:shd w:val="clear" w:color="auto" w:fill="auto"/>
            <w:noWrap/>
            <w:vAlign w:val="bottom"/>
            <w:hideMark/>
          </w:tcPr>
          <w:p w14:paraId="04D729B8" w14:textId="77777777" w:rsidR="000C10F9" w:rsidRPr="00020C88" w:rsidRDefault="000C10F9" w:rsidP="000C10F9">
            <w:pPr>
              <w:spacing w:after="0" w:line="240" w:lineRule="auto"/>
              <w:rPr>
                <w:rFonts w:ascii="Times New Roman" w:hAnsi="Times New Roman"/>
                <w:color w:val="000000"/>
                <w:lang w:eastAsia="sk-SK"/>
              </w:rPr>
            </w:pPr>
          </w:p>
        </w:tc>
      </w:tr>
      <w:tr w:rsidR="000C10F9" w:rsidRPr="00020C88" w14:paraId="31051A23" w14:textId="77777777" w:rsidTr="000C10F9">
        <w:trPr>
          <w:trHeight w:val="253"/>
        </w:trPr>
        <w:tc>
          <w:tcPr>
            <w:tcW w:w="146" w:type="dxa"/>
            <w:tcBorders>
              <w:top w:val="nil"/>
              <w:left w:val="nil"/>
              <w:bottom w:val="nil"/>
              <w:right w:val="nil"/>
            </w:tcBorders>
            <w:shd w:val="clear" w:color="auto" w:fill="auto"/>
            <w:noWrap/>
            <w:vAlign w:val="bottom"/>
            <w:hideMark/>
          </w:tcPr>
          <w:p w14:paraId="31442F99"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single" w:sz="4" w:space="0" w:color="auto"/>
              <w:bottom w:val="single" w:sz="4" w:space="0" w:color="auto"/>
              <w:right w:val="single" w:sz="4" w:space="0" w:color="auto"/>
            </w:tcBorders>
            <w:shd w:val="clear" w:color="auto" w:fill="auto"/>
            <w:noWrap/>
            <w:vAlign w:val="bottom"/>
            <w:hideMark/>
          </w:tcPr>
          <w:p w14:paraId="1FE2D913"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paliatívna medicína</w:t>
            </w:r>
          </w:p>
        </w:tc>
        <w:tc>
          <w:tcPr>
            <w:tcW w:w="1559" w:type="dxa"/>
            <w:tcBorders>
              <w:top w:val="nil"/>
              <w:left w:val="nil"/>
              <w:bottom w:val="single" w:sz="4" w:space="0" w:color="auto"/>
              <w:right w:val="single" w:sz="4" w:space="0" w:color="auto"/>
            </w:tcBorders>
            <w:shd w:val="clear" w:color="auto" w:fill="auto"/>
            <w:noWrap/>
            <w:vAlign w:val="bottom"/>
            <w:hideMark/>
          </w:tcPr>
          <w:p w14:paraId="5CAE753C"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1 128 805 € </w:t>
            </w:r>
          </w:p>
        </w:tc>
        <w:tc>
          <w:tcPr>
            <w:tcW w:w="1559" w:type="dxa"/>
            <w:tcBorders>
              <w:top w:val="nil"/>
              <w:left w:val="nil"/>
              <w:bottom w:val="single" w:sz="4" w:space="0" w:color="auto"/>
              <w:right w:val="single" w:sz="4" w:space="0" w:color="auto"/>
            </w:tcBorders>
            <w:shd w:val="clear" w:color="auto" w:fill="auto"/>
            <w:noWrap/>
            <w:vAlign w:val="bottom"/>
            <w:hideMark/>
          </w:tcPr>
          <w:p w14:paraId="2BD455A4"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1 219 109 € </w:t>
            </w:r>
          </w:p>
        </w:tc>
        <w:tc>
          <w:tcPr>
            <w:tcW w:w="1701" w:type="dxa"/>
            <w:tcBorders>
              <w:top w:val="nil"/>
              <w:left w:val="nil"/>
              <w:bottom w:val="single" w:sz="4" w:space="0" w:color="auto"/>
              <w:right w:val="single" w:sz="4" w:space="0" w:color="auto"/>
            </w:tcBorders>
            <w:shd w:val="clear" w:color="auto" w:fill="auto"/>
            <w:noWrap/>
            <w:vAlign w:val="bottom"/>
            <w:hideMark/>
          </w:tcPr>
          <w:p w14:paraId="0BE63C10"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1 316 638 € </w:t>
            </w:r>
          </w:p>
        </w:tc>
        <w:tc>
          <w:tcPr>
            <w:tcW w:w="1560" w:type="dxa"/>
            <w:tcBorders>
              <w:top w:val="nil"/>
              <w:left w:val="nil"/>
              <w:bottom w:val="single" w:sz="4" w:space="0" w:color="auto"/>
              <w:right w:val="single" w:sz="4" w:space="0" w:color="auto"/>
            </w:tcBorders>
            <w:shd w:val="clear" w:color="auto" w:fill="auto"/>
            <w:noWrap/>
            <w:vAlign w:val="bottom"/>
            <w:hideMark/>
          </w:tcPr>
          <w:p w14:paraId="1A9AF03B"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2 934 623 € </w:t>
            </w:r>
          </w:p>
        </w:tc>
        <w:tc>
          <w:tcPr>
            <w:tcW w:w="1559" w:type="dxa"/>
            <w:tcBorders>
              <w:top w:val="nil"/>
              <w:left w:val="nil"/>
              <w:bottom w:val="single" w:sz="4" w:space="0" w:color="auto"/>
              <w:right w:val="single" w:sz="4" w:space="0" w:color="auto"/>
            </w:tcBorders>
            <w:shd w:val="clear" w:color="auto" w:fill="auto"/>
            <w:noWrap/>
            <w:vAlign w:val="bottom"/>
            <w:hideMark/>
          </w:tcPr>
          <w:p w14:paraId="44FEC6AC"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3 994 240 € </w:t>
            </w:r>
          </w:p>
        </w:tc>
        <w:tc>
          <w:tcPr>
            <w:tcW w:w="1717" w:type="dxa"/>
            <w:tcBorders>
              <w:top w:val="nil"/>
              <w:left w:val="nil"/>
              <w:bottom w:val="single" w:sz="4" w:space="0" w:color="auto"/>
              <w:right w:val="single" w:sz="4" w:space="0" w:color="auto"/>
            </w:tcBorders>
            <w:shd w:val="clear" w:color="auto" w:fill="auto"/>
            <w:noWrap/>
            <w:vAlign w:val="bottom"/>
            <w:hideMark/>
          </w:tcPr>
          <w:p w14:paraId="7D189A02"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5 204 614 € </w:t>
            </w:r>
          </w:p>
        </w:tc>
        <w:tc>
          <w:tcPr>
            <w:tcW w:w="960" w:type="dxa"/>
            <w:tcBorders>
              <w:top w:val="nil"/>
              <w:left w:val="nil"/>
              <w:bottom w:val="nil"/>
              <w:right w:val="nil"/>
            </w:tcBorders>
            <w:shd w:val="clear" w:color="auto" w:fill="auto"/>
            <w:noWrap/>
            <w:vAlign w:val="bottom"/>
            <w:hideMark/>
          </w:tcPr>
          <w:p w14:paraId="33D943A7" w14:textId="77777777" w:rsidR="000C10F9" w:rsidRPr="00020C88" w:rsidRDefault="000C10F9" w:rsidP="000C10F9">
            <w:pPr>
              <w:spacing w:after="0" w:line="240" w:lineRule="auto"/>
              <w:rPr>
                <w:rFonts w:ascii="Times New Roman" w:hAnsi="Times New Roman"/>
                <w:color w:val="000000"/>
                <w:lang w:eastAsia="sk-SK"/>
              </w:rPr>
            </w:pPr>
          </w:p>
        </w:tc>
      </w:tr>
      <w:tr w:rsidR="000C10F9" w:rsidRPr="00020C88" w14:paraId="589529B0" w14:textId="77777777" w:rsidTr="000C10F9">
        <w:trPr>
          <w:trHeight w:val="253"/>
        </w:trPr>
        <w:tc>
          <w:tcPr>
            <w:tcW w:w="146" w:type="dxa"/>
            <w:tcBorders>
              <w:top w:val="nil"/>
              <w:left w:val="nil"/>
              <w:bottom w:val="nil"/>
              <w:right w:val="nil"/>
            </w:tcBorders>
            <w:shd w:val="clear" w:color="auto" w:fill="auto"/>
            <w:noWrap/>
            <w:vAlign w:val="bottom"/>
            <w:hideMark/>
          </w:tcPr>
          <w:p w14:paraId="2BC87A98"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single" w:sz="4" w:space="0" w:color="auto"/>
              <w:bottom w:val="single" w:sz="4" w:space="0" w:color="auto"/>
              <w:right w:val="single" w:sz="4" w:space="0" w:color="auto"/>
            </w:tcBorders>
            <w:shd w:val="clear" w:color="auto" w:fill="auto"/>
            <w:noWrap/>
            <w:vAlign w:val="bottom"/>
            <w:hideMark/>
          </w:tcPr>
          <w:p w14:paraId="4513F6CE"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Spolu náklady</w:t>
            </w:r>
          </w:p>
        </w:tc>
        <w:tc>
          <w:tcPr>
            <w:tcW w:w="1559" w:type="dxa"/>
            <w:tcBorders>
              <w:top w:val="nil"/>
              <w:left w:val="nil"/>
              <w:bottom w:val="single" w:sz="4" w:space="0" w:color="auto"/>
              <w:right w:val="single" w:sz="4" w:space="0" w:color="auto"/>
            </w:tcBorders>
            <w:shd w:val="clear" w:color="auto" w:fill="auto"/>
            <w:noWrap/>
            <w:vAlign w:val="bottom"/>
            <w:hideMark/>
          </w:tcPr>
          <w:p w14:paraId="29F011A8"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7 267 250 € </w:t>
            </w:r>
          </w:p>
        </w:tc>
        <w:tc>
          <w:tcPr>
            <w:tcW w:w="1559" w:type="dxa"/>
            <w:tcBorders>
              <w:top w:val="nil"/>
              <w:left w:val="nil"/>
              <w:bottom w:val="single" w:sz="4" w:space="0" w:color="auto"/>
              <w:right w:val="single" w:sz="4" w:space="0" w:color="auto"/>
            </w:tcBorders>
            <w:shd w:val="clear" w:color="auto" w:fill="auto"/>
            <w:noWrap/>
            <w:vAlign w:val="bottom"/>
            <w:hideMark/>
          </w:tcPr>
          <w:p w14:paraId="79E2252E"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7 782 540 € </w:t>
            </w:r>
          </w:p>
        </w:tc>
        <w:tc>
          <w:tcPr>
            <w:tcW w:w="1701" w:type="dxa"/>
            <w:tcBorders>
              <w:top w:val="nil"/>
              <w:left w:val="nil"/>
              <w:bottom w:val="single" w:sz="4" w:space="0" w:color="auto"/>
              <w:right w:val="single" w:sz="4" w:space="0" w:color="auto"/>
            </w:tcBorders>
            <w:shd w:val="clear" w:color="auto" w:fill="auto"/>
            <w:noWrap/>
            <w:vAlign w:val="bottom"/>
            <w:hideMark/>
          </w:tcPr>
          <w:p w14:paraId="73B95D07"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8 280 568 € </w:t>
            </w:r>
          </w:p>
        </w:tc>
        <w:tc>
          <w:tcPr>
            <w:tcW w:w="1560" w:type="dxa"/>
            <w:tcBorders>
              <w:top w:val="nil"/>
              <w:left w:val="nil"/>
              <w:bottom w:val="single" w:sz="4" w:space="0" w:color="auto"/>
              <w:right w:val="single" w:sz="4" w:space="0" w:color="auto"/>
            </w:tcBorders>
            <w:shd w:val="clear" w:color="auto" w:fill="auto"/>
            <w:noWrap/>
            <w:vAlign w:val="bottom"/>
            <w:hideMark/>
          </w:tcPr>
          <w:p w14:paraId="2932D78C"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14 611 115 € </w:t>
            </w:r>
          </w:p>
        </w:tc>
        <w:tc>
          <w:tcPr>
            <w:tcW w:w="1559" w:type="dxa"/>
            <w:tcBorders>
              <w:top w:val="nil"/>
              <w:left w:val="nil"/>
              <w:bottom w:val="single" w:sz="4" w:space="0" w:color="auto"/>
              <w:right w:val="single" w:sz="4" w:space="0" w:color="auto"/>
            </w:tcBorders>
            <w:shd w:val="clear" w:color="auto" w:fill="auto"/>
            <w:noWrap/>
            <w:vAlign w:val="bottom"/>
            <w:hideMark/>
          </w:tcPr>
          <w:p w14:paraId="1E83CF08"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18 818 767 € </w:t>
            </w:r>
          </w:p>
        </w:tc>
        <w:tc>
          <w:tcPr>
            <w:tcW w:w="1717" w:type="dxa"/>
            <w:tcBorders>
              <w:top w:val="nil"/>
              <w:left w:val="nil"/>
              <w:bottom w:val="single" w:sz="4" w:space="0" w:color="auto"/>
              <w:right w:val="single" w:sz="4" w:space="0" w:color="auto"/>
            </w:tcBorders>
            <w:shd w:val="clear" w:color="auto" w:fill="auto"/>
            <w:noWrap/>
            <w:vAlign w:val="bottom"/>
            <w:hideMark/>
          </w:tcPr>
          <w:p w14:paraId="41AA3016"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23 606 133 € </w:t>
            </w:r>
          </w:p>
        </w:tc>
        <w:tc>
          <w:tcPr>
            <w:tcW w:w="960" w:type="dxa"/>
            <w:tcBorders>
              <w:top w:val="nil"/>
              <w:left w:val="nil"/>
              <w:bottom w:val="nil"/>
              <w:right w:val="nil"/>
            </w:tcBorders>
            <w:shd w:val="clear" w:color="auto" w:fill="auto"/>
            <w:noWrap/>
            <w:vAlign w:val="bottom"/>
            <w:hideMark/>
          </w:tcPr>
          <w:p w14:paraId="39038F17" w14:textId="77777777" w:rsidR="000C10F9" w:rsidRPr="00020C88" w:rsidRDefault="000C10F9" w:rsidP="000C10F9">
            <w:pPr>
              <w:spacing w:after="0" w:line="240" w:lineRule="auto"/>
              <w:rPr>
                <w:rFonts w:ascii="Times New Roman" w:hAnsi="Times New Roman"/>
                <w:b/>
                <w:bCs/>
                <w:color w:val="000000"/>
                <w:lang w:eastAsia="sk-SK"/>
              </w:rPr>
            </w:pPr>
          </w:p>
        </w:tc>
      </w:tr>
      <w:tr w:rsidR="000C10F9" w:rsidRPr="00020C88" w14:paraId="44153D6E" w14:textId="77777777" w:rsidTr="000C10F9">
        <w:trPr>
          <w:trHeight w:val="253"/>
        </w:trPr>
        <w:tc>
          <w:tcPr>
            <w:tcW w:w="146" w:type="dxa"/>
            <w:tcBorders>
              <w:top w:val="nil"/>
              <w:left w:val="nil"/>
              <w:bottom w:val="nil"/>
              <w:right w:val="nil"/>
            </w:tcBorders>
            <w:shd w:val="clear" w:color="auto" w:fill="auto"/>
            <w:noWrap/>
            <w:vAlign w:val="bottom"/>
            <w:hideMark/>
          </w:tcPr>
          <w:p w14:paraId="6D6D37F3"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nil"/>
              <w:bottom w:val="nil"/>
              <w:right w:val="nil"/>
            </w:tcBorders>
            <w:shd w:val="clear" w:color="auto" w:fill="auto"/>
            <w:vAlign w:val="bottom"/>
            <w:hideMark/>
          </w:tcPr>
          <w:p w14:paraId="12085E84" w14:textId="77777777" w:rsidR="000C10F9" w:rsidRPr="00020C88" w:rsidRDefault="000C10F9" w:rsidP="000C10F9">
            <w:pPr>
              <w:spacing w:after="0" w:line="240" w:lineRule="auto"/>
              <w:rPr>
                <w:rFonts w:ascii="Times New Roman" w:hAnsi="Times New Roman"/>
                <w:sz w:val="20"/>
                <w:szCs w:val="20"/>
                <w:lang w:eastAsia="sk-SK"/>
              </w:rPr>
            </w:pPr>
          </w:p>
        </w:tc>
        <w:tc>
          <w:tcPr>
            <w:tcW w:w="1559" w:type="dxa"/>
            <w:tcBorders>
              <w:top w:val="nil"/>
              <w:left w:val="nil"/>
              <w:bottom w:val="nil"/>
              <w:right w:val="nil"/>
            </w:tcBorders>
            <w:shd w:val="clear" w:color="auto" w:fill="auto"/>
            <w:noWrap/>
            <w:vAlign w:val="bottom"/>
            <w:hideMark/>
          </w:tcPr>
          <w:p w14:paraId="661E9D88" w14:textId="77777777" w:rsidR="000C10F9" w:rsidRPr="00020C88" w:rsidRDefault="000C10F9" w:rsidP="000C10F9">
            <w:pPr>
              <w:spacing w:after="0" w:line="240" w:lineRule="auto"/>
              <w:rPr>
                <w:rFonts w:ascii="Times New Roman" w:hAnsi="Times New Roman"/>
                <w:sz w:val="20"/>
                <w:szCs w:val="20"/>
                <w:lang w:eastAsia="sk-SK"/>
              </w:rPr>
            </w:pPr>
          </w:p>
        </w:tc>
        <w:tc>
          <w:tcPr>
            <w:tcW w:w="1559" w:type="dxa"/>
            <w:tcBorders>
              <w:top w:val="nil"/>
              <w:left w:val="nil"/>
              <w:bottom w:val="nil"/>
              <w:right w:val="nil"/>
            </w:tcBorders>
            <w:shd w:val="clear" w:color="auto" w:fill="auto"/>
            <w:noWrap/>
            <w:vAlign w:val="bottom"/>
            <w:hideMark/>
          </w:tcPr>
          <w:p w14:paraId="3F8E515C" w14:textId="77777777" w:rsidR="000C10F9" w:rsidRPr="00020C88" w:rsidRDefault="000C10F9" w:rsidP="000C10F9">
            <w:pPr>
              <w:spacing w:after="0" w:line="240" w:lineRule="auto"/>
              <w:rPr>
                <w:rFonts w:ascii="Times New Roman" w:hAnsi="Times New Roman"/>
                <w:sz w:val="20"/>
                <w:szCs w:val="20"/>
                <w:lang w:eastAsia="sk-SK"/>
              </w:rPr>
            </w:pPr>
          </w:p>
        </w:tc>
        <w:tc>
          <w:tcPr>
            <w:tcW w:w="1701" w:type="dxa"/>
            <w:tcBorders>
              <w:top w:val="nil"/>
              <w:left w:val="nil"/>
              <w:bottom w:val="nil"/>
              <w:right w:val="nil"/>
            </w:tcBorders>
            <w:shd w:val="clear" w:color="auto" w:fill="auto"/>
            <w:noWrap/>
            <w:vAlign w:val="bottom"/>
            <w:hideMark/>
          </w:tcPr>
          <w:p w14:paraId="51D3FFED" w14:textId="77777777" w:rsidR="000C10F9" w:rsidRPr="00020C88" w:rsidRDefault="000C10F9" w:rsidP="000C10F9">
            <w:pPr>
              <w:spacing w:after="0" w:line="240" w:lineRule="auto"/>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14:paraId="4D0E0834" w14:textId="77777777" w:rsidR="000C10F9" w:rsidRPr="00020C88" w:rsidRDefault="000C10F9" w:rsidP="000C10F9">
            <w:pPr>
              <w:spacing w:after="0" w:line="240" w:lineRule="auto"/>
              <w:rPr>
                <w:rFonts w:ascii="Times New Roman" w:hAnsi="Times New Roman"/>
                <w:sz w:val="20"/>
                <w:szCs w:val="20"/>
                <w:lang w:eastAsia="sk-SK"/>
              </w:rPr>
            </w:pPr>
          </w:p>
        </w:tc>
        <w:tc>
          <w:tcPr>
            <w:tcW w:w="1559" w:type="dxa"/>
            <w:tcBorders>
              <w:top w:val="nil"/>
              <w:left w:val="nil"/>
              <w:bottom w:val="nil"/>
              <w:right w:val="nil"/>
            </w:tcBorders>
            <w:shd w:val="clear" w:color="auto" w:fill="auto"/>
            <w:noWrap/>
            <w:vAlign w:val="bottom"/>
            <w:hideMark/>
          </w:tcPr>
          <w:p w14:paraId="2E5D9C51" w14:textId="77777777" w:rsidR="000C10F9" w:rsidRPr="00020C88" w:rsidRDefault="000C10F9" w:rsidP="000C10F9">
            <w:pPr>
              <w:spacing w:after="0" w:line="240" w:lineRule="auto"/>
              <w:rPr>
                <w:rFonts w:ascii="Times New Roman" w:hAnsi="Times New Roman"/>
                <w:sz w:val="20"/>
                <w:szCs w:val="20"/>
                <w:lang w:eastAsia="sk-SK"/>
              </w:rPr>
            </w:pPr>
          </w:p>
        </w:tc>
        <w:tc>
          <w:tcPr>
            <w:tcW w:w="1717" w:type="dxa"/>
            <w:tcBorders>
              <w:top w:val="nil"/>
              <w:left w:val="nil"/>
              <w:bottom w:val="nil"/>
              <w:right w:val="nil"/>
            </w:tcBorders>
            <w:shd w:val="clear" w:color="auto" w:fill="auto"/>
            <w:noWrap/>
            <w:vAlign w:val="bottom"/>
            <w:hideMark/>
          </w:tcPr>
          <w:p w14:paraId="584298B4" w14:textId="77777777" w:rsidR="000C10F9" w:rsidRPr="00020C88" w:rsidRDefault="000C10F9" w:rsidP="000C10F9">
            <w:pPr>
              <w:spacing w:after="0" w:line="240" w:lineRule="auto"/>
              <w:rPr>
                <w:rFonts w:ascii="Times New Roman" w:hAnsi="Times New Roman"/>
                <w:sz w:val="20"/>
                <w:szCs w:val="20"/>
                <w:lang w:eastAsia="sk-SK"/>
              </w:rPr>
            </w:pPr>
          </w:p>
        </w:tc>
        <w:tc>
          <w:tcPr>
            <w:tcW w:w="960" w:type="dxa"/>
            <w:tcBorders>
              <w:top w:val="nil"/>
              <w:left w:val="nil"/>
              <w:bottom w:val="nil"/>
              <w:right w:val="nil"/>
            </w:tcBorders>
            <w:shd w:val="clear" w:color="auto" w:fill="auto"/>
            <w:noWrap/>
            <w:vAlign w:val="bottom"/>
            <w:hideMark/>
          </w:tcPr>
          <w:p w14:paraId="0DE923F6" w14:textId="77777777" w:rsidR="000C10F9" w:rsidRPr="00020C88" w:rsidRDefault="000C10F9" w:rsidP="000C10F9">
            <w:pPr>
              <w:spacing w:after="0" w:line="240" w:lineRule="auto"/>
              <w:rPr>
                <w:rFonts w:ascii="Times New Roman" w:hAnsi="Times New Roman"/>
                <w:sz w:val="20"/>
                <w:szCs w:val="20"/>
                <w:lang w:eastAsia="sk-SK"/>
              </w:rPr>
            </w:pPr>
          </w:p>
        </w:tc>
      </w:tr>
      <w:tr w:rsidR="000C10F9" w:rsidRPr="00020C88" w14:paraId="65AA6647" w14:textId="77777777" w:rsidTr="000C10F9">
        <w:trPr>
          <w:trHeight w:val="253"/>
        </w:trPr>
        <w:tc>
          <w:tcPr>
            <w:tcW w:w="4820" w:type="dxa"/>
            <w:gridSpan w:val="2"/>
            <w:tcBorders>
              <w:top w:val="nil"/>
              <w:left w:val="nil"/>
              <w:bottom w:val="nil"/>
              <w:right w:val="nil"/>
            </w:tcBorders>
            <w:shd w:val="clear" w:color="auto" w:fill="auto"/>
            <w:noWrap/>
            <w:vAlign w:val="bottom"/>
            <w:hideMark/>
          </w:tcPr>
          <w:p w14:paraId="7DE26D1D"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g) Kalkulácia dopadu za ústavnú zdravotnú starostlivosť pri zmene legislatívy</w:t>
            </w:r>
          </w:p>
        </w:tc>
        <w:tc>
          <w:tcPr>
            <w:tcW w:w="1559" w:type="dxa"/>
            <w:tcBorders>
              <w:top w:val="nil"/>
              <w:left w:val="nil"/>
              <w:bottom w:val="nil"/>
              <w:right w:val="nil"/>
            </w:tcBorders>
            <w:shd w:val="clear" w:color="auto" w:fill="auto"/>
            <w:noWrap/>
            <w:vAlign w:val="bottom"/>
            <w:hideMark/>
          </w:tcPr>
          <w:p w14:paraId="7280EEAA" w14:textId="77777777" w:rsidR="000C10F9" w:rsidRPr="00020C88" w:rsidRDefault="000C10F9" w:rsidP="000C10F9">
            <w:pPr>
              <w:spacing w:after="0" w:line="240" w:lineRule="auto"/>
              <w:rPr>
                <w:rFonts w:ascii="Times New Roman" w:hAnsi="Times New Roman"/>
                <w:b/>
                <w:bCs/>
                <w:color w:val="000000"/>
                <w:lang w:eastAsia="sk-SK"/>
              </w:rPr>
            </w:pPr>
          </w:p>
        </w:tc>
        <w:tc>
          <w:tcPr>
            <w:tcW w:w="1559" w:type="dxa"/>
            <w:tcBorders>
              <w:top w:val="nil"/>
              <w:left w:val="nil"/>
              <w:bottom w:val="nil"/>
              <w:right w:val="nil"/>
            </w:tcBorders>
            <w:shd w:val="clear" w:color="auto" w:fill="auto"/>
            <w:noWrap/>
            <w:vAlign w:val="bottom"/>
            <w:hideMark/>
          </w:tcPr>
          <w:p w14:paraId="5750D6C8" w14:textId="77777777" w:rsidR="000C10F9" w:rsidRPr="00020C88" w:rsidRDefault="000C10F9" w:rsidP="000C10F9">
            <w:pPr>
              <w:spacing w:after="0" w:line="240" w:lineRule="auto"/>
              <w:rPr>
                <w:rFonts w:ascii="Times New Roman" w:hAnsi="Times New Roman"/>
                <w:sz w:val="20"/>
                <w:szCs w:val="20"/>
                <w:lang w:eastAsia="sk-SK"/>
              </w:rPr>
            </w:pPr>
          </w:p>
        </w:tc>
        <w:tc>
          <w:tcPr>
            <w:tcW w:w="1701" w:type="dxa"/>
            <w:tcBorders>
              <w:top w:val="nil"/>
              <w:left w:val="nil"/>
              <w:bottom w:val="nil"/>
              <w:right w:val="nil"/>
            </w:tcBorders>
            <w:shd w:val="clear" w:color="auto" w:fill="auto"/>
            <w:noWrap/>
            <w:vAlign w:val="bottom"/>
            <w:hideMark/>
          </w:tcPr>
          <w:p w14:paraId="534CAD91" w14:textId="77777777" w:rsidR="000C10F9" w:rsidRPr="00020C88" w:rsidRDefault="000C10F9" w:rsidP="000C10F9">
            <w:pPr>
              <w:spacing w:after="0" w:line="240" w:lineRule="auto"/>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14:paraId="3FAB77A1" w14:textId="77777777" w:rsidR="000C10F9" w:rsidRPr="00020C88" w:rsidRDefault="000C10F9" w:rsidP="000C10F9">
            <w:pPr>
              <w:spacing w:after="0" w:line="240" w:lineRule="auto"/>
              <w:rPr>
                <w:rFonts w:ascii="Times New Roman" w:hAnsi="Times New Roman"/>
                <w:sz w:val="20"/>
                <w:szCs w:val="20"/>
                <w:lang w:eastAsia="sk-SK"/>
              </w:rPr>
            </w:pPr>
          </w:p>
        </w:tc>
        <w:tc>
          <w:tcPr>
            <w:tcW w:w="1559" w:type="dxa"/>
            <w:tcBorders>
              <w:top w:val="nil"/>
              <w:left w:val="nil"/>
              <w:bottom w:val="nil"/>
              <w:right w:val="nil"/>
            </w:tcBorders>
            <w:shd w:val="clear" w:color="auto" w:fill="auto"/>
            <w:noWrap/>
            <w:vAlign w:val="bottom"/>
            <w:hideMark/>
          </w:tcPr>
          <w:p w14:paraId="3019412B" w14:textId="77777777" w:rsidR="000C10F9" w:rsidRPr="00020C88" w:rsidRDefault="000C10F9" w:rsidP="000C10F9">
            <w:pPr>
              <w:spacing w:after="0" w:line="240" w:lineRule="auto"/>
              <w:rPr>
                <w:rFonts w:ascii="Times New Roman" w:hAnsi="Times New Roman"/>
                <w:sz w:val="20"/>
                <w:szCs w:val="20"/>
                <w:lang w:eastAsia="sk-SK"/>
              </w:rPr>
            </w:pPr>
          </w:p>
        </w:tc>
        <w:tc>
          <w:tcPr>
            <w:tcW w:w="1717" w:type="dxa"/>
            <w:tcBorders>
              <w:top w:val="nil"/>
              <w:left w:val="nil"/>
              <w:bottom w:val="nil"/>
              <w:right w:val="nil"/>
            </w:tcBorders>
            <w:shd w:val="clear" w:color="auto" w:fill="auto"/>
            <w:noWrap/>
            <w:vAlign w:val="bottom"/>
            <w:hideMark/>
          </w:tcPr>
          <w:p w14:paraId="53E5D4C1" w14:textId="77777777" w:rsidR="000C10F9" w:rsidRPr="00020C88" w:rsidRDefault="000C10F9" w:rsidP="000C10F9">
            <w:pPr>
              <w:spacing w:after="0" w:line="240" w:lineRule="auto"/>
              <w:rPr>
                <w:rFonts w:ascii="Times New Roman" w:hAnsi="Times New Roman"/>
                <w:sz w:val="20"/>
                <w:szCs w:val="20"/>
                <w:lang w:eastAsia="sk-SK"/>
              </w:rPr>
            </w:pPr>
          </w:p>
        </w:tc>
        <w:tc>
          <w:tcPr>
            <w:tcW w:w="960" w:type="dxa"/>
            <w:tcBorders>
              <w:top w:val="nil"/>
              <w:left w:val="nil"/>
              <w:bottom w:val="nil"/>
              <w:right w:val="nil"/>
            </w:tcBorders>
            <w:shd w:val="clear" w:color="auto" w:fill="auto"/>
            <w:noWrap/>
            <w:vAlign w:val="bottom"/>
            <w:hideMark/>
          </w:tcPr>
          <w:p w14:paraId="331FCA8E" w14:textId="77777777" w:rsidR="000C10F9" w:rsidRPr="00020C88" w:rsidRDefault="000C10F9" w:rsidP="000C10F9">
            <w:pPr>
              <w:spacing w:after="0" w:line="240" w:lineRule="auto"/>
              <w:rPr>
                <w:rFonts w:ascii="Times New Roman" w:hAnsi="Times New Roman"/>
                <w:sz w:val="20"/>
                <w:szCs w:val="20"/>
                <w:lang w:eastAsia="sk-SK"/>
              </w:rPr>
            </w:pPr>
          </w:p>
        </w:tc>
      </w:tr>
      <w:tr w:rsidR="000C10F9" w:rsidRPr="00020C88" w14:paraId="5DD1EFF7" w14:textId="77777777" w:rsidTr="000C10F9">
        <w:trPr>
          <w:trHeight w:val="253"/>
        </w:trPr>
        <w:tc>
          <w:tcPr>
            <w:tcW w:w="146" w:type="dxa"/>
            <w:tcBorders>
              <w:top w:val="nil"/>
              <w:left w:val="nil"/>
              <w:bottom w:val="nil"/>
              <w:right w:val="nil"/>
            </w:tcBorders>
            <w:shd w:val="clear" w:color="auto" w:fill="auto"/>
            <w:noWrap/>
            <w:vAlign w:val="bottom"/>
            <w:hideMark/>
          </w:tcPr>
          <w:p w14:paraId="55229094"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A114EFD"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Celkové náklady pre zdroje VZP od 2020</w:t>
            </w:r>
          </w:p>
        </w:tc>
        <w:tc>
          <w:tcPr>
            <w:tcW w:w="1559" w:type="dxa"/>
            <w:tcBorders>
              <w:top w:val="single" w:sz="4" w:space="0" w:color="auto"/>
              <w:left w:val="nil"/>
              <w:bottom w:val="single" w:sz="4" w:space="0" w:color="auto"/>
              <w:right w:val="single" w:sz="4" w:space="0" w:color="auto"/>
            </w:tcBorders>
            <w:shd w:val="clear" w:color="000000" w:fill="DBDBDB"/>
            <w:noWrap/>
            <w:vAlign w:val="bottom"/>
            <w:hideMark/>
          </w:tcPr>
          <w:p w14:paraId="751015DA" w14:textId="77777777" w:rsidR="000C10F9" w:rsidRPr="00020C88" w:rsidRDefault="000C10F9" w:rsidP="000C10F9">
            <w:pPr>
              <w:spacing w:after="0" w:line="240" w:lineRule="auto"/>
              <w:jc w:val="right"/>
              <w:rPr>
                <w:rFonts w:ascii="Times New Roman" w:hAnsi="Times New Roman"/>
                <w:b/>
                <w:bCs/>
                <w:color w:val="000000"/>
                <w:lang w:eastAsia="sk-SK"/>
              </w:rPr>
            </w:pPr>
            <w:r w:rsidRPr="00020C88">
              <w:rPr>
                <w:rFonts w:ascii="Times New Roman" w:hAnsi="Times New Roman"/>
                <w:b/>
                <w:bCs/>
                <w:color w:val="000000"/>
                <w:lang w:eastAsia="sk-SK"/>
              </w:rPr>
              <w:t>2017</w:t>
            </w:r>
          </w:p>
        </w:tc>
        <w:tc>
          <w:tcPr>
            <w:tcW w:w="1559" w:type="dxa"/>
            <w:tcBorders>
              <w:top w:val="single" w:sz="4" w:space="0" w:color="auto"/>
              <w:left w:val="nil"/>
              <w:bottom w:val="single" w:sz="4" w:space="0" w:color="auto"/>
              <w:right w:val="single" w:sz="4" w:space="0" w:color="auto"/>
            </w:tcBorders>
            <w:shd w:val="clear" w:color="000000" w:fill="DBDBDB"/>
            <w:noWrap/>
            <w:vAlign w:val="bottom"/>
            <w:hideMark/>
          </w:tcPr>
          <w:p w14:paraId="05233327" w14:textId="77777777" w:rsidR="000C10F9" w:rsidRPr="00020C88" w:rsidRDefault="000C10F9" w:rsidP="000C10F9">
            <w:pPr>
              <w:spacing w:after="0" w:line="240" w:lineRule="auto"/>
              <w:jc w:val="right"/>
              <w:rPr>
                <w:rFonts w:ascii="Times New Roman" w:hAnsi="Times New Roman"/>
                <w:b/>
                <w:bCs/>
                <w:color w:val="000000"/>
                <w:lang w:eastAsia="sk-SK"/>
              </w:rPr>
            </w:pPr>
            <w:r w:rsidRPr="00020C88">
              <w:rPr>
                <w:rFonts w:ascii="Times New Roman" w:hAnsi="Times New Roman"/>
                <w:b/>
                <w:bCs/>
                <w:color w:val="000000"/>
                <w:lang w:eastAsia="sk-SK"/>
              </w:rPr>
              <w:t>2018*</w:t>
            </w:r>
          </w:p>
        </w:tc>
        <w:tc>
          <w:tcPr>
            <w:tcW w:w="1701" w:type="dxa"/>
            <w:tcBorders>
              <w:top w:val="single" w:sz="4" w:space="0" w:color="auto"/>
              <w:left w:val="nil"/>
              <w:bottom w:val="single" w:sz="4" w:space="0" w:color="auto"/>
              <w:right w:val="single" w:sz="4" w:space="0" w:color="auto"/>
            </w:tcBorders>
            <w:shd w:val="clear" w:color="000000" w:fill="DBDBDB"/>
            <w:noWrap/>
            <w:vAlign w:val="bottom"/>
            <w:hideMark/>
          </w:tcPr>
          <w:p w14:paraId="326E0276" w14:textId="77777777" w:rsidR="000C10F9" w:rsidRPr="00020C88" w:rsidRDefault="000C10F9" w:rsidP="000C10F9">
            <w:pPr>
              <w:spacing w:after="0" w:line="240" w:lineRule="auto"/>
              <w:jc w:val="right"/>
              <w:rPr>
                <w:rFonts w:ascii="Times New Roman" w:hAnsi="Times New Roman"/>
                <w:b/>
                <w:bCs/>
                <w:color w:val="000000"/>
                <w:lang w:eastAsia="sk-SK"/>
              </w:rPr>
            </w:pPr>
            <w:r w:rsidRPr="00020C88">
              <w:rPr>
                <w:rFonts w:ascii="Times New Roman" w:hAnsi="Times New Roman"/>
                <w:b/>
                <w:bCs/>
                <w:color w:val="000000"/>
                <w:lang w:eastAsia="sk-SK"/>
              </w:rPr>
              <w:t>2019*</w:t>
            </w:r>
          </w:p>
        </w:tc>
        <w:tc>
          <w:tcPr>
            <w:tcW w:w="1560" w:type="dxa"/>
            <w:tcBorders>
              <w:top w:val="single" w:sz="4" w:space="0" w:color="auto"/>
              <w:left w:val="nil"/>
              <w:bottom w:val="single" w:sz="4" w:space="0" w:color="auto"/>
              <w:right w:val="single" w:sz="4" w:space="0" w:color="auto"/>
            </w:tcBorders>
            <w:shd w:val="clear" w:color="000000" w:fill="DBDBDB"/>
            <w:noWrap/>
            <w:vAlign w:val="bottom"/>
            <w:hideMark/>
          </w:tcPr>
          <w:p w14:paraId="4161318C" w14:textId="77777777" w:rsidR="000C10F9" w:rsidRPr="00020C88" w:rsidRDefault="000C10F9" w:rsidP="000C10F9">
            <w:pPr>
              <w:spacing w:after="0" w:line="240" w:lineRule="auto"/>
              <w:jc w:val="right"/>
              <w:rPr>
                <w:rFonts w:ascii="Times New Roman" w:hAnsi="Times New Roman"/>
                <w:b/>
                <w:bCs/>
                <w:color w:val="000000"/>
                <w:lang w:eastAsia="sk-SK"/>
              </w:rPr>
            </w:pPr>
            <w:r w:rsidRPr="00020C88">
              <w:rPr>
                <w:rFonts w:ascii="Times New Roman" w:hAnsi="Times New Roman"/>
                <w:b/>
                <w:bCs/>
                <w:color w:val="000000"/>
                <w:lang w:eastAsia="sk-SK"/>
              </w:rPr>
              <w:t>2020</w:t>
            </w:r>
          </w:p>
        </w:tc>
        <w:tc>
          <w:tcPr>
            <w:tcW w:w="1559" w:type="dxa"/>
            <w:tcBorders>
              <w:top w:val="single" w:sz="4" w:space="0" w:color="auto"/>
              <w:left w:val="nil"/>
              <w:bottom w:val="single" w:sz="4" w:space="0" w:color="auto"/>
              <w:right w:val="single" w:sz="4" w:space="0" w:color="auto"/>
            </w:tcBorders>
            <w:shd w:val="clear" w:color="000000" w:fill="DBDBDB"/>
            <w:noWrap/>
            <w:vAlign w:val="bottom"/>
            <w:hideMark/>
          </w:tcPr>
          <w:p w14:paraId="48B6A90B" w14:textId="77777777" w:rsidR="000C10F9" w:rsidRPr="00020C88" w:rsidRDefault="000C10F9" w:rsidP="000C10F9">
            <w:pPr>
              <w:spacing w:after="0" w:line="240" w:lineRule="auto"/>
              <w:jc w:val="right"/>
              <w:rPr>
                <w:rFonts w:ascii="Times New Roman" w:hAnsi="Times New Roman"/>
                <w:b/>
                <w:bCs/>
                <w:color w:val="000000"/>
                <w:lang w:eastAsia="sk-SK"/>
              </w:rPr>
            </w:pPr>
            <w:r w:rsidRPr="00020C88">
              <w:rPr>
                <w:rFonts w:ascii="Times New Roman" w:hAnsi="Times New Roman"/>
                <w:b/>
                <w:bCs/>
                <w:color w:val="000000"/>
                <w:lang w:eastAsia="sk-SK"/>
              </w:rPr>
              <w:t>2021</w:t>
            </w:r>
          </w:p>
        </w:tc>
        <w:tc>
          <w:tcPr>
            <w:tcW w:w="1717" w:type="dxa"/>
            <w:tcBorders>
              <w:top w:val="single" w:sz="4" w:space="0" w:color="auto"/>
              <w:left w:val="nil"/>
              <w:bottom w:val="single" w:sz="4" w:space="0" w:color="auto"/>
              <w:right w:val="single" w:sz="4" w:space="0" w:color="auto"/>
            </w:tcBorders>
            <w:shd w:val="clear" w:color="000000" w:fill="DBDBDB"/>
            <w:noWrap/>
            <w:vAlign w:val="bottom"/>
            <w:hideMark/>
          </w:tcPr>
          <w:p w14:paraId="227FD507" w14:textId="77777777" w:rsidR="000C10F9" w:rsidRPr="00020C88" w:rsidRDefault="000C10F9" w:rsidP="000C10F9">
            <w:pPr>
              <w:spacing w:after="0" w:line="240" w:lineRule="auto"/>
              <w:jc w:val="right"/>
              <w:rPr>
                <w:rFonts w:ascii="Times New Roman" w:hAnsi="Times New Roman"/>
                <w:b/>
                <w:bCs/>
                <w:color w:val="000000"/>
                <w:lang w:eastAsia="sk-SK"/>
              </w:rPr>
            </w:pPr>
            <w:r w:rsidRPr="00020C88">
              <w:rPr>
                <w:rFonts w:ascii="Times New Roman" w:hAnsi="Times New Roman"/>
                <w:b/>
                <w:bCs/>
                <w:color w:val="000000"/>
                <w:lang w:eastAsia="sk-SK"/>
              </w:rPr>
              <w:t>2022</w:t>
            </w:r>
          </w:p>
        </w:tc>
        <w:tc>
          <w:tcPr>
            <w:tcW w:w="960" w:type="dxa"/>
            <w:tcBorders>
              <w:top w:val="nil"/>
              <w:left w:val="nil"/>
              <w:bottom w:val="nil"/>
              <w:right w:val="nil"/>
            </w:tcBorders>
            <w:shd w:val="clear" w:color="auto" w:fill="auto"/>
            <w:noWrap/>
            <w:vAlign w:val="bottom"/>
            <w:hideMark/>
          </w:tcPr>
          <w:p w14:paraId="1D1C32B4" w14:textId="77777777" w:rsidR="000C10F9" w:rsidRPr="00020C88" w:rsidRDefault="000C10F9" w:rsidP="000C10F9">
            <w:pPr>
              <w:spacing w:after="0" w:line="240" w:lineRule="auto"/>
              <w:jc w:val="right"/>
              <w:rPr>
                <w:rFonts w:ascii="Times New Roman" w:hAnsi="Times New Roman"/>
                <w:b/>
                <w:bCs/>
                <w:color w:val="000000"/>
                <w:lang w:eastAsia="sk-SK"/>
              </w:rPr>
            </w:pPr>
          </w:p>
        </w:tc>
      </w:tr>
      <w:tr w:rsidR="000C10F9" w:rsidRPr="00020C88" w14:paraId="21AAB63A" w14:textId="77777777" w:rsidTr="000C10F9">
        <w:trPr>
          <w:trHeight w:val="253"/>
        </w:trPr>
        <w:tc>
          <w:tcPr>
            <w:tcW w:w="146" w:type="dxa"/>
            <w:tcBorders>
              <w:top w:val="nil"/>
              <w:left w:val="nil"/>
              <w:bottom w:val="nil"/>
              <w:right w:val="nil"/>
            </w:tcBorders>
            <w:shd w:val="clear" w:color="auto" w:fill="auto"/>
            <w:noWrap/>
            <w:vAlign w:val="bottom"/>
            <w:hideMark/>
          </w:tcPr>
          <w:p w14:paraId="59EFC8FF"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single" w:sz="4" w:space="0" w:color="auto"/>
              <w:bottom w:val="single" w:sz="4" w:space="0" w:color="auto"/>
              <w:right w:val="single" w:sz="4" w:space="0" w:color="auto"/>
            </w:tcBorders>
            <w:shd w:val="clear" w:color="auto" w:fill="auto"/>
            <w:noWrap/>
            <w:vAlign w:val="bottom"/>
            <w:hideMark/>
          </w:tcPr>
          <w:p w14:paraId="5EFEB88D"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ústavná ošetrovateľská starostlivosť</w:t>
            </w:r>
          </w:p>
        </w:tc>
        <w:tc>
          <w:tcPr>
            <w:tcW w:w="1559" w:type="dxa"/>
            <w:tcBorders>
              <w:top w:val="nil"/>
              <w:left w:val="nil"/>
              <w:bottom w:val="single" w:sz="4" w:space="0" w:color="auto"/>
              <w:right w:val="single" w:sz="4" w:space="0" w:color="auto"/>
            </w:tcBorders>
            <w:shd w:val="clear" w:color="auto" w:fill="auto"/>
            <w:noWrap/>
            <w:vAlign w:val="bottom"/>
            <w:hideMark/>
          </w:tcPr>
          <w:p w14:paraId="6CFAD1DC"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3 348 045 € </w:t>
            </w:r>
          </w:p>
        </w:tc>
        <w:tc>
          <w:tcPr>
            <w:tcW w:w="1559" w:type="dxa"/>
            <w:tcBorders>
              <w:top w:val="nil"/>
              <w:left w:val="nil"/>
              <w:bottom w:val="single" w:sz="4" w:space="0" w:color="auto"/>
              <w:right w:val="single" w:sz="4" w:space="0" w:color="auto"/>
            </w:tcBorders>
            <w:shd w:val="clear" w:color="auto" w:fill="auto"/>
            <w:noWrap/>
            <w:vAlign w:val="bottom"/>
            <w:hideMark/>
          </w:tcPr>
          <w:p w14:paraId="6D51E08D"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3 615 889 € </w:t>
            </w:r>
          </w:p>
        </w:tc>
        <w:tc>
          <w:tcPr>
            <w:tcW w:w="1701" w:type="dxa"/>
            <w:tcBorders>
              <w:top w:val="nil"/>
              <w:left w:val="nil"/>
              <w:bottom w:val="single" w:sz="4" w:space="0" w:color="auto"/>
              <w:right w:val="single" w:sz="4" w:space="0" w:color="auto"/>
            </w:tcBorders>
            <w:shd w:val="clear" w:color="auto" w:fill="auto"/>
            <w:noWrap/>
            <w:vAlign w:val="bottom"/>
            <w:hideMark/>
          </w:tcPr>
          <w:p w14:paraId="79207655"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3 905 160 € </w:t>
            </w:r>
          </w:p>
        </w:tc>
        <w:tc>
          <w:tcPr>
            <w:tcW w:w="1560" w:type="dxa"/>
            <w:tcBorders>
              <w:top w:val="nil"/>
              <w:left w:val="nil"/>
              <w:bottom w:val="single" w:sz="4" w:space="0" w:color="auto"/>
              <w:right w:val="single" w:sz="4" w:space="0" w:color="auto"/>
            </w:tcBorders>
            <w:shd w:val="clear" w:color="auto" w:fill="auto"/>
            <w:noWrap/>
            <w:vAlign w:val="bottom"/>
            <w:hideMark/>
          </w:tcPr>
          <w:p w14:paraId="6D68977B"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6 985 225 € </w:t>
            </w:r>
          </w:p>
        </w:tc>
        <w:tc>
          <w:tcPr>
            <w:tcW w:w="1559" w:type="dxa"/>
            <w:tcBorders>
              <w:top w:val="nil"/>
              <w:left w:val="nil"/>
              <w:bottom w:val="single" w:sz="4" w:space="0" w:color="auto"/>
              <w:right w:val="single" w:sz="4" w:space="0" w:color="auto"/>
            </w:tcBorders>
            <w:shd w:val="clear" w:color="auto" w:fill="auto"/>
            <w:noWrap/>
            <w:vAlign w:val="bottom"/>
            <w:hideMark/>
          </w:tcPr>
          <w:p w14:paraId="60884C95"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7 965 356 € </w:t>
            </w:r>
          </w:p>
        </w:tc>
        <w:tc>
          <w:tcPr>
            <w:tcW w:w="1717" w:type="dxa"/>
            <w:tcBorders>
              <w:top w:val="nil"/>
              <w:left w:val="nil"/>
              <w:bottom w:val="single" w:sz="4" w:space="0" w:color="auto"/>
              <w:right w:val="single" w:sz="4" w:space="0" w:color="auto"/>
            </w:tcBorders>
            <w:shd w:val="clear" w:color="auto" w:fill="auto"/>
            <w:noWrap/>
            <w:vAlign w:val="bottom"/>
            <w:hideMark/>
          </w:tcPr>
          <w:p w14:paraId="67EED68E"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9 026 037 € </w:t>
            </w:r>
          </w:p>
        </w:tc>
        <w:tc>
          <w:tcPr>
            <w:tcW w:w="960" w:type="dxa"/>
            <w:tcBorders>
              <w:top w:val="nil"/>
              <w:left w:val="nil"/>
              <w:bottom w:val="nil"/>
              <w:right w:val="nil"/>
            </w:tcBorders>
            <w:shd w:val="clear" w:color="auto" w:fill="auto"/>
            <w:noWrap/>
            <w:vAlign w:val="bottom"/>
            <w:hideMark/>
          </w:tcPr>
          <w:p w14:paraId="50A9EB0A" w14:textId="77777777" w:rsidR="000C10F9" w:rsidRPr="00020C88" w:rsidRDefault="000C10F9" w:rsidP="000C10F9">
            <w:pPr>
              <w:spacing w:after="0" w:line="240" w:lineRule="auto"/>
              <w:rPr>
                <w:rFonts w:ascii="Times New Roman" w:hAnsi="Times New Roman"/>
                <w:color w:val="000000"/>
                <w:lang w:eastAsia="sk-SK"/>
              </w:rPr>
            </w:pPr>
          </w:p>
        </w:tc>
      </w:tr>
      <w:tr w:rsidR="000C10F9" w:rsidRPr="00020C88" w14:paraId="2B09D994" w14:textId="77777777" w:rsidTr="000C10F9">
        <w:trPr>
          <w:trHeight w:val="253"/>
        </w:trPr>
        <w:tc>
          <w:tcPr>
            <w:tcW w:w="146" w:type="dxa"/>
            <w:tcBorders>
              <w:top w:val="nil"/>
              <w:left w:val="nil"/>
              <w:bottom w:val="nil"/>
              <w:right w:val="nil"/>
            </w:tcBorders>
            <w:shd w:val="clear" w:color="auto" w:fill="auto"/>
            <w:noWrap/>
            <w:vAlign w:val="bottom"/>
            <w:hideMark/>
          </w:tcPr>
          <w:p w14:paraId="2D1D8F83"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single" w:sz="4" w:space="0" w:color="auto"/>
              <w:bottom w:val="single" w:sz="4" w:space="0" w:color="auto"/>
              <w:right w:val="single" w:sz="4" w:space="0" w:color="auto"/>
            </w:tcBorders>
            <w:shd w:val="clear" w:color="auto" w:fill="auto"/>
            <w:noWrap/>
            <w:vAlign w:val="bottom"/>
            <w:hideMark/>
          </w:tcPr>
          <w:p w14:paraId="62175028"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ústavná hospicová starostlivosť</w:t>
            </w:r>
          </w:p>
        </w:tc>
        <w:tc>
          <w:tcPr>
            <w:tcW w:w="1559" w:type="dxa"/>
            <w:tcBorders>
              <w:top w:val="nil"/>
              <w:left w:val="nil"/>
              <w:bottom w:val="single" w:sz="4" w:space="0" w:color="auto"/>
              <w:right w:val="single" w:sz="4" w:space="0" w:color="auto"/>
            </w:tcBorders>
            <w:shd w:val="clear" w:color="auto" w:fill="auto"/>
            <w:noWrap/>
            <w:vAlign w:val="bottom"/>
            <w:hideMark/>
          </w:tcPr>
          <w:p w14:paraId="336AF7E2"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2 790 400 € </w:t>
            </w:r>
          </w:p>
        </w:tc>
        <w:tc>
          <w:tcPr>
            <w:tcW w:w="1559" w:type="dxa"/>
            <w:tcBorders>
              <w:top w:val="nil"/>
              <w:left w:val="nil"/>
              <w:bottom w:val="single" w:sz="4" w:space="0" w:color="auto"/>
              <w:right w:val="single" w:sz="4" w:space="0" w:color="auto"/>
            </w:tcBorders>
            <w:shd w:val="clear" w:color="auto" w:fill="auto"/>
            <w:noWrap/>
            <w:vAlign w:val="bottom"/>
            <w:hideMark/>
          </w:tcPr>
          <w:p w14:paraId="29B45B6A"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2 947 542 € </w:t>
            </w:r>
          </w:p>
        </w:tc>
        <w:tc>
          <w:tcPr>
            <w:tcW w:w="1701" w:type="dxa"/>
            <w:tcBorders>
              <w:top w:val="nil"/>
              <w:left w:val="nil"/>
              <w:bottom w:val="single" w:sz="4" w:space="0" w:color="auto"/>
              <w:right w:val="single" w:sz="4" w:space="0" w:color="auto"/>
            </w:tcBorders>
            <w:shd w:val="clear" w:color="auto" w:fill="auto"/>
            <w:noWrap/>
            <w:vAlign w:val="bottom"/>
            <w:hideMark/>
          </w:tcPr>
          <w:p w14:paraId="0723C1D6"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3 058 770 € </w:t>
            </w:r>
          </w:p>
        </w:tc>
        <w:tc>
          <w:tcPr>
            <w:tcW w:w="1560" w:type="dxa"/>
            <w:tcBorders>
              <w:top w:val="nil"/>
              <w:left w:val="nil"/>
              <w:bottom w:val="single" w:sz="4" w:space="0" w:color="auto"/>
              <w:right w:val="single" w:sz="4" w:space="0" w:color="auto"/>
            </w:tcBorders>
            <w:shd w:val="clear" w:color="auto" w:fill="auto"/>
            <w:noWrap/>
            <w:vAlign w:val="bottom"/>
            <w:hideMark/>
          </w:tcPr>
          <w:p w14:paraId="01CFD76F"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7 991 458 € </w:t>
            </w:r>
          </w:p>
        </w:tc>
        <w:tc>
          <w:tcPr>
            <w:tcW w:w="1559" w:type="dxa"/>
            <w:tcBorders>
              <w:top w:val="nil"/>
              <w:left w:val="nil"/>
              <w:bottom w:val="single" w:sz="4" w:space="0" w:color="auto"/>
              <w:right w:val="single" w:sz="4" w:space="0" w:color="auto"/>
            </w:tcBorders>
            <w:shd w:val="clear" w:color="auto" w:fill="auto"/>
            <w:noWrap/>
            <w:vAlign w:val="bottom"/>
            <w:hideMark/>
          </w:tcPr>
          <w:p w14:paraId="1D8862A4"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10 683 787 € </w:t>
            </w:r>
          </w:p>
        </w:tc>
        <w:tc>
          <w:tcPr>
            <w:tcW w:w="1717" w:type="dxa"/>
            <w:tcBorders>
              <w:top w:val="nil"/>
              <w:left w:val="nil"/>
              <w:bottom w:val="single" w:sz="4" w:space="0" w:color="auto"/>
              <w:right w:val="single" w:sz="4" w:space="0" w:color="auto"/>
            </w:tcBorders>
            <w:shd w:val="clear" w:color="auto" w:fill="auto"/>
            <w:noWrap/>
            <w:vAlign w:val="bottom"/>
            <w:hideMark/>
          </w:tcPr>
          <w:p w14:paraId="143CF298"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13 625 371 € </w:t>
            </w:r>
          </w:p>
        </w:tc>
        <w:tc>
          <w:tcPr>
            <w:tcW w:w="960" w:type="dxa"/>
            <w:tcBorders>
              <w:top w:val="nil"/>
              <w:left w:val="nil"/>
              <w:bottom w:val="nil"/>
              <w:right w:val="nil"/>
            </w:tcBorders>
            <w:shd w:val="clear" w:color="auto" w:fill="auto"/>
            <w:noWrap/>
            <w:vAlign w:val="bottom"/>
            <w:hideMark/>
          </w:tcPr>
          <w:p w14:paraId="01336081" w14:textId="77777777" w:rsidR="000C10F9" w:rsidRPr="00020C88" w:rsidRDefault="000C10F9" w:rsidP="000C10F9">
            <w:pPr>
              <w:spacing w:after="0" w:line="240" w:lineRule="auto"/>
              <w:rPr>
                <w:rFonts w:ascii="Times New Roman" w:hAnsi="Times New Roman"/>
                <w:color w:val="000000"/>
                <w:lang w:eastAsia="sk-SK"/>
              </w:rPr>
            </w:pPr>
          </w:p>
        </w:tc>
      </w:tr>
      <w:tr w:rsidR="000C10F9" w:rsidRPr="00020C88" w14:paraId="63BA9529" w14:textId="77777777" w:rsidTr="000C10F9">
        <w:trPr>
          <w:trHeight w:val="253"/>
        </w:trPr>
        <w:tc>
          <w:tcPr>
            <w:tcW w:w="146" w:type="dxa"/>
            <w:tcBorders>
              <w:top w:val="nil"/>
              <w:left w:val="nil"/>
              <w:bottom w:val="nil"/>
              <w:right w:val="nil"/>
            </w:tcBorders>
            <w:shd w:val="clear" w:color="auto" w:fill="auto"/>
            <w:noWrap/>
            <w:vAlign w:val="bottom"/>
            <w:hideMark/>
          </w:tcPr>
          <w:p w14:paraId="33ECDCC2"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single" w:sz="4" w:space="0" w:color="auto"/>
              <w:bottom w:val="single" w:sz="4" w:space="0" w:color="auto"/>
              <w:right w:val="single" w:sz="4" w:space="0" w:color="auto"/>
            </w:tcBorders>
            <w:shd w:val="clear" w:color="auto" w:fill="auto"/>
            <w:noWrap/>
            <w:vAlign w:val="bottom"/>
            <w:hideMark/>
          </w:tcPr>
          <w:p w14:paraId="20DDC33A"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paliatívna medicína</w:t>
            </w:r>
          </w:p>
        </w:tc>
        <w:tc>
          <w:tcPr>
            <w:tcW w:w="1559" w:type="dxa"/>
            <w:tcBorders>
              <w:top w:val="nil"/>
              <w:left w:val="nil"/>
              <w:bottom w:val="single" w:sz="4" w:space="0" w:color="auto"/>
              <w:right w:val="single" w:sz="4" w:space="0" w:color="auto"/>
            </w:tcBorders>
            <w:shd w:val="clear" w:color="auto" w:fill="auto"/>
            <w:noWrap/>
            <w:vAlign w:val="bottom"/>
            <w:hideMark/>
          </w:tcPr>
          <w:p w14:paraId="76974180"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1 128 805 € </w:t>
            </w:r>
          </w:p>
        </w:tc>
        <w:tc>
          <w:tcPr>
            <w:tcW w:w="1559" w:type="dxa"/>
            <w:tcBorders>
              <w:top w:val="nil"/>
              <w:left w:val="nil"/>
              <w:bottom w:val="single" w:sz="4" w:space="0" w:color="auto"/>
              <w:right w:val="single" w:sz="4" w:space="0" w:color="auto"/>
            </w:tcBorders>
            <w:shd w:val="clear" w:color="auto" w:fill="auto"/>
            <w:noWrap/>
            <w:vAlign w:val="bottom"/>
            <w:hideMark/>
          </w:tcPr>
          <w:p w14:paraId="23B8C140"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1 219 109 € </w:t>
            </w:r>
          </w:p>
        </w:tc>
        <w:tc>
          <w:tcPr>
            <w:tcW w:w="1701" w:type="dxa"/>
            <w:tcBorders>
              <w:top w:val="nil"/>
              <w:left w:val="nil"/>
              <w:bottom w:val="single" w:sz="4" w:space="0" w:color="auto"/>
              <w:right w:val="single" w:sz="4" w:space="0" w:color="auto"/>
            </w:tcBorders>
            <w:shd w:val="clear" w:color="auto" w:fill="auto"/>
            <w:noWrap/>
            <w:vAlign w:val="bottom"/>
            <w:hideMark/>
          </w:tcPr>
          <w:p w14:paraId="01DA8C25"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1 316 638 € </w:t>
            </w:r>
          </w:p>
        </w:tc>
        <w:tc>
          <w:tcPr>
            <w:tcW w:w="1560" w:type="dxa"/>
            <w:tcBorders>
              <w:top w:val="nil"/>
              <w:left w:val="nil"/>
              <w:bottom w:val="single" w:sz="4" w:space="0" w:color="auto"/>
              <w:right w:val="single" w:sz="4" w:space="0" w:color="auto"/>
            </w:tcBorders>
            <w:shd w:val="clear" w:color="auto" w:fill="auto"/>
            <w:noWrap/>
            <w:vAlign w:val="bottom"/>
            <w:hideMark/>
          </w:tcPr>
          <w:p w14:paraId="383F1D64"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3 246 162 € </w:t>
            </w:r>
          </w:p>
        </w:tc>
        <w:tc>
          <w:tcPr>
            <w:tcW w:w="1559" w:type="dxa"/>
            <w:tcBorders>
              <w:top w:val="nil"/>
              <w:left w:val="nil"/>
              <w:bottom w:val="single" w:sz="4" w:space="0" w:color="auto"/>
              <w:right w:val="single" w:sz="4" w:space="0" w:color="auto"/>
            </w:tcBorders>
            <w:shd w:val="clear" w:color="auto" w:fill="auto"/>
            <w:noWrap/>
            <w:vAlign w:val="bottom"/>
            <w:hideMark/>
          </w:tcPr>
          <w:p w14:paraId="685756C6"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4 295 538 € </w:t>
            </w:r>
          </w:p>
        </w:tc>
        <w:tc>
          <w:tcPr>
            <w:tcW w:w="1717" w:type="dxa"/>
            <w:tcBorders>
              <w:top w:val="nil"/>
              <w:left w:val="nil"/>
              <w:bottom w:val="single" w:sz="4" w:space="0" w:color="auto"/>
              <w:right w:val="single" w:sz="4" w:space="0" w:color="auto"/>
            </w:tcBorders>
            <w:shd w:val="clear" w:color="auto" w:fill="auto"/>
            <w:noWrap/>
            <w:vAlign w:val="bottom"/>
            <w:hideMark/>
          </w:tcPr>
          <w:p w14:paraId="79A8EBC7"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     5 441 736 € </w:t>
            </w:r>
          </w:p>
        </w:tc>
        <w:tc>
          <w:tcPr>
            <w:tcW w:w="960" w:type="dxa"/>
            <w:tcBorders>
              <w:top w:val="nil"/>
              <w:left w:val="nil"/>
              <w:bottom w:val="nil"/>
              <w:right w:val="nil"/>
            </w:tcBorders>
            <w:shd w:val="clear" w:color="auto" w:fill="auto"/>
            <w:noWrap/>
            <w:vAlign w:val="bottom"/>
            <w:hideMark/>
          </w:tcPr>
          <w:p w14:paraId="606A292D" w14:textId="77777777" w:rsidR="000C10F9" w:rsidRPr="00020C88" w:rsidRDefault="000C10F9" w:rsidP="000C10F9">
            <w:pPr>
              <w:spacing w:after="0" w:line="240" w:lineRule="auto"/>
              <w:rPr>
                <w:rFonts w:ascii="Times New Roman" w:hAnsi="Times New Roman"/>
                <w:color w:val="000000"/>
                <w:lang w:eastAsia="sk-SK"/>
              </w:rPr>
            </w:pPr>
          </w:p>
        </w:tc>
      </w:tr>
      <w:tr w:rsidR="000C10F9" w:rsidRPr="00020C88" w14:paraId="1BE80BEF" w14:textId="77777777" w:rsidTr="000C10F9">
        <w:trPr>
          <w:trHeight w:val="253"/>
        </w:trPr>
        <w:tc>
          <w:tcPr>
            <w:tcW w:w="146" w:type="dxa"/>
            <w:tcBorders>
              <w:top w:val="nil"/>
              <w:left w:val="nil"/>
              <w:bottom w:val="nil"/>
              <w:right w:val="nil"/>
            </w:tcBorders>
            <w:shd w:val="clear" w:color="auto" w:fill="auto"/>
            <w:noWrap/>
            <w:vAlign w:val="bottom"/>
            <w:hideMark/>
          </w:tcPr>
          <w:p w14:paraId="07F942BB"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single" w:sz="4" w:space="0" w:color="auto"/>
              <w:bottom w:val="single" w:sz="4" w:space="0" w:color="auto"/>
              <w:right w:val="single" w:sz="4" w:space="0" w:color="auto"/>
            </w:tcBorders>
            <w:shd w:val="clear" w:color="auto" w:fill="auto"/>
            <w:noWrap/>
            <w:vAlign w:val="bottom"/>
            <w:hideMark/>
          </w:tcPr>
          <w:p w14:paraId="0081A494"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Spolu náklady</w:t>
            </w:r>
          </w:p>
        </w:tc>
        <w:tc>
          <w:tcPr>
            <w:tcW w:w="1559" w:type="dxa"/>
            <w:tcBorders>
              <w:top w:val="nil"/>
              <w:left w:val="nil"/>
              <w:bottom w:val="single" w:sz="4" w:space="0" w:color="auto"/>
              <w:right w:val="single" w:sz="4" w:space="0" w:color="auto"/>
            </w:tcBorders>
            <w:shd w:val="clear" w:color="auto" w:fill="auto"/>
            <w:noWrap/>
            <w:vAlign w:val="bottom"/>
            <w:hideMark/>
          </w:tcPr>
          <w:p w14:paraId="08936E6D"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7 267 250 € </w:t>
            </w:r>
          </w:p>
        </w:tc>
        <w:tc>
          <w:tcPr>
            <w:tcW w:w="1559" w:type="dxa"/>
            <w:tcBorders>
              <w:top w:val="nil"/>
              <w:left w:val="nil"/>
              <w:bottom w:val="single" w:sz="4" w:space="0" w:color="auto"/>
              <w:right w:val="single" w:sz="4" w:space="0" w:color="auto"/>
            </w:tcBorders>
            <w:shd w:val="clear" w:color="auto" w:fill="auto"/>
            <w:noWrap/>
            <w:vAlign w:val="bottom"/>
            <w:hideMark/>
          </w:tcPr>
          <w:p w14:paraId="1B0008F8"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7 782 540 € </w:t>
            </w:r>
          </w:p>
        </w:tc>
        <w:tc>
          <w:tcPr>
            <w:tcW w:w="1701" w:type="dxa"/>
            <w:tcBorders>
              <w:top w:val="nil"/>
              <w:left w:val="nil"/>
              <w:bottom w:val="single" w:sz="4" w:space="0" w:color="auto"/>
              <w:right w:val="single" w:sz="4" w:space="0" w:color="auto"/>
            </w:tcBorders>
            <w:shd w:val="clear" w:color="auto" w:fill="auto"/>
            <w:noWrap/>
            <w:vAlign w:val="bottom"/>
            <w:hideMark/>
          </w:tcPr>
          <w:p w14:paraId="6B64C801"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8 280 568 € </w:t>
            </w:r>
          </w:p>
        </w:tc>
        <w:tc>
          <w:tcPr>
            <w:tcW w:w="1560" w:type="dxa"/>
            <w:tcBorders>
              <w:top w:val="nil"/>
              <w:left w:val="nil"/>
              <w:bottom w:val="single" w:sz="4" w:space="0" w:color="auto"/>
              <w:right w:val="single" w:sz="4" w:space="0" w:color="auto"/>
            </w:tcBorders>
            <w:shd w:val="clear" w:color="auto" w:fill="auto"/>
            <w:noWrap/>
            <w:vAlign w:val="bottom"/>
            <w:hideMark/>
          </w:tcPr>
          <w:p w14:paraId="1459AF83"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18 222 845 € </w:t>
            </w:r>
          </w:p>
        </w:tc>
        <w:tc>
          <w:tcPr>
            <w:tcW w:w="1559" w:type="dxa"/>
            <w:tcBorders>
              <w:top w:val="nil"/>
              <w:left w:val="nil"/>
              <w:bottom w:val="single" w:sz="4" w:space="0" w:color="auto"/>
              <w:right w:val="single" w:sz="4" w:space="0" w:color="auto"/>
            </w:tcBorders>
            <w:shd w:val="clear" w:color="auto" w:fill="auto"/>
            <w:noWrap/>
            <w:vAlign w:val="bottom"/>
            <w:hideMark/>
          </w:tcPr>
          <w:p w14:paraId="4FAEE811"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22 944 681 € </w:t>
            </w:r>
          </w:p>
        </w:tc>
        <w:tc>
          <w:tcPr>
            <w:tcW w:w="1717" w:type="dxa"/>
            <w:tcBorders>
              <w:top w:val="nil"/>
              <w:left w:val="nil"/>
              <w:bottom w:val="single" w:sz="4" w:space="0" w:color="auto"/>
              <w:right w:val="single" w:sz="4" w:space="0" w:color="auto"/>
            </w:tcBorders>
            <w:shd w:val="clear" w:color="auto" w:fill="auto"/>
            <w:noWrap/>
            <w:vAlign w:val="bottom"/>
            <w:hideMark/>
          </w:tcPr>
          <w:p w14:paraId="0409A5DA"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28 093 143 € </w:t>
            </w:r>
          </w:p>
        </w:tc>
        <w:tc>
          <w:tcPr>
            <w:tcW w:w="960" w:type="dxa"/>
            <w:tcBorders>
              <w:top w:val="nil"/>
              <w:left w:val="nil"/>
              <w:bottom w:val="nil"/>
              <w:right w:val="nil"/>
            </w:tcBorders>
            <w:shd w:val="clear" w:color="auto" w:fill="auto"/>
            <w:noWrap/>
            <w:vAlign w:val="bottom"/>
            <w:hideMark/>
          </w:tcPr>
          <w:p w14:paraId="012C4F3A" w14:textId="77777777" w:rsidR="000C10F9" w:rsidRPr="00020C88" w:rsidRDefault="000C10F9" w:rsidP="000C10F9">
            <w:pPr>
              <w:spacing w:after="0" w:line="240" w:lineRule="auto"/>
              <w:rPr>
                <w:rFonts w:ascii="Times New Roman" w:hAnsi="Times New Roman"/>
                <w:b/>
                <w:bCs/>
                <w:color w:val="000000"/>
                <w:lang w:eastAsia="sk-SK"/>
              </w:rPr>
            </w:pPr>
          </w:p>
        </w:tc>
      </w:tr>
      <w:tr w:rsidR="000C10F9" w:rsidRPr="00020C88" w14:paraId="0F41E8B4" w14:textId="77777777" w:rsidTr="000C10F9">
        <w:trPr>
          <w:trHeight w:val="253"/>
        </w:trPr>
        <w:tc>
          <w:tcPr>
            <w:tcW w:w="146" w:type="dxa"/>
            <w:tcBorders>
              <w:top w:val="nil"/>
              <w:left w:val="nil"/>
              <w:bottom w:val="nil"/>
              <w:right w:val="nil"/>
            </w:tcBorders>
            <w:shd w:val="clear" w:color="auto" w:fill="auto"/>
            <w:noWrap/>
            <w:vAlign w:val="bottom"/>
            <w:hideMark/>
          </w:tcPr>
          <w:p w14:paraId="301E9B94"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single" w:sz="4" w:space="0" w:color="auto"/>
              <w:bottom w:val="single" w:sz="4" w:space="0" w:color="auto"/>
              <w:right w:val="single" w:sz="4" w:space="0" w:color="auto"/>
            </w:tcBorders>
            <w:shd w:val="clear" w:color="auto" w:fill="auto"/>
            <w:noWrap/>
            <w:vAlign w:val="bottom"/>
            <w:hideMark/>
          </w:tcPr>
          <w:p w14:paraId="2143543F"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Nárast úhrad ZP ústavnej ošetrovateľskej starostlivosti pri zmene legislatívy voči báze bez zmeny legislatívy </w:t>
            </w:r>
          </w:p>
        </w:tc>
        <w:tc>
          <w:tcPr>
            <w:tcW w:w="1559" w:type="dxa"/>
            <w:tcBorders>
              <w:top w:val="nil"/>
              <w:left w:val="nil"/>
              <w:bottom w:val="single" w:sz="4" w:space="0" w:color="auto"/>
              <w:right w:val="single" w:sz="4" w:space="0" w:color="auto"/>
            </w:tcBorders>
            <w:shd w:val="clear" w:color="auto" w:fill="auto"/>
            <w:noWrap/>
            <w:vAlign w:val="bottom"/>
            <w:hideMark/>
          </w:tcPr>
          <w:p w14:paraId="2F03BE0E"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14:paraId="3D9EF405"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1604263E"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   € </w:t>
            </w:r>
          </w:p>
        </w:tc>
        <w:tc>
          <w:tcPr>
            <w:tcW w:w="1560" w:type="dxa"/>
            <w:tcBorders>
              <w:top w:val="nil"/>
              <w:left w:val="nil"/>
              <w:bottom w:val="single" w:sz="4" w:space="0" w:color="auto"/>
              <w:right w:val="single" w:sz="4" w:space="0" w:color="auto"/>
            </w:tcBorders>
            <w:shd w:val="clear" w:color="auto" w:fill="auto"/>
            <w:noWrap/>
            <w:vAlign w:val="bottom"/>
            <w:hideMark/>
          </w:tcPr>
          <w:p w14:paraId="383BE028"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893 352 € </w:t>
            </w:r>
          </w:p>
        </w:tc>
        <w:tc>
          <w:tcPr>
            <w:tcW w:w="1559" w:type="dxa"/>
            <w:tcBorders>
              <w:top w:val="nil"/>
              <w:left w:val="nil"/>
              <w:bottom w:val="single" w:sz="4" w:space="0" w:color="auto"/>
              <w:right w:val="single" w:sz="4" w:space="0" w:color="auto"/>
            </w:tcBorders>
            <w:shd w:val="clear" w:color="auto" w:fill="auto"/>
            <w:noWrap/>
            <w:vAlign w:val="bottom"/>
            <w:hideMark/>
          </w:tcPr>
          <w:p w14:paraId="6C132AE1"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820 227 € </w:t>
            </w:r>
          </w:p>
        </w:tc>
        <w:tc>
          <w:tcPr>
            <w:tcW w:w="1717" w:type="dxa"/>
            <w:tcBorders>
              <w:top w:val="nil"/>
              <w:left w:val="nil"/>
              <w:bottom w:val="single" w:sz="4" w:space="0" w:color="auto"/>
              <w:right w:val="single" w:sz="4" w:space="0" w:color="auto"/>
            </w:tcBorders>
            <w:shd w:val="clear" w:color="auto" w:fill="auto"/>
            <w:noWrap/>
            <w:vAlign w:val="bottom"/>
            <w:hideMark/>
          </w:tcPr>
          <w:p w14:paraId="3660FD77"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698 119 € </w:t>
            </w:r>
          </w:p>
        </w:tc>
        <w:tc>
          <w:tcPr>
            <w:tcW w:w="960" w:type="dxa"/>
            <w:tcBorders>
              <w:top w:val="nil"/>
              <w:left w:val="nil"/>
              <w:bottom w:val="nil"/>
              <w:right w:val="nil"/>
            </w:tcBorders>
            <w:shd w:val="clear" w:color="auto" w:fill="auto"/>
            <w:noWrap/>
            <w:vAlign w:val="bottom"/>
            <w:hideMark/>
          </w:tcPr>
          <w:p w14:paraId="41E87E4B" w14:textId="77777777" w:rsidR="000C10F9" w:rsidRPr="00020C88" w:rsidRDefault="000C10F9" w:rsidP="000C10F9">
            <w:pPr>
              <w:spacing w:after="0" w:line="240" w:lineRule="auto"/>
              <w:rPr>
                <w:rFonts w:ascii="Times New Roman" w:hAnsi="Times New Roman"/>
                <w:b/>
                <w:bCs/>
                <w:color w:val="000000"/>
                <w:lang w:eastAsia="sk-SK"/>
              </w:rPr>
            </w:pPr>
          </w:p>
        </w:tc>
      </w:tr>
      <w:tr w:rsidR="000C10F9" w:rsidRPr="00020C88" w14:paraId="5EAF7E8D" w14:textId="77777777" w:rsidTr="000C10F9">
        <w:trPr>
          <w:trHeight w:val="253"/>
        </w:trPr>
        <w:tc>
          <w:tcPr>
            <w:tcW w:w="146" w:type="dxa"/>
            <w:tcBorders>
              <w:top w:val="nil"/>
              <w:left w:val="nil"/>
              <w:bottom w:val="nil"/>
              <w:right w:val="nil"/>
            </w:tcBorders>
            <w:shd w:val="clear" w:color="auto" w:fill="auto"/>
            <w:noWrap/>
            <w:vAlign w:val="bottom"/>
            <w:hideMark/>
          </w:tcPr>
          <w:p w14:paraId="6E88F29E"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single" w:sz="4" w:space="0" w:color="auto"/>
              <w:bottom w:val="single" w:sz="4" w:space="0" w:color="auto"/>
              <w:right w:val="single" w:sz="4" w:space="0" w:color="auto"/>
            </w:tcBorders>
            <w:shd w:val="clear" w:color="auto" w:fill="auto"/>
            <w:noWrap/>
            <w:vAlign w:val="bottom"/>
            <w:hideMark/>
          </w:tcPr>
          <w:p w14:paraId="16D07E34"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Nárast úhrad ZP ústavnej hospicovej starostlivosti pri zmene legislatívy voči báze bez zmeny legislatívy</w:t>
            </w:r>
          </w:p>
        </w:tc>
        <w:tc>
          <w:tcPr>
            <w:tcW w:w="1559" w:type="dxa"/>
            <w:tcBorders>
              <w:top w:val="nil"/>
              <w:left w:val="nil"/>
              <w:bottom w:val="single" w:sz="4" w:space="0" w:color="auto"/>
              <w:right w:val="single" w:sz="4" w:space="0" w:color="auto"/>
            </w:tcBorders>
            <w:shd w:val="clear" w:color="auto" w:fill="auto"/>
            <w:noWrap/>
            <w:vAlign w:val="bottom"/>
            <w:hideMark/>
          </w:tcPr>
          <w:p w14:paraId="57864C75"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14:paraId="56300DDA"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C904CE0"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   € </w:t>
            </w:r>
          </w:p>
        </w:tc>
        <w:tc>
          <w:tcPr>
            <w:tcW w:w="1560" w:type="dxa"/>
            <w:tcBorders>
              <w:top w:val="nil"/>
              <w:left w:val="nil"/>
              <w:bottom w:val="single" w:sz="4" w:space="0" w:color="auto"/>
              <w:right w:val="single" w:sz="4" w:space="0" w:color="auto"/>
            </w:tcBorders>
            <w:shd w:val="clear" w:color="auto" w:fill="auto"/>
            <w:noWrap/>
            <w:vAlign w:val="bottom"/>
            <w:hideMark/>
          </w:tcPr>
          <w:p w14:paraId="16E1D756"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2 406 839 € </w:t>
            </w:r>
          </w:p>
        </w:tc>
        <w:tc>
          <w:tcPr>
            <w:tcW w:w="1559" w:type="dxa"/>
            <w:tcBorders>
              <w:top w:val="nil"/>
              <w:left w:val="nil"/>
              <w:bottom w:val="single" w:sz="4" w:space="0" w:color="auto"/>
              <w:right w:val="single" w:sz="4" w:space="0" w:color="auto"/>
            </w:tcBorders>
            <w:shd w:val="clear" w:color="auto" w:fill="auto"/>
            <w:noWrap/>
            <w:vAlign w:val="bottom"/>
            <w:hideMark/>
          </w:tcPr>
          <w:p w14:paraId="710ECD4A"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3 004 389 € </w:t>
            </w:r>
          </w:p>
        </w:tc>
        <w:tc>
          <w:tcPr>
            <w:tcW w:w="1717" w:type="dxa"/>
            <w:tcBorders>
              <w:top w:val="nil"/>
              <w:left w:val="nil"/>
              <w:bottom w:val="single" w:sz="4" w:space="0" w:color="auto"/>
              <w:right w:val="single" w:sz="4" w:space="0" w:color="auto"/>
            </w:tcBorders>
            <w:shd w:val="clear" w:color="auto" w:fill="auto"/>
            <w:noWrap/>
            <w:vAlign w:val="bottom"/>
            <w:hideMark/>
          </w:tcPr>
          <w:p w14:paraId="5FE681EC"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3 551 769 € </w:t>
            </w:r>
          </w:p>
        </w:tc>
        <w:tc>
          <w:tcPr>
            <w:tcW w:w="960" w:type="dxa"/>
            <w:tcBorders>
              <w:top w:val="nil"/>
              <w:left w:val="nil"/>
              <w:bottom w:val="nil"/>
              <w:right w:val="nil"/>
            </w:tcBorders>
            <w:shd w:val="clear" w:color="auto" w:fill="auto"/>
            <w:noWrap/>
            <w:vAlign w:val="bottom"/>
            <w:hideMark/>
          </w:tcPr>
          <w:p w14:paraId="29132642" w14:textId="77777777" w:rsidR="000C10F9" w:rsidRPr="00020C88" w:rsidRDefault="000C10F9" w:rsidP="000C10F9">
            <w:pPr>
              <w:spacing w:after="0" w:line="240" w:lineRule="auto"/>
              <w:rPr>
                <w:rFonts w:ascii="Times New Roman" w:hAnsi="Times New Roman"/>
                <w:b/>
                <w:bCs/>
                <w:color w:val="000000"/>
                <w:lang w:eastAsia="sk-SK"/>
              </w:rPr>
            </w:pPr>
          </w:p>
        </w:tc>
      </w:tr>
      <w:tr w:rsidR="000C10F9" w:rsidRPr="00020C88" w14:paraId="30953B92" w14:textId="77777777" w:rsidTr="000C10F9">
        <w:trPr>
          <w:trHeight w:val="253"/>
        </w:trPr>
        <w:tc>
          <w:tcPr>
            <w:tcW w:w="146" w:type="dxa"/>
            <w:tcBorders>
              <w:top w:val="nil"/>
              <w:left w:val="nil"/>
              <w:bottom w:val="nil"/>
              <w:right w:val="nil"/>
            </w:tcBorders>
            <w:shd w:val="clear" w:color="auto" w:fill="auto"/>
            <w:noWrap/>
            <w:vAlign w:val="bottom"/>
            <w:hideMark/>
          </w:tcPr>
          <w:p w14:paraId="0D96D97E"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single" w:sz="4" w:space="0" w:color="auto"/>
              <w:bottom w:val="single" w:sz="4" w:space="0" w:color="auto"/>
              <w:right w:val="single" w:sz="4" w:space="0" w:color="auto"/>
            </w:tcBorders>
            <w:shd w:val="clear" w:color="auto" w:fill="auto"/>
            <w:noWrap/>
            <w:vAlign w:val="bottom"/>
            <w:hideMark/>
          </w:tcPr>
          <w:p w14:paraId="6F226A52" w14:textId="77777777" w:rsidR="000C10F9" w:rsidRPr="00020C88" w:rsidRDefault="000C10F9" w:rsidP="000C10F9">
            <w:pPr>
              <w:spacing w:after="0" w:line="240" w:lineRule="auto"/>
              <w:rPr>
                <w:rFonts w:ascii="Times New Roman" w:hAnsi="Times New Roman"/>
                <w:color w:val="000000"/>
                <w:lang w:eastAsia="sk-SK"/>
              </w:rPr>
            </w:pPr>
            <w:r w:rsidRPr="00020C88">
              <w:rPr>
                <w:rFonts w:ascii="Times New Roman" w:hAnsi="Times New Roman"/>
                <w:color w:val="000000"/>
                <w:lang w:eastAsia="sk-SK"/>
              </w:rPr>
              <w:t xml:space="preserve">Nárast úhrad ZP paliatívnej medicíny pri zmene legislatívy voči báze bez zmeny legislatívy </w:t>
            </w:r>
          </w:p>
        </w:tc>
        <w:tc>
          <w:tcPr>
            <w:tcW w:w="1559" w:type="dxa"/>
            <w:tcBorders>
              <w:top w:val="nil"/>
              <w:left w:val="nil"/>
              <w:bottom w:val="single" w:sz="4" w:space="0" w:color="auto"/>
              <w:right w:val="single" w:sz="4" w:space="0" w:color="auto"/>
            </w:tcBorders>
            <w:shd w:val="clear" w:color="auto" w:fill="auto"/>
            <w:noWrap/>
            <w:vAlign w:val="bottom"/>
            <w:hideMark/>
          </w:tcPr>
          <w:p w14:paraId="1655CACC"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14:paraId="7451A316"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AEA7EEC"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   € </w:t>
            </w:r>
          </w:p>
        </w:tc>
        <w:tc>
          <w:tcPr>
            <w:tcW w:w="1560" w:type="dxa"/>
            <w:tcBorders>
              <w:top w:val="nil"/>
              <w:left w:val="nil"/>
              <w:bottom w:val="single" w:sz="4" w:space="0" w:color="auto"/>
              <w:right w:val="single" w:sz="4" w:space="0" w:color="auto"/>
            </w:tcBorders>
            <w:shd w:val="clear" w:color="auto" w:fill="auto"/>
            <w:noWrap/>
            <w:vAlign w:val="bottom"/>
            <w:hideMark/>
          </w:tcPr>
          <w:p w14:paraId="11140E5C"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311 539 € </w:t>
            </w:r>
          </w:p>
        </w:tc>
        <w:tc>
          <w:tcPr>
            <w:tcW w:w="1559" w:type="dxa"/>
            <w:tcBorders>
              <w:top w:val="nil"/>
              <w:left w:val="nil"/>
              <w:bottom w:val="single" w:sz="4" w:space="0" w:color="auto"/>
              <w:right w:val="single" w:sz="4" w:space="0" w:color="auto"/>
            </w:tcBorders>
            <w:shd w:val="clear" w:color="auto" w:fill="auto"/>
            <w:noWrap/>
            <w:vAlign w:val="bottom"/>
            <w:hideMark/>
          </w:tcPr>
          <w:p w14:paraId="4977A52E"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301 298 € </w:t>
            </w:r>
          </w:p>
        </w:tc>
        <w:tc>
          <w:tcPr>
            <w:tcW w:w="1717" w:type="dxa"/>
            <w:tcBorders>
              <w:top w:val="nil"/>
              <w:left w:val="nil"/>
              <w:bottom w:val="single" w:sz="4" w:space="0" w:color="auto"/>
              <w:right w:val="single" w:sz="4" w:space="0" w:color="auto"/>
            </w:tcBorders>
            <w:shd w:val="clear" w:color="auto" w:fill="auto"/>
            <w:noWrap/>
            <w:vAlign w:val="bottom"/>
            <w:hideMark/>
          </w:tcPr>
          <w:p w14:paraId="0E08B3AD"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237 122 € </w:t>
            </w:r>
          </w:p>
        </w:tc>
        <w:tc>
          <w:tcPr>
            <w:tcW w:w="960" w:type="dxa"/>
            <w:tcBorders>
              <w:top w:val="nil"/>
              <w:left w:val="nil"/>
              <w:bottom w:val="nil"/>
              <w:right w:val="nil"/>
            </w:tcBorders>
            <w:shd w:val="clear" w:color="auto" w:fill="auto"/>
            <w:noWrap/>
            <w:vAlign w:val="bottom"/>
            <w:hideMark/>
          </w:tcPr>
          <w:p w14:paraId="7EE19EC7" w14:textId="77777777" w:rsidR="000C10F9" w:rsidRPr="00020C88" w:rsidRDefault="000C10F9" w:rsidP="000C10F9">
            <w:pPr>
              <w:spacing w:after="0" w:line="240" w:lineRule="auto"/>
              <w:rPr>
                <w:rFonts w:ascii="Times New Roman" w:hAnsi="Times New Roman"/>
                <w:b/>
                <w:bCs/>
                <w:color w:val="000000"/>
                <w:lang w:eastAsia="sk-SK"/>
              </w:rPr>
            </w:pPr>
          </w:p>
        </w:tc>
      </w:tr>
      <w:tr w:rsidR="000C10F9" w:rsidRPr="00020C88" w14:paraId="052E1C57" w14:textId="77777777" w:rsidTr="000C10F9">
        <w:trPr>
          <w:trHeight w:val="253"/>
        </w:trPr>
        <w:tc>
          <w:tcPr>
            <w:tcW w:w="146" w:type="dxa"/>
            <w:tcBorders>
              <w:top w:val="nil"/>
              <w:left w:val="nil"/>
              <w:bottom w:val="nil"/>
              <w:right w:val="nil"/>
            </w:tcBorders>
            <w:shd w:val="clear" w:color="auto" w:fill="auto"/>
            <w:noWrap/>
            <w:vAlign w:val="bottom"/>
            <w:hideMark/>
          </w:tcPr>
          <w:p w14:paraId="681B0C81"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single" w:sz="4" w:space="0" w:color="auto"/>
              <w:bottom w:val="single" w:sz="4" w:space="0" w:color="auto"/>
              <w:right w:val="single" w:sz="4" w:space="0" w:color="auto"/>
            </w:tcBorders>
            <w:shd w:val="clear" w:color="auto" w:fill="auto"/>
            <w:vAlign w:val="bottom"/>
            <w:hideMark/>
          </w:tcPr>
          <w:p w14:paraId="70BBA11A"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Nárast úhrad ZP pri zmene legislatívy voči báze bez zmeny legislatívy spolu</w:t>
            </w:r>
          </w:p>
        </w:tc>
        <w:tc>
          <w:tcPr>
            <w:tcW w:w="1559" w:type="dxa"/>
            <w:tcBorders>
              <w:top w:val="nil"/>
              <w:left w:val="nil"/>
              <w:bottom w:val="single" w:sz="4" w:space="0" w:color="auto"/>
              <w:right w:val="single" w:sz="4" w:space="0" w:color="auto"/>
            </w:tcBorders>
            <w:shd w:val="clear" w:color="auto" w:fill="auto"/>
            <w:noWrap/>
            <w:vAlign w:val="bottom"/>
            <w:hideMark/>
          </w:tcPr>
          <w:p w14:paraId="69206664"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050596"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B41D9D"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5AE0ECDF"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3 611 730 € </w:t>
            </w:r>
          </w:p>
        </w:tc>
        <w:tc>
          <w:tcPr>
            <w:tcW w:w="1559" w:type="dxa"/>
            <w:tcBorders>
              <w:top w:val="nil"/>
              <w:left w:val="nil"/>
              <w:bottom w:val="single" w:sz="4" w:space="0" w:color="auto"/>
              <w:right w:val="single" w:sz="4" w:space="0" w:color="auto"/>
            </w:tcBorders>
            <w:shd w:val="clear" w:color="auto" w:fill="auto"/>
            <w:noWrap/>
            <w:vAlign w:val="bottom"/>
            <w:hideMark/>
          </w:tcPr>
          <w:p w14:paraId="01EC02E1"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4 125 913 € </w:t>
            </w:r>
          </w:p>
        </w:tc>
        <w:tc>
          <w:tcPr>
            <w:tcW w:w="1717" w:type="dxa"/>
            <w:tcBorders>
              <w:top w:val="nil"/>
              <w:left w:val="nil"/>
              <w:bottom w:val="single" w:sz="4" w:space="0" w:color="auto"/>
              <w:right w:val="single" w:sz="4" w:space="0" w:color="auto"/>
            </w:tcBorders>
            <w:shd w:val="clear" w:color="auto" w:fill="auto"/>
            <w:noWrap/>
            <w:vAlign w:val="bottom"/>
            <w:hideMark/>
          </w:tcPr>
          <w:p w14:paraId="56371960" w14:textId="77777777" w:rsidR="000C10F9" w:rsidRPr="00020C88" w:rsidRDefault="000C10F9" w:rsidP="000C10F9">
            <w:pPr>
              <w:spacing w:after="0" w:line="240" w:lineRule="auto"/>
              <w:rPr>
                <w:rFonts w:ascii="Times New Roman" w:hAnsi="Times New Roman"/>
                <w:b/>
                <w:bCs/>
                <w:color w:val="000000"/>
                <w:lang w:eastAsia="sk-SK"/>
              </w:rPr>
            </w:pPr>
            <w:r w:rsidRPr="00020C88">
              <w:rPr>
                <w:rFonts w:ascii="Times New Roman" w:hAnsi="Times New Roman"/>
                <w:b/>
                <w:bCs/>
                <w:color w:val="000000"/>
                <w:lang w:eastAsia="sk-SK"/>
              </w:rPr>
              <w:t xml:space="preserve">     4 487 010 € </w:t>
            </w:r>
          </w:p>
        </w:tc>
        <w:tc>
          <w:tcPr>
            <w:tcW w:w="960" w:type="dxa"/>
            <w:tcBorders>
              <w:top w:val="nil"/>
              <w:left w:val="nil"/>
              <w:bottom w:val="nil"/>
              <w:right w:val="nil"/>
            </w:tcBorders>
            <w:shd w:val="clear" w:color="auto" w:fill="auto"/>
            <w:noWrap/>
            <w:vAlign w:val="bottom"/>
            <w:hideMark/>
          </w:tcPr>
          <w:p w14:paraId="1AD55517" w14:textId="77777777" w:rsidR="000C10F9" w:rsidRPr="00020C88" w:rsidRDefault="000C10F9" w:rsidP="000C10F9">
            <w:pPr>
              <w:spacing w:after="0" w:line="240" w:lineRule="auto"/>
              <w:rPr>
                <w:rFonts w:ascii="Times New Roman" w:hAnsi="Times New Roman"/>
                <w:b/>
                <w:bCs/>
                <w:color w:val="000000"/>
                <w:lang w:eastAsia="sk-SK"/>
              </w:rPr>
            </w:pPr>
          </w:p>
        </w:tc>
      </w:tr>
      <w:tr w:rsidR="000C10F9" w:rsidRPr="00020C88" w14:paraId="71090FF6" w14:textId="77777777" w:rsidTr="000C10F9">
        <w:trPr>
          <w:trHeight w:val="253"/>
        </w:trPr>
        <w:tc>
          <w:tcPr>
            <w:tcW w:w="146" w:type="dxa"/>
            <w:tcBorders>
              <w:top w:val="nil"/>
              <w:left w:val="nil"/>
              <w:bottom w:val="nil"/>
              <w:right w:val="nil"/>
            </w:tcBorders>
            <w:shd w:val="clear" w:color="auto" w:fill="auto"/>
            <w:noWrap/>
            <w:vAlign w:val="bottom"/>
            <w:hideMark/>
          </w:tcPr>
          <w:p w14:paraId="5501E5EF" w14:textId="77777777" w:rsidR="000C10F9" w:rsidRPr="00020C88" w:rsidRDefault="000C10F9" w:rsidP="000C10F9">
            <w:pPr>
              <w:spacing w:after="0" w:line="240" w:lineRule="auto"/>
              <w:rPr>
                <w:rFonts w:ascii="Times New Roman" w:hAnsi="Times New Roman"/>
                <w:sz w:val="20"/>
                <w:szCs w:val="20"/>
                <w:lang w:eastAsia="sk-SK"/>
              </w:rPr>
            </w:pPr>
          </w:p>
        </w:tc>
        <w:tc>
          <w:tcPr>
            <w:tcW w:w="4674" w:type="dxa"/>
            <w:tcBorders>
              <w:top w:val="nil"/>
              <w:left w:val="nil"/>
              <w:bottom w:val="nil"/>
              <w:right w:val="nil"/>
            </w:tcBorders>
            <w:shd w:val="clear" w:color="auto" w:fill="auto"/>
            <w:vAlign w:val="bottom"/>
            <w:hideMark/>
          </w:tcPr>
          <w:p w14:paraId="44DEE1BC" w14:textId="77777777" w:rsidR="000C10F9" w:rsidRPr="00020C88" w:rsidRDefault="000C10F9" w:rsidP="000C10F9">
            <w:pPr>
              <w:spacing w:after="0" w:line="240" w:lineRule="auto"/>
              <w:rPr>
                <w:rFonts w:ascii="Times New Roman" w:hAnsi="Times New Roman"/>
                <w:sz w:val="20"/>
                <w:szCs w:val="20"/>
                <w:lang w:eastAsia="sk-SK"/>
              </w:rPr>
            </w:pPr>
          </w:p>
        </w:tc>
        <w:tc>
          <w:tcPr>
            <w:tcW w:w="1559" w:type="dxa"/>
            <w:tcBorders>
              <w:top w:val="nil"/>
              <w:left w:val="nil"/>
              <w:bottom w:val="nil"/>
              <w:right w:val="nil"/>
            </w:tcBorders>
            <w:shd w:val="clear" w:color="auto" w:fill="auto"/>
            <w:noWrap/>
            <w:vAlign w:val="bottom"/>
            <w:hideMark/>
          </w:tcPr>
          <w:p w14:paraId="3586AFF5" w14:textId="77777777" w:rsidR="000C10F9" w:rsidRPr="00020C88" w:rsidRDefault="000C10F9" w:rsidP="000C10F9">
            <w:pPr>
              <w:spacing w:after="0" w:line="240" w:lineRule="auto"/>
              <w:rPr>
                <w:rFonts w:ascii="Times New Roman" w:hAnsi="Times New Roman"/>
                <w:sz w:val="20"/>
                <w:szCs w:val="20"/>
                <w:lang w:eastAsia="sk-SK"/>
              </w:rPr>
            </w:pPr>
          </w:p>
        </w:tc>
        <w:tc>
          <w:tcPr>
            <w:tcW w:w="1559" w:type="dxa"/>
            <w:tcBorders>
              <w:top w:val="nil"/>
              <w:left w:val="nil"/>
              <w:bottom w:val="nil"/>
              <w:right w:val="nil"/>
            </w:tcBorders>
            <w:shd w:val="clear" w:color="auto" w:fill="auto"/>
            <w:noWrap/>
            <w:vAlign w:val="bottom"/>
            <w:hideMark/>
          </w:tcPr>
          <w:p w14:paraId="0B19087F" w14:textId="77777777" w:rsidR="000C10F9" w:rsidRPr="00020C88" w:rsidRDefault="000C10F9" w:rsidP="000C10F9">
            <w:pPr>
              <w:spacing w:after="0" w:line="240" w:lineRule="auto"/>
              <w:rPr>
                <w:rFonts w:ascii="Times New Roman" w:hAnsi="Times New Roman"/>
                <w:sz w:val="20"/>
                <w:szCs w:val="20"/>
                <w:lang w:eastAsia="sk-SK"/>
              </w:rPr>
            </w:pPr>
          </w:p>
        </w:tc>
        <w:tc>
          <w:tcPr>
            <w:tcW w:w="1701" w:type="dxa"/>
            <w:tcBorders>
              <w:top w:val="nil"/>
              <w:left w:val="nil"/>
              <w:bottom w:val="nil"/>
              <w:right w:val="nil"/>
            </w:tcBorders>
            <w:shd w:val="clear" w:color="auto" w:fill="auto"/>
            <w:noWrap/>
            <w:vAlign w:val="bottom"/>
            <w:hideMark/>
          </w:tcPr>
          <w:p w14:paraId="5A67B658" w14:textId="77777777" w:rsidR="000C10F9" w:rsidRPr="00020C88" w:rsidRDefault="000C10F9" w:rsidP="000C10F9">
            <w:pPr>
              <w:spacing w:after="0" w:line="240" w:lineRule="auto"/>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14:paraId="57CB2F60" w14:textId="77777777" w:rsidR="000C10F9" w:rsidRPr="00020C88" w:rsidRDefault="000C10F9" w:rsidP="000C10F9">
            <w:pPr>
              <w:spacing w:after="0" w:line="240" w:lineRule="auto"/>
              <w:rPr>
                <w:rFonts w:ascii="Times New Roman" w:hAnsi="Times New Roman"/>
                <w:sz w:val="20"/>
                <w:szCs w:val="20"/>
                <w:lang w:eastAsia="sk-SK"/>
              </w:rPr>
            </w:pPr>
          </w:p>
        </w:tc>
        <w:tc>
          <w:tcPr>
            <w:tcW w:w="1559" w:type="dxa"/>
            <w:tcBorders>
              <w:top w:val="nil"/>
              <w:left w:val="nil"/>
              <w:bottom w:val="nil"/>
              <w:right w:val="nil"/>
            </w:tcBorders>
            <w:shd w:val="clear" w:color="auto" w:fill="auto"/>
            <w:noWrap/>
            <w:vAlign w:val="bottom"/>
            <w:hideMark/>
          </w:tcPr>
          <w:p w14:paraId="28E554D0" w14:textId="77777777" w:rsidR="000C10F9" w:rsidRPr="00020C88" w:rsidRDefault="000C10F9" w:rsidP="000C10F9">
            <w:pPr>
              <w:spacing w:after="0" w:line="240" w:lineRule="auto"/>
              <w:rPr>
                <w:rFonts w:ascii="Times New Roman" w:hAnsi="Times New Roman"/>
                <w:sz w:val="20"/>
                <w:szCs w:val="20"/>
                <w:lang w:eastAsia="sk-SK"/>
              </w:rPr>
            </w:pPr>
          </w:p>
        </w:tc>
        <w:tc>
          <w:tcPr>
            <w:tcW w:w="1717" w:type="dxa"/>
            <w:tcBorders>
              <w:top w:val="nil"/>
              <w:left w:val="nil"/>
              <w:bottom w:val="nil"/>
              <w:right w:val="nil"/>
            </w:tcBorders>
            <w:shd w:val="clear" w:color="auto" w:fill="auto"/>
            <w:noWrap/>
            <w:vAlign w:val="bottom"/>
            <w:hideMark/>
          </w:tcPr>
          <w:p w14:paraId="00F3685D" w14:textId="77777777" w:rsidR="000C10F9" w:rsidRPr="00020C88" w:rsidRDefault="000C10F9" w:rsidP="000C10F9">
            <w:pPr>
              <w:spacing w:after="0" w:line="240" w:lineRule="auto"/>
              <w:rPr>
                <w:rFonts w:ascii="Times New Roman" w:hAnsi="Times New Roman"/>
                <w:sz w:val="20"/>
                <w:szCs w:val="20"/>
                <w:lang w:eastAsia="sk-SK"/>
              </w:rPr>
            </w:pPr>
          </w:p>
        </w:tc>
        <w:tc>
          <w:tcPr>
            <w:tcW w:w="960" w:type="dxa"/>
            <w:tcBorders>
              <w:top w:val="nil"/>
              <w:left w:val="nil"/>
              <w:bottom w:val="nil"/>
              <w:right w:val="nil"/>
            </w:tcBorders>
            <w:shd w:val="clear" w:color="auto" w:fill="auto"/>
            <w:noWrap/>
            <w:vAlign w:val="bottom"/>
            <w:hideMark/>
          </w:tcPr>
          <w:p w14:paraId="14F75F20" w14:textId="77777777" w:rsidR="000C10F9" w:rsidRPr="00020C88" w:rsidRDefault="000C10F9" w:rsidP="000C10F9">
            <w:pPr>
              <w:spacing w:after="0" w:line="240" w:lineRule="auto"/>
              <w:rPr>
                <w:rFonts w:ascii="Times New Roman" w:hAnsi="Times New Roman"/>
                <w:sz w:val="20"/>
                <w:szCs w:val="20"/>
                <w:lang w:eastAsia="sk-SK"/>
              </w:rPr>
            </w:pPr>
          </w:p>
        </w:tc>
      </w:tr>
    </w:tbl>
    <w:p w14:paraId="1BFDF1DD" w14:textId="77777777" w:rsidR="000C10F9" w:rsidRPr="00020C88" w:rsidRDefault="000C10F9" w:rsidP="00CB750F">
      <w:pPr>
        <w:spacing w:after="0" w:line="240" w:lineRule="auto"/>
        <w:jc w:val="both"/>
        <w:rPr>
          <w:rFonts w:ascii="Times New Roman" w:hAnsi="Times New Roman"/>
          <w:b/>
          <w:szCs w:val="18"/>
        </w:rPr>
      </w:pPr>
    </w:p>
    <w:p w14:paraId="69E915E9" w14:textId="77777777" w:rsidR="000C10F9" w:rsidRPr="00020C88" w:rsidRDefault="000C10F9" w:rsidP="00CB750F">
      <w:pPr>
        <w:spacing w:after="0" w:line="240" w:lineRule="auto"/>
        <w:jc w:val="both"/>
        <w:rPr>
          <w:rFonts w:ascii="Times New Roman" w:hAnsi="Times New Roman"/>
          <w:b/>
          <w:szCs w:val="18"/>
        </w:rPr>
      </w:pPr>
    </w:p>
    <w:p w14:paraId="538F806D" w14:textId="4944A7E0" w:rsidR="00BB7F52" w:rsidRPr="00020C88" w:rsidRDefault="00BB7F52" w:rsidP="00CB750F">
      <w:pPr>
        <w:spacing w:after="0" w:line="240" w:lineRule="auto"/>
        <w:jc w:val="both"/>
        <w:rPr>
          <w:rFonts w:ascii="Times New Roman" w:hAnsi="Times New Roman"/>
          <w:b/>
          <w:szCs w:val="18"/>
        </w:rPr>
      </w:pPr>
      <w:r w:rsidRPr="00020C88">
        <w:rPr>
          <w:rFonts w:ascii="Times New Roman" w:hAnsi="Times New Roman"/>
          <w:b/>
          <w:szCs w:val="18"/>
        </w:rPr>
        <w:t>Celkové dopady na verejné zdravotné poistenie:</w:t>
      </w:r>
    </w:p>
    <w:tbl>
      <w:tblPr>
        <w:tblW w:w="14601" w:type="dxa"/>
        <w:tblInd w:w="-5" w:type="dxa"/>
        <w:tblCellMar>
          <w:left w:w="70" w:type="dxa"/>
          <w:right w:w="70" w:type="dxa"/>
        </w:tblCellMar>
        <w:tblLook w:val="04A0" w:firstRow="1" w:lastRow="0" w:firstColumn="1" w:lastColumn="0" w:noHBand="0" w:noVBand="1"/>
      </w:tblPr>
      <w:tblGrid>
        <w:gridCol w:w="5954"/>
        <w:gridCol w:w="1417"/>
        <w:gridCol w:w="1276"/>
        <w:gridCol w:w="1276"/>
        <w:gridCol w:w="1559"/>
        <w:gridCol w:w="1437"/>
        <w:gridCol w:w="1682"/>
      </w:tblGrid>
      <w:tr w:rsidR="0074768C" w:rsidRPr="00020C88" w14:paraId="04D0A2BD" w14:textId="77777777" w:rsidTr="0074768C">
        <w:trPr>
          <w:trHeight w:val="278"/>
        </w:trPr>
        <w:tc>
          <w:tcPr>
            <w:tcW w:w="595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F9E079B"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Celkové náklady pre zdroje VZP od 2020</w:t>
            </w:r>
          </w:p>
        </w:tc>
        <w:tc>
          <w:tcPr>
            <w:tcW w:w="1417" w:type="dxa"/>
            <w:tcBorders>
              <w:top w:val="single" w:sz="4" w:space="0" w:color="auto"/>
              <w:left w:val="nil"/>
              <w:bottom w:val="single" w:sz="4" w:space="0" w:color="auto"/>
              <w:right w:val="single" w:sz="4" w:space="0" w:color="auto"/>
            </w:tcBorders>
            <w:shd w:val="clear" w:color="000000" w:fill="DBDBDB"/>
            <w:noWrap/>
            <w:vAlign w:val="bottom"/>
            <w:hideMark/>
          </w:tcPr>
          <w:p w14:paraId="4C96B673"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2017</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4CE23E41"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2018*</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1E7B33B5"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2019*</w:t>
            </w:r>
          </w:p>
        </w:tc>
        <w:tc>
          <w:tcPr>
            <w:tcW w:w="1559" w:type="dxa"/>
            <w:tcBorders>
              <w:top w:val="single" w:sz="4" w:space="0" w:color="auto"/>
              <w:left w:val="nil"/>
              <w:bottom w:val="single" w:sz="4" w:space="0" w:color="auto"/>
              <w:right w:val="single" w:sz="4" w:space="0" w:color="auto"/>
            </w:tcBorders>
            <w:shd w:val="clear" w:color="000000" w:fill="DBDBDB"/>
            <w:noWrap/>
            <w:vAlign w:val="bottom"/>
            <w:hideMark/>
          </w:tcPr>
          <w:p w14:paraId="777B7666"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2020</w:t>
            </w:r>
          </w:p>
        </w:tc>
        <w:tc>
          <w:tcPr>
            <w:tcW w:w="1437" w:type="dxa"/>
            <w:tcBorders>
              <w:top w:val="single" w:sz="4" w:space="0" w:color="auto"/>
              <w:left w:val="nil"/>
              <w:bottom w:val="single" w:sz="4" w:space="0" w:color="auto"/>
              <w:right w:val="single" w:sz="4" w:space="0" w:color="auto"/>
            </w:tcBorders>
            <w:shd w:val="clear" w:color="000000" w:fill="DBDBDB"/>
            <w:noWrap/>
            <w:vAlign w:val="bottom"/>
            <w:hideMark/>
          </w:tcPr>
          <w:p w14:paraId="567A2A7A"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2021</w:t>
            </w:r>
          </w:p>
        </w:tc>
        <w:tc>
          <w:tcPr>
            <w:tcW w:w="1682" w:type="dxa"/>
            <w:tcBorders>
              <w:top w:val="single" w:sz="4" w:space="0" w:color="auto"/>
              <w:left w:val="nil"/>
              <w:bottom w:val="single" w:sz="4" w:space="0" w:color="auto"/>
              <w:right w:val="single" w:sz="4" w:space="0" w:color="auto"/>
            </w:tcBorders>
            <w:shd w:val="clear" w:color="000000" w:fill="DBDBDB"/>
            <w:noWrap/>
            <w:vAlign w:val="bottom"/>
            <w:hideMark/>
          </w:tcPr>
          <w:p w14:paraId="27BC7B3D"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2022</w:t>
            </w:r>
          </w:p>
        </w:tc>
      </w:tr>
      <w:tr w:rsidR="0074768C" w:rsidRPr="00020C88" w14:paraId="22889720" w14:textId="77777777" w:rsidTr="0074768C">
        <w:trPr>
          <w:trHeight w:val="27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2FFDC63"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ošetrovateľská starostlivosť</w:t>
            </w:r>
          </w:p>
        </w:tc>
        <w:tc>
          <w:tcPr>
            <w:tcW w:w="1417" w:type="dxa"/>
            <w:tcBorders>
              <w:top w:val="nil"/>
              <w:left w:val="nil"/>
              <w:bottom w:val="single" w:sz="4" w:space="0" w:color="auto"/>
              <w:right w:val="single" w:sz="4" w:space="0" w:color="auto"/>
            </w:tcBorders>
            <w:shd w:val="clear" w:color="auto" w:fill="auto"/>
            <w:noWrap/>
            <w:vAlign w:val="bottom"/>
            <w:hideMark/>
          </w:tcPr>
          <w:p w14:paraId="3CB6B6DA"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3 348 045 € </w:t>
            </w:r>
          </w:p>
        </w:tc>
        <w:tc>
          <w:tcPr>
            <w:tcW w:w="1276" w:type="dxa"/>
            <w:tcBorders>
              <w:top w:val="nil"/>
              <w:left w:val="nil"/>
              <w:bottom w:val="single" w:sz="4" w:space="0" w:color="auto"/>
              <w:right w:val="single" w:sz="4" w:space="0" w:color="auto"/>
            </w:tcBorders>
            <w:shd w:val="clear" w:color="auto" w:fill="auto"/>
            <w:noWrap/>
            <w:vAlign w:val="bottom"/>
            <w:hideMark/>
          </w:tcPr>
          <w:p w14:paraId="4891B0D2"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3 615 889 € </w:t>
            </w:r>
          </w:p>
        </w:tc>
        <w:tc>
          <w:tcPr>
            <w:tcW w:w="1276" w:type="dxa"/>
            <w:tcBorders>
              <w:top w:val="nil"/>
              <w:left w:val="nil"/>
              <w:bottom w:val="single" w:sz="4" w:space="0" w:color="auto"/>
              <w:right w:val="single" w:sz="4" w:space="0" w:color="auto"/>
            </w:tcBorders>
            <w:shd w:val="clear" w:color="auto" w:fill="auto"/>
            <w:noWrap/>
            <w:vAlign w:val="bottom"/>
            <w:hideMark/>
          </w:tcPr>
          <w:p w14:paraId="18394A26"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3 905 160 € </w:t>
            </w:r>
          </w:p>
        </w:tc>
        <w:tc>
          <w:tcPr>
            <w:tcW w:w="1559" w:type="dxa"/>
            <w:tcBorders>
              <w:top w:val="nil"/>
              <w:left w:val="nil"/>
              <w:bottom w:val="single" w:sz="4" w:space="0" w:color="auto"/>
              <w:right w:val="single" w:sz="4" w:space="0" w:color="auto"/>
            </w:tcBorders>
            <w:shd w:val="clear" w:color="auto" w:fill="auto"/>
            <w:noWrap/>
            <w:vAlign w:val="bottom"/>
            <w:hideMark/>
          </w:tcPr>
          <w:p w14:paraId="68DE4FD2"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6 985 225 € </w:t>
            </w:r>
          </w:p>
        </w:tc>
        <w:tc>
          <w:tcPr>
            <w:tcW w:w="1437" w:type="dxa"/>
            <w:tcBorders>
              <w:top w:val="nil"/>
              <w:left w:val="nil"/>
              <w:bottom w:val="single" w:sz="4" w:space="0" w:color="auto"/>
              <w:right w:val="single" w:sz="4" w:space="0" w:color="auto"/>
            </w:tcBorders>
            <w:shd w:val="clear" w:color="auto" w:fill="auto"/>
            <w:noWrap/>
            <w:vAlign w:val="bottom"/>
            <w:hideMark/>
          </w:tcPr>
          <w:p w14:paraId="33A91816"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7 965 356 € </w:t>
            </w:r>
          </w:p>
        </w:tc>
        <w:tc>
          <w:tcPr>
            <w:tcW w:w="1682" w:type="dxa"/>
            <w:tcBorders>
              <w:top w:val="nil"/>
              <w:left w:val="nil"/>
              <w:bottom w:val="single" w:sz="4" w:space="0" w:color="auto"/>
              <w:right w:val="single" w:sz="4" w:space="0" w:color="auto"/>
            </w:tcBorders>
            <w:shd w:val="clear" w:color="auto" w:fill="auto"/>
            <w:noWrap/>
            <w:vAlign w:val="bottom"/>
            <w:hideMark/>
          </w:tcPr>
          <w:p w14:paraId="790DD3F0"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9 026 037 € </w:t>
            </w:r>
          </w:p>
        </w:tc>
      </w:tr>
      <w:tr w:rsidR="0074768C" w:rsidRPr="00020C88" w14:paraId="04178EAA" w14:textId="77777777" w:rsidTr="0074768C">
        <w:trPr>
          <w:trHeight w:val="27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6D1A60B1"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ústavná hospicová starostlivosť</w:t>
            </w:r>
          </w:p>
        </w:tc>
        <w:tc>
          <w:tcPr>
            <w:tcW w:w="1417" w:type="dxa"/>
            <w:tcBorders>
              <w:top w:val="nil"/>
              <w:left w:val="nil"/>
              <w:bottom w:val="single" w:sz="4" w:space="0" w:color="auto"/>
              <w:right w:val="single" w:sz="4" w:space="0" w:color="auto"/>
            </w:tcBorders>
            <w:shd w:val="clear" w:color="auto" w:fill="auto"/>
            <w:noWrap/>
            <w:vAlign w:val="bottom"/>
            <w:hideMark/>
          </w:tcPr>
          <w:p w14:paraId="27FC5DBD"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2 790 400 € </w:t>
            </w:r>
          </w:p>
        </w:tc>
        <w:tc>
          <w:tcPr>
            <w:tcW w:w="1276" w:type="dxa"/>
            <w:tcBorders>
              <w:top w:val="nil"/>
              <w:left w:val="nil"/>
              <w:bottom w:val="single" w:sz="4" w:space="0" w:color="auto"/>
              <w:right w:val="single" w:sz="4" w:space="0" w:color="auto"/>
            </w:tcBorders>
            <w:shd w:val="clear" w:color="auto" w:fill="auto"/>
            <w:noWrap/>
            <w:vAlign w:val="bottom"/>
            <w:hideMark/>
          </w:tcPr>
          <w:p w14:paraId="17A4E3D2"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2 947 542 € </w:t>
            </w:r>
          </w:p>
        </w:tc>
        <w:tc>
          <w:tcPr>
            <w:tcW w:w="1276" w:type="dxa"/>
            <w:tcBorders>
              <w:top w:val="nil"/>
              <w:left w:val="nil"/>
              <w:bottom w:val="single" w:sz="4" w:space="0" w:color="auto"/>
              <w:right w:val="single" w:sz="4" w:space="0" w:color="auto"/>
            </w:tcBorders>
            <w:shd w:val="clear" w:color="auto" w:fill="auto"/>
            <w:noWrap/>
            <w:vAlign w:val="bottom"/>
            <w:hideMark/>
          </w:tcPr>
          <w:p w14:paraId="2BC49FB2"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3 058 770 € </w:t>
            </w:r>
          </w:p>
        </w:tc>
        <w:tc>
          <w:tcPr>
            <w:tcW w:w="1559" w:type="dxa"/>
            <w:tcBorders>
              <w:top w:val="nil"/>
              <w:left w:val="nil"/>
              <w:bottom w:val="single" w:sz="4" w:space="0" w:color="auto"/>
              <w:right w:val="single" w:sz="4" w:space="0" w:color="auto"/>
            </w:tcBorders>
            <w:shd w:val="clear" w:color="auto" w:fill="auto"/>
            <w:noWrap/>
            <w:vAlign w:val="bottom"/>
            <w:hideMark/>
          </w:tcPr>
          <w:p w14:paraId="312F302E"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7 991 458 € </w:t>
            </w:r>
          </w:p>
        </w:tc>
        <w:tc>
          <w:tcPr>
            <w:tcW w:w="1437" w:type="dxa"/>
            <w:tcBorders>
              <w:top w:val="nil"/>
              <w:left w:val="nil"/>
              <w:bottom w:val="single" w:sz="4" w:space="0" w:color="auto"/>
              <w:right w:val="single" w:sz="4" w:space="0" w:color="auto"/>
            </w:tcBorders>
            <w:shd w:val="clear" w:color="auto" w:fill="auto"/>
            <w:noWrap/>
            <w:vAlign w:val="bottom"/>
            <w:hideMark/>
          </w:tcPr>
          <w:p w14:paraId="7A58173E"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10 683 787 € </w:t>
            </w:r>
          </w:p>
        </w:tc>
        <w:tc>
          <w:tcPr>
            <w:tcW w:w="1682" w:type="dxa"/>
            <w:tcBorders>
              <w:top w:val="nil"/>
              <w:left w:val="nil"/>
              <w:bottom w:val="single" w:sz="4" w:space="0" w:color="auto"/>
              <w:right w:val="single" w:sz="4" w:space="0" w:color="auto"/>
            </w:tcBorders>
            <w:shd w:val="clear" w:color="auto" w:fill="auto"/>
            <w:noWrap/>
            <w:vAlign w:val="bottom"/>
            <w:hideMark/>
          </w:tcPr>
          <w:p w14:paraId="2080B11E"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13 625 371 € </w:t>
            </w:r>
          </w:p>
        </w:tc>
      </w:tr>
      <w:tr w:rsidR="0074768C" w:rsidRPr="00020C88" w14:paraId="26B1FE8F" w14:textId="77777777" w:rsidTr="0074768C">
        <w:trPr>
          <w:trHeight w:val="27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16C8BD2B"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paliatívna medicína</w:t>
            </w:r>
          </w:p>
        </w:tc>
        <w:tc>
          <w:tcPr>
            <w:tcW w:w="1417" w:type="dxa"/>
            <w:tcBorders>
              <w:top w:val="nil"/>
              <w:left w:val="nil"/>
              <w:bottom w:val="single" w:sz="4" w:space="0" w:color="auto"/>
              <w:right w:val="single" w:sz="4" w:space="0" w:color="auto"/>
            </w:tcBorders>
            <w:shd w:val="clear" w:color="auto" w:fill="auto"/>
            <w:noWrap/>
            <w:vAlign w:val="bottom"/>
            <w:hideMark/>
          </w:tcPr>
          <w:p w14:paraId="2E0DD0F2"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1 128 805 € </w:t>
            </w:r>
          </w:p>
        </w:tc>
        <w:tc>
          <w:tcPr>
            <w:tcW w:w="1276" w:type="dxa"/>
            <w:tcBorders>
              <w:top w:val="nil"/>
              <w:left w:val="nil"/>
              <w:bottom w:val="single" w:sz="4" w:space="0" w:color="auto"/>
              <w:right w:val="single" w:sz="4" w:space="0" w:color="auto"/>
            </w:tcBorders>
            <w:shd w:val="clear" w:color="auto" w:fill="auto"/>
            <w:noWrap/>
            <w:vAlign w:val="bottom"/>
            <w:hideMark/>
          </w:tcPr>
          <w:p w14:paraId="6315A1D6"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1 219 109 € </w:t>
            </w:r>
          </w:p>
        </w:tc>
        <w:tc>
          <w:tcPr>
            <w:tcW w:w="1276" w:type="dxa"/>
            <w:tcBorders>
              <w:top w:val="nil"/>
              <w:left w:val="nil"/>
              <w:bottom w:val="single" w:sz="4" w:space="0" w:color="auto"/>
              <w:right w:val="single" w:sz="4" w:space="0" w:color="auto"/>
            </w:tcBorders>
            <w:shd w:val="clear" w:color="auto" w:fill="auto"/>
            <w:noWrap/>
            <w:vAlign w:val="bottom"/>
            <w:hideMark/>
          </w:tcPr>
          <w:p w14:paraId="4FEE8B59"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1 316 638 € </w:t>
            </w:r>
          </w:p>
        </w:tc>
        <w:tc>
          <w:tcPr>
            <w:tcW w:w="1559" w:type="dxa"/>
            <w:tcBorders>
              <w:top w:val="nil"/>
              <w:left w:val="nil"/>
              <w:bottom w:val="single" w:sz="4" w:space="0" w:color="auto"/>
              <w:right w:val="single" w:sz="4" w:space="0" w:color="auto"/>
            </w:tcBorders>
            <w:shd w:val="clear" w:color="auto" w:fill="auto"/>
            <w:noWrap/>
            <w:vAlign w:val="bottom"/>
            <w:hideMark/>
          </w:tcPr>
          <w:p w14:paraId="0D64B1CC"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3 246 162 € </w:t>
            </w:r>
          </w:p>
        </w:tc>
        <w:tc>
          <w:tcPr>
            <w:tcW w:w="1437" w:type="dxa"/>
            <w:tcBorders>
              <w:top w:val="nil"/>
              <w:left w:val="nil"/>
              <w:bottom w:val="single" w:sz="4" w:space="0" w:color="auto"/>
              <w:right w:val="single" w:sz="4" w:space="0" w:color="auto"/>
            </w:tcBorders>
            <w:shd w:val="clear" w:color="auto" w:fill="auto"/>
            <w:noWrap/>
            <w:vAlign w:val="bottom"/>
            <w:hideMark/>
          </w:tcPr>
          <w:p w14:paraId="6B059821"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4 295 538 € </w:t>
            </w:r>
          </w:p>
        </w:tc>
        <w:tc>
          <w:tcPr>
            <w:tcW w:w="1682" w:type="dxa"/>
            <w:tcBorders>
              <w:top w:val="nil"/>
              <w:left w:val="nil"/>
              <w:bottom w:val="single" w:sz="4" w:space="0" w:color="auto"/>
              <w:right w:val="single" w:sz="4" w:space="0" w:color="auto"/>
            </w:tcBorders>
            <w:shd w:val="clear" w:color="auto" w:fill="auto"/>
            <w:noWrap/>
            <w:vAlign w:val="bottom"/>
            <w:hideMark/>
          </w:tcPr>
          <w:p w14:paraId="50AA0C98"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          5 441 736 € </w:t>
            </w:r>
          </w:p>
        </w:tc>
      </w:tr>
      <w:tr w:rsidR="0074768C" w:rsidRPr="00020C88" w14:paraId="23F886D1" w14:textId="77777777" w:rsidTr="0074768C">
        <w:trPr>
          <w:trHeight w:val="27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157F778A"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Spolu náklady</w:t>
            </w:r>
          </w:p>
        </w:tc>
        <w:tc>
          <w:tcPr>
            <w:tcW w:w="1417" w:type="dxa"/>
            <w:tcBorders>
              <w:top w:val="nil"/>
              <w:left w:val="nil"/>
              <w:bottom w:val="single" w:sz="4" w:space="0" w:color="auto"/>
              <w:right w:val="single" w:sz="4" w:space="0" w:color="auto"/>
            </w:tcBorders>
            <w:shd w:val="clear" w:color="auto" w:fill="auto"/>
            <w:noWrap/>
            <w:vAlign w:val="bottom"/>
            <w:hideMark/>
          </w:tcPr>
          <w:p w14:paraId="56199677"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7 267 250 € </w:t>
            </w:r>
          </w:p>
        </w:tc>
        <w:tc>
          <w:tcPr>
            <w:tcW w:w="1276" w:type="dxa"/>
            <w:tcBorders>
              <w:top w:val="nil"/>
              <w:left w:val="nil"/>
              <w:bottom w:val="single" w:sz="4" w:space="0" w:color="auto"/>
              <w:right w:val="single" w:sz="4" w:space="0" w:color="auto"/>
            </w:tcBorders>
            <w:shd w:val="clear" w:color="auto" w:fill="auto"/>
            <w:noWrap/>
            <w:vAlign w:val="bottom"/>
            <w:hideMark/>
          </w:tcPr>
          <w:p w14:paraId="2EAE28F3"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7 782 540 € </w:t>
            </w:r>
          </w:p>
        </w:tc>
        <w:tc>
          <w:tcPr>
            <w:tcW w:w="1276" w:type="dxa"/>
            <w:tcBorders>
              <w:top w:val="nil"/>
              <w:left w:val="nil"/>
              <w:bottom w:val="single" w:sz="4" w:space="0" w:color="auto"/>
              <w:right w:val="single" w:sz="4" w:space="0" w:color="auto"/>
            </w:tcBorders>
            <w:shd w:val="clear" w:color="auto" w:fill="auto"/>
            <w:noWrap/>
            <w:vAlign w:val="bottom"/>
            <w:hideMark/>
          </w:tcPr>
          <w:p w14:paraId="6A65C452"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8 280 568 € </w:t>
            </w:r>
          </w:p>
        </w:tc>
        <w:tc>
          <w:tcPr>
            <w:tcW w:w="1559" w:type="dxa"/>
            <w:tcBorders>
              <w:top w:val="nil"/>
              <w:left w:val="nil"/>
              <w:bottom w:val="single" w:sz="4" w:space="0" w:color="auto"/>
              <w:right w:val="single" w:sz="4" w:space="0" w:color="auto"/>
            </w:tcBorders>
            <w:shd w:val="clear" w:color="auto" w:fill="auto"/>
            <w:noWrap/>
            <w:vAlign w:val="bottom"/>
            <w:hideMark/>
          </w:tcPr>
          <w:p w14:paraId="5D297A05"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18 222 845 € </w:t>
            </w:r>
          </w:p>
        </w:tc>
        <w:tc>
          <w:tcPr>
            <w:tcW w:w="1437" w:type="dxa"/>
            <w:tcBorders>
              <w:top w:val="nil"/>
              <w:left w:val="nil"/>
              <w:bottom w:val="single" w:sz="4" w:space="0" w:color="auto"/>
              <w:right w:val="single" w:sz="4" w:space="0" w:color="auto"/>
            </w:tcBorders>
            <w:shd w:val="clear" w:color="auto" w:fill="auto"/>
            <w:noWrap/>
            <w:vAlign w:val="bottom"/>
            <w:hideMark/>
          </w:tcPr>
          <w:p w14:paraId="1B3AF1CD"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22 944 681 € </w:t>
            </w:r>
          </w:p>
        </w:tc>
        <w:tc>
          <w:tcPr>
            <w:tcW w:w="1682" w:type="dxa"/>
            <w:tcBorders>
              <w:top w:val="nil"/>
              <w:left w:val="nil"/>
              <w:bottom w:val="single" w:sz="4" w:space="0" w:color="auto"/>
              <w:right w:val="single" w:sz="4" w:space="0" w:color="auto"/>
            </w:tcBorders>
            <w:shd w:val="clear" w:color="auto" w:fill="auto"/>
            <w:noWrap/>
            <w:vAlign w:val="bottom"/>
            <w:hideMark/>
          </w:tcPr>
          <w:p w14:paraId="3F5B1319"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28 093 143 € </w:t>
            </w:r>
          </w:p>
        </w:tc>
      </w:tr>
      <w:tr w:rsidR="0074768C" w:rsidRPr="00020C88" w14:paraId="643DC107" w14:textId="77777777" w:rsidTr="0074768C">
        <w:trPr>
          <w:trHeight w:val="27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1058C683"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Nárast úhrad ZP ústavnej ošetrovateľskej starostlivosti pri zmene legislatívy voči báze bez zmeny legislatívy </w:t>
            </w:r>
          </w:p>
        </w:tc>
        <w:tc>
          <w:tcPr>
            <w:tcW w:w="1417" w:type="dxa"/>
            <w:tcBorders>
              <w:top w:val="nil"/>
              <w:left w:val="nil"/>
              <w:bottom w:val="single" w:sz="4" w:space="0" w:color="auto"/>
              <w:right w:val="single" w:sz="4" w:space="0" w:color="auto"/>
            </w:tcBorders>
            <w:shd w:val="clear" w:color="auto" w:fill="auto"/>
            <w:noWrap/>
            <w:vAlign w:val="bottom"/>
            <w:hideMark/>
          </w:tcPr>
          <w:p w14:paraId="38C4471D"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   € </w:t>
            </w:r>
          </w:p>
        </w:tc>
        <w:tc>
          <w:tcPr>
            <w:tcW w:w="1276" w:type="dxa"/>
            <w:tcBorders>
              <w:top w:val="nil"/>
              <w:left w:val="nil"/>
              <w:bottom w:val="single" w:sz="4" w:space="0" w:color="auto"/>
              <w:right w:val="single" w:sz="4" w:space="0" w:color="auto"/>
            </w:tcBorders>
            <w:shd w:val="clear" w:color="auto" w:fill="auto"/>
            <w:noWrap/>
            <w:vAlign w:val="bottom"/>
            <w:hideMark/>
          </w:tcPr>
          <w:p w14:paraId="5CE8EDDD"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   € </w:t>
            </w:r>
          </w:p>
        </w:tc>
        <w:tc>
          <w:tcPr>
            <w:tcW w:w="1276" w:type="dxa"/>
            <w:tcBorders>
              <w:top w:val="nil"/>
              <w:left w:val="nil"/>
              <w:bottom w:val="single" w:sz="4" w:space="0" w:color="auto"/>
              <w:right w:val="single" w:sz="4" w:space="0" w:color="auto"/>
            </w:tcBorders>
            <w:shd w:val="clear" w:color="auto" w:fill="auto"/>
            <w:noWrap/>
            <w:vAlign w:val="bottom"/>
            <w:hideMark/>
          </w:tcPr>
          <w:p w14:paraId="6EFA1851"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14:paraId="0B83BDE3"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893 352 € </w:t>
            </w:r>
          </w:p>
        </w:tc>
        <w:tc>
          <w:tcPr>
            <w:tcW w:w="1437" w:type="dxa"/>
            <w:tcBorders>
              <w:top w:val="nil"/>
              <w:left w:val="nil"/>
              <w:bottom w:val="single" w:sz="4" w:space="0" w:color="auto"/>
              <w:right w:val="single" w:sz="4" w:space="0" w:color="auto"/>
            </w:tcBorders>
            <w:shd w:val="clear" w:color="auto" w:fill="auto"/>
            <w:noWrap/>
            <w:vAlign w:val="bottom"/>
            <w:hideMark/>
          </w:tcPr>
          <w:p w14:paraId="581854A7"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820 227 € </w:t>
            </w:r>
          </w:p>
        </w:tc>
        <w:tc>
          <w:tcPr>
            <w:tcW w:w="1682" w:type="dxa"/>
            <w:tcBorders>
              <w:top w:val="nil"/>
              <w:left w:val="nil"/>
              <w:bottom w:val="single" w:sz="4" w:space="0" w:color="auto"/>
              <w:right w:val="single" w:sz="4" w:space="0" w:color="auto"/>
            </w:tcBorders>
            <w:shd w:val="clear" w:color="auto" w:fill="auto"/>
            <w:noWrap/>
            <w:vAlign w:val="bottom"/>
            <w:hideMark/>
          </w:tcPr>
          <w:p w14:paraId="3874646F"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698 119 € </w:t>
            </w:r>
          </w:p>
        </w:tc>
      </w:tr>
      <w:tr w:rsidR="0074768C" w:rsidRPr="00020C88" w14:paraId="5BDACBAD" w14:textId="77777777" w:rsidTr="0074768C">
        <w:trPr>
          <w:trHeight w:val="27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3023070E"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Nárast úhrad ZP ústavnej hospicovej starostlivosti pri zmene legislatívy voči báze bez zmeny legislatívy</w:t>
            </w:r>
          </w:p>
        </w:tc>
        <w:tc>
          <w:tcPr>
            <w:tcW w:w="1417" w:type="dxa"/>
            <w:tcBorders>
              <w:top w:val="nil"/>
              <w:left w:val="nil"/>
              <w:bottom w:val="single" w:sz="4" w:space="0" w:color="auto"/>
              <w:right w:val="single" w:sz="4" w:space="0" w:color="auto"/>
            </w:tcBorders>
            <w:shd w:val="clear" w:color="auto" w:fill="auto"/>
            <w:noWrap/>
            <w:vAlign w:val="bottom"/>
            <w:hideMark/>
          </w:tcPr>
          <w:p w14:paraId="4AD271F0"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   € </w:t>
            </w:r>
          </w:p>
        </w:tc>
        <w:tc>
          <w:tcPr>
            <w:tcW w:w="1276" w:type="dxa"/>
            <w:tcBorders>
              <w:top w:val="nil"/>
              <w:left w:val="nil"/>
              <w:bottom w:val="single" w:sz="4" w:space="0" w:color="auto"/>
              <w:right w:val="single" w:sz="4" w:space="0" w:color="auto"/>
            </w:tcBorders>
            <w:shd w:val="clear" w:color="auto" w:fill="auto"/>
            <w:noWrap/>
            <w:vAlign w:val="bottom"/>
            <w:hideMark/>
          </w:tcPr>
          <w:p w14:paraId="0669D377"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   € </w:t>
            </w:r>
          </w:p>
        </w:tc>
        <w:tc>
          <w:tcPr>
            <w:tcW w:w="1276" w:type="dxa"/>
            <w:tcBorders>
              <w:top w:val="nil"/>
              <w:left w:val="nil"/>
              <w:bottom w:val="single" w:sz="4" w:space="0" w:color="auto"/>
              <w:right w:val="single" w:sz="4" w:space="0" w:color="auto"/>
            </w:tcBorders>
            <w:shd w:val="clear" w:color="auto" w:fill="auto"/>
            <w:noWrap/>
            <w:vAlign w:val="bottom"/>
            <w:hideMark/>
          </w:tcPr>
          <w:p w14:paraId="24E23674"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14:paraId="154FB8CA"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2 406 839 € </w:t>
            </w:r>
          </w:p>
        </w:tc>
        <w:tc>
          <w:tcPr>
            <w:tcW w:w="1437" w:type="dxa"/>
            <w:tcBorders>
              <w:top w:val="nil"/>
              <w:left w:val="nil"/>
              <w:bottom w:val="single" w:sz="4" w:space="0" w:color="auto"/>
              <w:right w:val="single" w:sz="4" w:space="0" w:color="auto"/>
            </w:tcBorders>
            <w:shd w:val="clear" w:color="auto" w:fill="auto"/>
            <w:noWrap/>
            <w:vAlign w:val="bottom"/>
            <w:hideMark/>
          </w:tcPr>
          <w:p w14:paraId="2E70DD26"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3 004 389 € </w:t>
            </w:r>
          </w:p>
        </w:tc>
        <w:tc>
          <w:tcPr>
            <w:tcW w:w="1682" w:type="dxa"/>
            <w:tcBorders>
              <w:top w:val="nil"/>
              <w:left w:val="nil"/>
              <w:bottom w:val="single" w:sz="4" w:space="0" w:color="auto"/>
              <w:right w:val="single" w:sz="4" w:space="0" w:color="auto"/>
            </w:tcBorders>
            <w:shd w:val="clear" w:color="auto" w:fill="auto"/>
            <w:noWrap/>
            <w:vAlign w:val="bottom"/>
            <w:hideMark/>
          </w:tcPr>
          <w:p w14:paraId="3AE0C463"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3 551 769 € </w:t>
            </w:r>
          </w:p>
        </w:tc>
      </w:tr>
      <w:tr w:rsidR="0074768C" w:rsidRPr="00020C88" w14:paraId="2B1510FC" w14:textId="77777777" w:rsidTr="0074768C">
        <w:trPr>
          <w:trHeight w:val="27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73C49126" w14:textId="77777777" w:rsidR="00501D49" w:rsidRPr="00020C88" w:rsidRDefault="00501D49" w:rsidP="00501D49">
            <w:pPr>
              <w:spacing w:after="0" w:line="240" w:lineRule="auto"/>
              <w:rPr>
                <w:rFonts w:ascii="Times New Roman" w:hAnsi="Times New Roman"/>
                <w:color w:val="000000"/>
                <w:sz w:val="18"/>
                <w:szCs w:val="18"/>
                <w:lang w:eastAsia="sk-SK"/>
              </w:rPr>
            </w:pPr>
            <w:r w:rsidRPr="00020C88">
              <w:rPr>
                <w:rFonts w:ascii="Times New Roman" w:hAnsi="Times New Roman"/>
                <w:color w:val="000000"/>
                <w:sz w:val="18"/>
                <w:szCs w:val="18"/>
                <w:lang w:eastAsia="sk-SK"/>
              </w:rPr>
              <w:t xml:space="preserve">Nárast úhrad ZP paliatívnej medicíny pri zmene legislatívy voči báze bez zmeny legislatívy </w:t>
            </w:r>
          </w:p>
        </w:tc>
        <w:tc>
          <w:tcPr>
            <w:tcW w:w="1417" w:type="dxa"/>
            <w:tcBorders>
              <w:top w:val="nil"/>
              <w:left w:val="nil"/>
              <w:bottom w:val="single" w:sz="4" w:space="0" w:color="auto"/>
              <w:right w:val="single" w:sz="4" w:space="0" w:color="auto"/>
            </w:tcBorders>
            <w:shd w:val="clear" w:color="auto" w:fill="auto"/>
            <w:noWrap/>
            <w:vAlign w:val="bottom"/>
            <w:hideMark/>
          </w:tcPr>
          <w:p w14:paraId="57014ED2"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   € </w:t>
            </w:r>
          </w:p>
        </w:tc>
        <w:tc>
          <w:tcPr>
            <w:tcW w:w="1276" w:type="dxa"/>
            <w:tcBorders>
              <w:top w:val="nil"/>
              <w:left w:val="nil"/>
              <w:bottom w:val="single" w:sz="4" w:space="0" w:color="auto"/>
              <w:right w:val="single" w:sz="4" w:space="0" w:color="auto"/>
            </w:tcBorders>
            <w:shd w:val="clear" w:color="auto" w:fill="auto"/>
            <w:noWrap/>
            <w:vAlign w:val="bottom"/>
            <w:hideMark/>
          </w:tcPr>
          <w:p w14:paraId="6839BD68"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   € </w:t>
            </w:r>
          </w:p>
        </w:tc>
        <w:tc>
          <w:tcPr>
            <w:tcW w:w="1276" w:type="dxa"/>
            <w:tcBorders>
              <w:top w:val="nil"/>
              <w:left w:val="nil"/>
              <w:bottom w:val="single" w:sz="4" w:space="0" w:color="auto"/>
              <w:right w:val="single" w:sz="4" w:space="0" w:color="auto"/>
            </w:tcBorders>
            <w:shd w:val="clear" w:color="auto" w:fill="auto"/>
            <w:noWrap/>
            <w:vAlign w:val="bottom"/>
            <w:hideMark/>
          </w:tcPr>
          <w:p w14:paraId="0A2426EF"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14:paraId="27F664BC"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311 539 € </w:t>
            </w:r>
          </w:p>
        </w:tc>
        <w:tc>
          <w:tcPr>
            <w:tcW w:w="1437" w:type="dxa"/>
            <w:tcBorders>
              <w:top w:val="nil"/>
              <w:left w:val="nil"/>
              <w:bottom w:val="single" w:sz="4" w:space="0" w:color="auto"/>
              <w:right w:val="single" w:sz="4" w:space="0" w:color="auto"/>
            </w:tcBorders>
            <w:shd w:val="clear" w:color="auto" w:fill="auto"/>
            <w:noWrap/>
            <w:vAlign w:val="bottom"/>
            <w:hideMark/>
          </w:tcPr>
          <w:p w14:paraId="328345D5"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301 298 € </w:t>
            </w:r>
          </w:p>
        </w:tc>
        <w:tc>
          <w:tcPr>
            <w:tcW w:w="1682" w:type="dxa"/>
            <w:tcBorders>
              <w:top w:val="nil"/>
              <w:left w:val="nil"/>
              <w:bottom w:val="single" w:sz="4" w:space="0" w:color="auto"/>
              <w:right w:val="single" w:sz="4" w:space="0" w:color="auto"/>
            </w:tcBorders>
            <w:shd w:val="clear" w:color="auto" w:fill="auto"/>
            <w:noWrap/>
            <w:vAlign w:val="bottom"/>
            <w:hideMark/>
          </w:tcPr>
          <w:p w14:paraId="711AC56E"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237 122 € </w:t>
            </w:r>
          </w:p>
        </w:tc>
      </w:tr>
      <w:tr w:rsidR="0074768C" w:rsidRPr="00020C88" w14:paraId="639E9D5F" w14:textId="77777777" w:rsidTr="0074768C">
        <w:trPr>
          <w:trHeight w:val="278"/>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62396F7B"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Nárast úhrad ZP pri zmene legislatívy voči báze bez zmeny legislatívy spolu</w:t>
            </w:r>
          </w:p>
        </w:tc>
        <w:tc>
          <w:tcPr>
            <w:tcW w:w="1417" w:type="dxa"/>
            <w:tcBorders>
              <w:top w:val="nil"/>
              <w:left w:val="nil"/>
              <w:bottom w:val="single" w:sz="4" w:space="0" w:color="auto"/>
              <w:right w:val="single" w:sz="4" w:space="0" w:color="auto"/>
            </w:tcBorders>
            <w:shd w:val="clear" w:color="auto" w:fill="auto"/>
            <w:noWrap/>
            <w:vAlign w:val="bottom"/>
            <w:hideMark/>
          </w:tcPr>
          <w:p w14:paraId="5076BD04"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3E1B8A"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B37C36"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559" w:type="dxa"/>
            <w:tcBorders>
              <w:top w:val="nil"/>
              <w:left w:val="nil"/>
              <w:bottom w:val="single" w:sz="4" w:space="0" w:color="auto"/>
              <w:right w:val="single" w:sz="4" w:space="0" w:color="auto"/>
            </w:tcBorders>
            <w:shd w:val="clear" w:color="auto" w:fill="auto"/>
            <w:noWrap/>
            <w:vAlign w:val="bottom"/>
            <w:hideMark/>
          </w:tcPr>
          <w:p w14:paraId="4BB0FFDB"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3 611 730 € </w:t>
            </w:r>
          </w:p>
        </w:tc>
        <w:tc>
          <w:tcPr>
            <w:tcW w:w="1437" w:type="dxa"/>
            <w:tcBorders>
              <w:top w:val="nil"/>
              <w:left w:val="nil"/>
              <w:bottom w:val="single" w:sz="4" w:space="0" w:color="auto"/>
              <w:right w:val="single" w:sz="4" w:space="0" w:color="auto"/>
            </w:tcBorders>
            <w:shd w:val="clear" w:color="auto" w:fill="auto"/>
            <w:noWrap/>
            <w:vAlign w:val="bottom"/>
            <w:hideMark/>
          </w:tcPr>
          <w:p w14:paraId="60543F09"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4 125 913 € </w:t>
            </w:r>
          </w:p>
        </w:tc>
        <w:tc>
          <w:tcPr>
            <w:tcW w:w="1682" w:type="dxa"/>
            <w:tcBorders>
              <w:top w:val="nil"/>
              <w:left w:val="nil"/>
              <w:bottom w:val="single" w:sz="4" w:space="0" w:color="auto"/>
              <w:right w:val="single" w:sz="4" w:space="0" w:color="auto"/>
            </w:tcBorders>
            <w:shd w:val="clear" w:color="auto" w:fill="auto"/>
            <w:noWrap/>
            <w:vAlign w:val="bottom"/>
            <w:hideMark/>
          </w:tcPr>
          <w:p w14:paraId="1B032B3E"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4 487 010 € </w:t>
            </w:r>
          </w:p>
        </w:tc>
      </w:tr>
      <w:tr w:rsidR="0074768C" w:rsidRPr="00020C88" w14:paraId="7EB4D5C7" w14:textId="77777777" w:rsidTr="0074768C">
        <w:trPr>
          <w:trHeight w:val="278"/>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57083A06"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Nárast úhrad ZP ústavnej hospicovej starostlivosti nezabezpečených v rozpočte</w:t>
            </w:r>
          </w:p>
        </w:tc>
        <w:tc>
          <w:tcPr>
            <w:tcW w:w="1417" w:type="dxa"/>
            <w:tcBorders>
              <w:top w:val="nil"/>
              <w:left w:val="nil"/>
              <w:bottom w:val="single" w:sz="4" w:space="0" w:color="auto"/>
              <w:right w:val="single" w:sz="4" w:space="0" w:color="auto"/>
            </w:tcBorders>
            <w:shd w:val="clear" w:color="auto" w:fill="auto"/>
            <w:noWrap/>
            <w:vAlign w:val="bottom"/>
            <w:hideMark/>
          </w:tcPr>
          <w:p w14:paraId="71A6E353"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6BDD9E"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21B09F"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559" w:type="dxa"/>
            <w:tcBorders>
              <w:top w:val="nil"/>
              <w:left w:val="nil"/>
              <w:bottom w:val="single" w:sz="4" w:space="0" w:color="auto"/>
              <w:right w:val="single" w:sz="4" w:space="0" w:color="auto"/>
            </w:tcBorders>
            <w:shd w:val="clear" w:color="auto" w:fill="auto"/>
            <w:noWrap/>
            <w:vAlign w:val="bottom"/>
            <w:hideMark/>
          </w:tcPr>
          <w:p w14:paraId="32817C69"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2 406 839 € </w:t>
            </w:r>
          </w:p>
        </w:tc>
        <w:tc>
          <w:tcPr>
            <w:tcW w:w="1437" w:type="dxa"/>
            <w:tcBorders>
              <w:top w:val="nil"/>
              <w:left w:val="nil"/>
              <w:bottom w:val="single" w:sz="4" w:space="0" w:color="auto"/>
              <w:right w:val="single" w:sz="4" w:space="0" w:color="auto"/>
            </w:tcBorders>
            <w:shd w:val="clear" w:color="auto" w:fill="auto"/>
            <w:noWrap/>
            <w:vAlign w:val="bottom"/>
            <w:hideMark/>
          </w:tcPr>
          <w:p w14:paraId="2C8E87E9"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3 004 389 € </w:t>
            </w:r>
          </w:p>
        </w:tc>
        <w:tc>
          <w:tcPr>
            <w:tcW w:w="1682" w:type="dxa"/>
            <w:tcBorders>
              <w:top w:val="nil"/>
              <w:left w:val="nil"/>
              <w:bottom w:val="single" w:sz="4" w:space="0" w:color="auto"/>
              <w:right w:val="single" w:sz="4" w:space="0" w:color="auto"/>
            </w:tcBorders>
            <w:shd w:val="clear" w:color="auto" w:fill="auto"/>
            <w:noWrap/>
            <w:vAlign w:val="bottom"/>
            <w:hideMark/>
          </w:tcPr>
          <w:p w14:paraId="7300BF39"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3 551 769 € </w:t>
            </w:r>
          </w:p>
        </w:tc>
      </w:tr>
      <w:tr w:rsidR="0074768C" w:rsidRPr="00020C88" w14:paraId="20B61958" w14:textId="77777777" w:rsidTr="0074768C">
        <w:trPr>
          <w:trHeight w:val="27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A7A3F08"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Nárast úhrad ZP pre ADOS nezabezpečených v rozpočte</w:t>
            </w:r>
          </w:p>
        </w:tc>
        <w:tc>
          <w:tcPr>
            <w:tcW w:w="1417" w:type="dxa"/>
            <w:tcBorders>
              <w:top w:val="nil"/>
              <w:left w:val="nil"/>
              <w:bottom w:val="single" w:sz="4" w:space="0" w:color="auto"/>
              <w:right w:val="single" w:sz="4" w:space="0" w:color="auto"/>
            </w:tcBorders>
            <w:shd w:val="clear" w:color="auto" w:fill="auto"/>
            <w:noWrap/>
            <w:vAlign w:val="bottom"/>
            <w:hideMark/>
          </w:tcPr>
          <w:p w14:paraId="3ED10CF8"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EB51B2"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A9FE12"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84BB4D"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5 515 310 € </w:t>
            </w:r>
          </w:p>
        </w:tc>
        <w:tc>
          <w:tcPr>
            <w:tcW w:w="1437" w:type="dxa"/>
            <w:tcBorders>
              <w:top w:val="nil"/>
              <w:left w:val="nil"/>
              <w:bottom w:val="single" w:sz="4" w:space="0" w:color="auto"/>
              <w:right w:val="single" w:sz="4" w:space="0" w:color="auto"/>
            </w:tcBorders>
            <w:shd w:val="clear" w:color="auto" w:fill="auto"/>
            <w:noWrap/>
            <w:vAlign w:val="bottom"/>
            <w:hideMark/>
          </w:tcPr>
          <w:p w14:paraId="55124CBE"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7 548 640 € </w:t>
            </w:r>
          </w:p>
        </w:tc>
        <w:tc>
          <w:tcPr>
            <w:tcW w:w="1682" w:type="dxa"/>
            <w:tcBorders>
              <w:top w:val="nil"/>
              <w:left w:val="nil"/>
              <w:bottom w:val="single" w:sz="4" w:space="0" w:color="auto"/>
              <w:right w:val="single" w:sz="4" w:space="0" w:color="auto"/>
            </w:tcBorders>
            <w:shd w:val="clear" w:color="auto" w:fill="auto"/>
            <w:noWrap/>
            <w:vAlign w:val="bottom"/>
            <w:hideMark/>
          </w:tcPr>
          <w:p w14:paraId="3A1708B7"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8 010 030 € </w:t>
            </w:r>
          </w:p>
        </w:tc>
      </w:tr>
      <w:tr w:rsidR="0074768C" w:rsidRPr="00020C88" w14:paraId="1A99BE9B" w14:textId="77777777" w:rsidTr="0074768C">
        <w:trPr>
          <w:trHeight w:val="27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4F6F5AD"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Nárast úhrad ZP pre mobilný hospic nezabezpečených v rozpočte</w:t>
            </w:r>
          </w:p>
        </w:tc>
        <w:tc>
          <w:tcPr>
            <w:tcW w:w="1417" w:type="dxa"/>
            <w:tcBorders>
              <w:top w:val="nil"/>
              <w:left w:val="nil"/>
              <w:bottom w:val="single" w:sz="4" w:space="0" w:color="auto"/>
              <w:right w:val="single" w:sz="4" w:space="0" w:color="auto"/>
            </w:tcBorders>
            <w:shd w:val="clear" w:color="auto" w:fill="auto"/>
            <w:noWrap/>
            <w:vAlign w:val="bottom"/>
            <w:hideMark/>
          </w:tcPr>
          <w:p w14:paraId="113BA3E0"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0A7A6E"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078E54"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14:paraId="0DEBE11E"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640 475 €</w:t>
            </w:r>
          </w:p>
        </w:tc>
        <w:tc>
          <w:tcPr>
            <w:tcW w:w="1437" w:type="dxa"/>
            <w:tcBorders>
              <w:top w:val="nil"/>
              <w:left w:val="nil"/>
              <w:bottom w:val="single" w:sz="4" w:space="0" w:color="auto"/>
              <w:right w:val="single" w:sz="4" w:space="0" w:color="auto"/>
            </w:tcBorders>
            <w:shd w:val="clear" w:color="auto" w:fill="auto"/>
            <w:noWrap/>
            <w:vAlign w:val="center"/>
            <w:hideMark/>
          </w:tcPr>
          <w:p w14:paraId="2D280302"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967 300 €</w:t>
            </w:r>
          </w:p>
        </w:tc>
        <w:tc>
          <w:tcPr>
            <w:tcW w:w="1682" w:type="dxa"/>
            <w:tcBorders>
              <w:top w:val="nil"/>
              <w:left w:val="nil"/>
              <w:bottom w:val="single" w:sz="4" w:space="0" w:color="auto"/>
              <w:right w:val="single" w:sz="4" w:space="0" w:color="auto"/>
            </w:tcBorders>
            <w:shd w:val="clear" w:color="auto" w:fill="auto"/>
            <w:noWrap/>
            <w:vAlign w:val="center"/>
            <w:hideMark/>
          </w:tcPr>
          <w:p w14:paraId="730825A9"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1 334 925 €</w:t>
            </w:r>
          </w:p>
        </w:tc>
      </w:tr>
      <w:tr w:rsidR="0074768C" w:rsidRPr="00020C88" w14:paraId="7B7A351C" w14:textId="77777777" w:rsidTr="0074768C">
        <w:trPr>
          <w:trHeight w:val="278"/>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1731FDAD" w14:textId="77777777" w:rsidR="00501D49" w:rsidRPr="00020C88" w:rsidRDefault="00501D49" w:rsidP="00501D49">
            <w:pPr>
              <w:spacing w:after="0" w:line="240" w:lineRule="auto"/>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Nárast úhrad ZP nezabezpečených v rozpočte spolu</w:t>
            </w:r>
          </w:p>
        </w:tc>
        <w:tc>
          <w:tcPr>
            <w:tcW w:w="1417" w:type="dxa"/>
            <w:tcBorders>
              <w:top w:val="nil"/>
              <w:left w:val="nil"/>
              <w:bottom w:val="single" w:sz="4" w:space="0" w:color="auto"/>
              <w:right w:val="single" w:sz="4" w:space="0" w:color="auto"/>
            </w:tcBorders>
            <w:shd w:val="clear" w:color="auto" w:fill="auto"/>
            <w:noWrap/>
            <w:vAlign w:val="center"/>
            <w:hideMark/>
          </w:tcPr>
          <w:p w14:paraId="73DDA69E"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4DF443"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A0615D"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14:paraId="49C42160"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8 562 624 € </w:t>
            </w:r>
          </w:p>
        </w:tc>
        <w:tc>
          <w:tcPr>
            <w:tcW w:w="1437" w:type="dxa"/>
            <w:tcBorders>
              <w:top w:val="nil"/>
              <w:left w:val="nil"/>
              <w:bottom w:val="single" w:sz="4" w:space="0" w:color="auto"/>
              <w:right w:val="single" w:sz="4" w:space="0" w:color="auto"/>
            </w:tcBorders>
            <w:shd w:val="clear" w:color="auto" w:fill="auto"/>
            <w:noWrap/>
            <w:vAlign w:val="center"/>
            <w:hideMark/>
          </w:tcPr>
          <w:p w14:paraId="04412BA2"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11 520 329 € </w:t>
            </w:r>
          </w:p>
        </w:tc>
        <w:tc>
          <w:tcPr>
            <w:tcW w:w="1682" w:type="dxa"/>
            <w:tcBorders>
              <w:top w:val="nil"/>
              <w:left w:val="nil"/>
              <w:bottom w:val="single" w:sz="4" w:space="0" w:color="auto"/>
              <w:right w:val="single" w:sz="4" w:space="0" w:color="auto"/>
            </w:tcBorders>
            <w:shd w:val="clear" w:color="auto" w:fill="auto"/>
            <w:noWrap/>
            <w:vAlign w:val="center"/>
            <w:hideMark/>
          </w:tcPr>
          <w:p w14:paraId="53338B77" w14:textId="77777777" w:rsidR="00501D49" w:rsidRPr="00020C88" w:rsidRDefault="00501D49" w:rsidP="00501D49">
            <w:pPr>
              <w:spacing w:after="0" w:line="240" w:lineRule="auto"/>
              <w:jc w:val="right"/>
              <w:rPr>
                <w:rFonts w:ascii="Times New Roman" w:hAnsi="Times New Roman"/>
                <w:b/>
                <w:bCs/>
                <w:color w:val="000000"/>
                <w:sz w:val="18"/>
                <w:szCs w:val="18"/>
                <w:lang w:eastAsia="sk-SK"/>
              </w:rPr>
            </w:pPr>
            <w:r w:rsidRPr="00020C88">
              <w:rPr>
                <w:rFonts w:ascii="Times New Roman" w:hAnsi="Times New Roman"/>
                <w:b/>
                <w:bCs/>
                <w:color w:val="000000"/>
                <w:sz w:val="18"/>
                <w:szCs w:val="18"/>
                <w:lang w:eastAsia="sk-SK"/>
              </w:rPr>
              <w:t xml:space="preserve">        12 896 724 € </w:t>
            </w:r>
          </w:p>
        </w:tc>
      </w:tr>
    </w:tbl>
    <w:p w14:paraId="0722F5D6" w14:textId="742D0E47" w:rsidR="00BB7F52" w:rsidRPr="00020C88" w:rsidRDefault="00BB7F52" w:rsidP="00CB750F">
      <w:pPr>
        <w:spacing w:after="0" w:line="240" w:lineRule="auto"/>
        <w:jc w:val="both"/>
        <w:rPr>
          <w:rFonts w:ascii="Times New Roman" w:hAnsi="Times New Roman"/>
          <w:sz w:val="18"/>
          <w:szCs w:val="18"/>
        </w:rPr>
      </w:pPr>
    </w:p>
    <w:p w14:paraId="7F89C169" w14:textId="77777777" w:rsidR="007B5E08" w:rsidRPr="00020C88" w:rsidRDefault="007B5E08" w:rsidP="00CB750F">
      <w:pPr>
        <w:spacing w:after="0" w:line="240" w:lineRule="auto"/>
        <w:jc w:val="both"/>
        <w:rPr>
          <w:rFonts w:ascii="Times New Roman" w:hAnsi="Times New Roman"/>
          <w:sz w:val="18"/>
          <w:szCs w:val="18"/>
        </w:rPr>
      </w:pPr>
    </w:p>
    <w:p w14:paraId="5C1C52C0" w14:textId="2DCF4270" w:rsidR="00910764" w:rsidRPr="00020C88" w:rsidRDefault="00BB7F52" w:rsidP="00CB750F">
      <w:pPr>
        <w:spacing w:after="0" w:line="240" w:lineRule="auto"/>
        <w:jc w:val="both"/>
        <w:rPr>
          <w:rFonts w:ascii="Times New Roman" w:hAnsi="Times New Roman"/>
          <w:b/>
          <w:bCs/>
          <w:sz w:val="18"/>
          <w:szCs w:val="18"/>
        </w:rPr>
      </w:pPr>
      <w:r w:rsidRPr="00020C88">
        <w:rPr>
          <w:rFonts w:ascii="Times New Roman" w:hAnsi="Times New Roman"/>
          <w:b/>
          <w:bCs/>
          <w:sz w:val="18"/>
          <w:szCs w:val="18"/>
        </w:rPr>
        <w:t>Zdroje: údaje od zdravotných poisťovní, poskytovateľov zdravotnej starostlivosti, NCZI</w:t>
      </w:r>
    </w:p>
    <w:p w14:paraId="459F6B63" w14:textId="77777777" w:rsidR="00910764" w:rsidRPr="00020C88" w:rsidRDefault="00910764" w:rsidP="00CB750F">
      <w:pPr>
        <w:spacing w:after="0" w:line="240" w:lineRule="auto"/>
        <w:jc w:val="both"/>
        <w:rPr>
          <w:rFonts w:ascii="Times New Roman" w:hAnsi="Times New Roman"/>
          <w:b/>
          <w:bCs/>
          <w:sz w:val="20"/>
          <w:szCs w:val="20"/>
        </w:rPr>
      </w:pPr>
    </w:p>
    <w:p w14:paraId="0FE7946D" w14:textId="77777777" w:rsidR="00910764" w:rsidRPr="00020C88" w:rsidRDefault="00910764" w:rsidP="00CB750F">
      <w:pPr>
        <w:spacing w:after="0" w:line="240" w:lineRule="auto"/>
        <w:jc w:val="both"/>
        <w:rPr>
          <w:rFonts w:ascii="Times New Roman" w:hAnsi="Times New Roman"/>
          <w:b/>
          <w:bCs/>
          <w:sz w:val="20"/>
          <w:szCs w:val="20"/>
        </w:rPr>
      </w:pPr>
    </w:p>
    <w:p w14:paraId="7BF9F347" w14:textId="262893EC" w:rsidR="001F448F" w:rsidRPr="00020C88" w:rsidRDefault="001F448F" w:rsidP="001F448F">
      <w:pPr>
        <w:spacing w:after="0" w:line="240" w:lineRule="auto"/>
        <w:jc w:val="both"/>
        <w:rPr>
          <w:rFonts w:ascii="Times New Roman" w:hAnsi="Times New Roman"/>
          <w:bCs/>
          <w:sz w:val="20"/>
          <w:szCs w:val="20"/>
        </w:rPr>
      </w:pPr>
      <w:r w:rsidRPr="00020C88">
        <w:rPr>
          <w:rFonts w:ascii="Times New Roman" w:hAnsi="Times New Roman"/>
          <w:bCs/>
          <w:sz w:val="20"/>
          <w:szCs w:val="20"/>
        </w:rPr>
        <w:t>Štatistika za rok 2017 bola spracovaná za všetky zdravotné poisťovne v rozsahu počtu ošetrovacích dní a úhrad. Priemerné čísla sa môžu líšiť od dát z produkčného prostredia zdravotných poisťovní. Stanovenie výšky úhrady za lôžkodeň vychádza z údajov o nákladoch týchto poskytovateľov, ktoré by boli optimálne na splnenie stanoveného MTZ a pokrytie prevádzkových nákladov.</w:t>
      </w:r>
    </w:p>
    <w:p w14:paraId="3EF6F6E9" w14:textId="77777777" w:rsidR="001F448F" w:rsidRPr="00020C88" w:rsidRDefault="001F448F" w:rsidP="001F448F">
      <w:pPr>
        <w:spacing w:after="0" w:line="240" w:lineRule="auto"/>
        <w:jc w:val="both"/>
        <w:rPr>
          <w:rFonts w:ascii="Times New Roman" w:hAnsi="Times New Roman"/>
          <w:bCs/>
          <w:sz w:val="20"/>
          <w:szCs w:val="20"/>
        </w:rPr>
      </w:pPr>
      <w:r w:rsidRPr="00020C88">
        <w:rPr>
          <w:rFonts w:ascii="Times New Roman" w:hAnsi="Times New Roman"/>
          <w:bCs/>
          <w:sz w:val="20"/>
          <w:szCs w:val="20"/>
        </w:rPr>
        <w:t xml:space="preserve">Pri vymedzených typoch následnej ústavnej ZS regulujeme cenu za ošetrovací deň, aj keď forma úhrady môže byť paušálna, ale mali by byť dodržané aspoň doterajšie priemerné dĺžky hospitalizácie. </w:t>
      </w:r>
    </w:p>
    <w:p w14:paraId="33DEBB8D" w14:textId="28DC2222" w:rsidR="00BB7F52" w:rsidRPr="00020C88" w:rsidRDefault="001F448F" w:rsidP="001F448F">
      <w:pPr>
        <w:spacing w:after="0" w:line="240" w:lineRule="auto"/>
        <w:jc w:val="both"/>
        <w:rPr>
          <w:rFonts w:ascii="Times New Roman" w:hAnsi="Times New Roman"/>
          <w:bCs/>
          <w:sz w:val="20"/>
          <w:szCs w:val="20"/>
        </w:rPr>
      </w:pPr>
      <w:r w:rsidRPr="00020C88">
        <w:rPr>
          <w:rFonts w:ascii="Times New Roman" w:hAnsi="Times New Roman"/>
          <w:bCs/>
          <w:sz w:val="20"/>
          <w:szCs w:val="20"/>
        </w:rPr>
        <w:t>V našich prepočtoch na roky 2020-2022 sme navyše predpokladali aj dlhšie zotrvávanie na oddeleniach tohto typu na základe odporúčaní od odborníkov. Chceme tak umožniť, aby pacient, ktorý potrebuje byť z medicínskeho hľadiska dlhšie hospitalizovaný, aby mohol byť a nemusel byť prekladaný na iné oddelenia prioritne kvôli ekonomickým motiváciám poskytovateľa. Situácia sa však môže vyvinúť tak, že pacienti budú tráviť na týchto lôžkach toľko dní, ako doteraz. ALOS sú len indikatívne.</w:t>
      </w:r>
      <w:r w:rsidR="00BB7F52" w:rsidRPr="00020C88">
        <w:rPr>
          <w:rFonts w:ascii="Times New Roman" w:hAnsi="Times New Roman"/>
          <w:bCs/>
          <w:sz w:val="20"/>
          <w:szCs w:val="20"/>
        </w:rPr>
        <w:br w:type="page"/>
      </w:r>
    </w:p>
    <w:p w14:paraId="4043B44D" w14:textId="116A3E25" w:rsidR="00656F4B" w:rsidRPr="00020C88" w:rsidRDefault="00656F4B" w:rsidP="00CB750F">
      <w:pPr>
        <w:tabs>
          <w:tab w:val="num" w:pos="1080"/>
        </w:tabs>
        <w:spacing w:after="0" w:line="240" w:lineRule="auto"/>
        <w:jc w:val="both"/>
        <w:rPr>
          <w:rFonts w:ascii="Times New Roman" w:hAnsi="Times New Roman"/>
          <w:bCs/>
          <w:sz w:val="20"/>
          <w:szCs w:val="20"/>
        </w:rPr>
      </w:pPr>
      <w:r w:rsidRPr="00020C88">
        <w:rPr>
          <w:rFonts w:ascii="Times New Roman" w:hAnsi="Times New Roman"/>
          <w:bCs/>
          <w:sz w:val="20"/>
          <w:szCs w:val="20"/>
        </w:rPr>
        <w:lastRenderedPageBreak/>
        <w:t xml:space="preserve">Tabuľka č. 3 </w:t>
      </w:r>
    </w:p>
    <w:tbl>
      <w:tblPr>
        <w:tblpPr w:leftFromText="141" w:rightFromText="141" w:horzAnchor="margin" w:tblpXSpec="center" w:tblpY="533"/>
        <w:tblW w:w="11122" w:type="dxa"/>
        <w:tblCellMar>
          <w:left w:w="70" w:type="dxa"/>
          <w:right w:w="70" w:type="dxa"/>
        </w:tblCellMar>
        <w:tblLook w:val="0000" w:firstRow="0" w:lastRow="0" w:firstColumn="0" w:lastColumn="0" w:noHBand="0" w:noVBand="0"/>
      </w:tblPr>
      <w:tblGrid>
        <w:gridCol w:w="3946"/>
        <w:gridCol w:w="1196"/>
        <w:gridCol w:w="1196"/>
        <w:gridCol w:w="1196"/>
        <w:gridCol w:w="1196"/>
        <w:gridCol w:w="2392"/>
      </w:tblGrid>
      <w:tr w:rsidR="00BB7F52" w:rsidRPr="00020C88" w14:paraId="005FD3F0" w14:textId="77777777" w:rsidTr="00BB7F52">
        <w:trPr>
          <w:cantSplit/>
          <w:trHeight w:val="206"/>
        </w:trPr>
        <w:tc>
          <w:tcPr>
            <w:tcW w:w="394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CD14197"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Príjmy (v eurách)</w:t>
            </w:r>
          </w:p>
        </w:tc>
        <w:tc>
          <w:tcPr>
            <w:tcW w:w="4784" w:type="dxa"/>
            <w:gridSpan w:val="4"/>
            <w:tcBorders>
              <w:top w:val="single" w:sz="4" w:space="0" w:color="auto"/>
              <w:left w:val="nil"/>
              <w:bottom w:val="single" w:sz="4" w:space="0" w:color="auto"/>
              <w:right w:val="single" w:sz="4" w:space="0" w:color="auto"/>
            </w:tcBorders>
            <w:shd w:val="clear" w:color="auto" w:fill="BFBFBF"/>
          </w:tcPr>
          <w:p w14:paraId="12CE1FB7"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Vplyv na rozpočet verejnej správy</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8A36B80"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poznámka</w:t>
            </w:r>
          </w:p>
        </w:tc>
      </w:tr>
      <w:tr w:rsidR="00BB7F52" w:rsidRPr="00020C88" w14:paraId="1C779475" w14:textId="77777777" w:rsidTr="00BB7F52">
        <w:trPr>
          <w:cantSplit/>
          <w:trHeight w:val="206"/>
        </w:trPr>
        <w:tc>
          <w:tcPr>
            <w:tcW w:w="3946" w:type="dxa"/>
            <w:vMerge/>
            <w:tcBorders>
              <w:top w:val="single" w:sz="4" w:space="0" w:color="auto"/>
              <w:left w:val="single" w:sz="4" w:space="0" w:color="auto"/>
              <w:bottom w:val="single" w:sz="4" w:space="0" w:color="auto"/>
              <w:right w:val="single" w:sz="4" w:space="0" w:color="auto"/>
            </w:tcBorders>
            <w:vAlign w:val="center"/>
          </w:tcPr>
          <w:p w14:paraId="775247C5" w14:textId="77777777" w:rsidR="00BB7F52" w:rsidRPr="00020C88" w:rsidRDefault="00BB7F52" w:rsidP="00CB750F">
            <w:pPr>
              <w:spacing w:after="0" w:line="240" w:lineRule="auto"/>
              <w:jc w:val="both"/>
              <w:rPr>
                <w:rFonts w:ascii="Times New Roman" w:hAnsi="Times New Roman"/>
                <w:b/>
                <w:bCs/>
                <w:color w:val="FFFFFF"/>
                <w:sz w:val="20"/>
                <w:szCs w:val="20"/>
              </w:rPr>
            </w:pPr>
          </w:p>
        </w:tc>
        <w:tc>
          <w:tcPr>
            <w:tcW w:w="1196" w:type="dxa"/>
            <w:tcBorders>
              <w:top w:val="nil"/>
              <w:left w:val="nil"/>
              <w:bottom w:val="single" w:sz="4" w:space="0" w:color="auto"/>
              <w:right w:val="single" w:sz="4" w:space="0" w:color="auto"/>
            </w:tcBorders>
            <w:shd w:val="clear" w:color="auto" w:fill="BFBFBF"/>
          </w:tcPr>
          <w:p w14:paraId="2A984981"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2019</w:t>
            </w:r>
          </w:p>
        </w:tc>
        <w:tc>
          <w:tcPr>
            <w:tcW w:w="1196" w:type="dxa"/>
            <w:tcBorders>
              <w:top w:val="nil"/>
              <w:left w:val="nil"/>
              <w:bottom w:val="single" w:sz="4" w:space="0" w:color="auto"/>
              <w:right w:val="single" w:sz="4" w:space="0" w:color="auto"/>
            </w:tcBorders>
            <w:shd w:val="clear" w:color="auto" w:fill="BFBFBF"/>
          </w:tcPr>
          <w:p w14:paraId="2F48A22C"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2020</w:t>
            </w:r>
          </w:p>
        </w:tc>
        <w:tc>
          <w:tcPr>
            <w:tcW w:w="1196" w:type="dxa"/>
            <w:tcBorders>
              <w:top w:val="nil"/>
              <w:left w:val="nil"/>
              <w:bottom w:val="single" w:sz="4" w:space="0" w:color="auto"/>
              <w:right w:val="single" w:sz="4" w:space="0" w:color="auto"/>
            </w:tcBorders>
            <w:shd w:val="clear" w:color="auto" w:fill="BFBFBF"/>
          </w:tcPr>
          <w:p w14:paraId="10823054"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2021</w:t>
            </w:r>
          </w:p>
        </w:tc>
        <w:tc>
          <w:tcPr>
            <w:tcW w:w="1196" w:type="dxa"/>
            <w:tcBorders>
              <w:top w:val="nil"/>
              <w:left w:val="nil"/>
              <w:bottom w:val="single" w:sz="4" w:space="0" w:color="auto"/>
              <w:right w:val="single" w:sz="4" w:space="0" w:color="auto"/>
            </w:tcBorders>
            <w:shd w:val="clear" w:color="auto" w:fill="BFBFBF"/>
          </w:tcPr>
          <w:p w14:paraId="6D84BEC9"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2022</w:t>
            </w:r>
          </w:p>
        </w:tc>
        <w:tc>
          <w:tcPr>
            <w:tcW w:w="2392" w:type="dxa"/>
            <w:vMerge/>
            <w:tcBorders>
              <w:top w:val="single" w:sz="4" w:space="0" w:color="auto"/>
              <w:left w:val="single" w:sz="4" w:space="0" w:color="auto"/>
              <w:bottom w:val="single" w:sz="4" w:space="0" w:color="auto"/>
              <w:right w:val="single" w:sz="4" w:space="0" w:color="auto"/>
            </w:tcBorders>
            <w:vAlign w:val="center"/>
          </w:tcPr>
          <w:p w14:paraId="18980EAC" w14:textId="77777777" w:rsidR="00BB7F52" w:rsidRPr="00020C88" w:rsidRDefault="00BB7F52" w:rsidP="00CB750F">
            <w:pPr>
              <w:spacing w:after="0" w:line="240" w:lineRule="auto"/>
              <w:jc w:val="both"/>
              <w:rPr>
                <w:rFonts w:ascii="Times New Roman" w:hAnsi="Times New Roman"/>
                <w:b/>
                <w:bCs/>
                <w:color w:val="FFFFFF"/>
                <w:sz w:val="20"/>
                <w:szCs w:val="20"/>
              </w:rPr>
            </w:pPr>
          </w:p>
        </w:tc>
      </w:tr>
      <w:tr w:rsidR="00BB7F52" w:rsidRPr="00020C88" w14:paraId="0DD86DFA" w14:textId="77777777" w:rsidTr="00BB7F52">
        <w:trPr>
          <w:trHeight w:val="206"/>
        </w:trPr>
        <w:tc>
          <w:tcPr>
            <w:tcW w:w="3946" w:type="dxa"/>
            <w:tcBorders>
              <w:top w:val="nil"/>
              <w:left w:val="single" w:sz="4" w:space="0" w:color="auto"/>
              <w:bottom w:val="single" w:sz="4" w:space="0" w:color="auto"/>
              <w:right w:val="single" w:sz="4" w:space="0" w:color="auto"/>
            </w:tcBorders>
          </w:tcPr>
          <w:p w14:paraId="32871A48" w14:textId="77777777" w:rsidR="00BB7F52" w:rsidRPr="00020C88" w:rsidRDefault="00BB7F52" w:rsidP="00CB750F">
            <w:pPr>
              <w:spacing w:after="0" w:line="240" w:lineRule="auto"/>
              <w:jc w:val="both"/>
              <w:rPr>
                <w:rFonts w:ascii="Times New Roman" w:hAnsi="Times New Roman"/>
                <w:b/>
                <w:bCs/>
                <w:sz w:val="20"/>
                <w:szCs w:val="20"/>
                <w:vertAlign w:val="superscript"/>
              </w:rPr>
            </w:pPr>
            <w:r w:rsidRPr="00020C88">
              <w:rPr>
                <w:rFonts w:ascii="Times New Roman" w:hAnsi="Times New Roman"/>
                <w:b/>
                <w:bCs/>
                <w:sz w:val="20"/>
                <w:szCs w:val="20"/>
              </w:rPr>
              <w:t>Daňové príjmy (100)</w:t>
            </w:r>
            <w:r w:rsidRPr="00020C88">
              <w:rPr>
                <w:rFonts w:ascii="Times New Roman" w:hAnsi="Times New Roman"/>
                <w:b/>
                <w:bCs/>
                <w:sz w:val="20"/>
                <w:szCs w:val="20"/>
                <w:vertAlign w:val="superscript"/>
              </w:rPr>
              <w:t>1</w:t>
            </w:r>
          </w:p>
        </w:tc>
        <w:tc>
          <w:tcPr>
            <w:tcW w:w="1196" w:type="dxa"/>
            <w:tcBorders>
              <w:top w:val="nil"/>
              <w:left w:val="nil"/>
              <w:bottom w:val="single" w:sz="4" w:space="0" w:color="auto"/>
              <w:right w:val="single" w:sz="4" w:space="0" w:color="auto"/>
            </w:tcBorders>
          </w:tcPr>
          <w:p w14:paraId="04080477" w14:textId="77777777" w:rsidR="00BB7F52" w:rsidRPr="00020C88" w:rsidRDefault="00BB7F52" w:rsidP="00CB750F">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42A00792" w14:textId="77777777" w:rsidR="00BB7F52" w:rsidRPr="00020C88" w:rsidRDefault="00BB7F52" w:rsidP="00CB750F">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104F4AAD" w14:textId="77777777" w:rsidR="00BB7F52" w:rsidRPr="00020C88" w:rsidRDefault="00BB7F52" w:rsidP="00CB750F">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4CF09222" w14:textId="77777777" w:rsidR="00BB7F52" w:rsidRPr="00020C88" w:rsidRDefault="00BB7F52" w:rsidP="00CB750F">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noWrap/>
            <w:vAlign w:val="bottom"/>
          </w:tcPr>
          <w:p w14:paraId="44230089" w14:textId="77777777" w:rsidR="00BB7F52" w:rsidRPr="00020C88" w:rsidRDefault="00BB7F52"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BB7F52" w:rsidRPr="00020C88" w14:paraId="6DE9C783" w14:textId="77777777" w:rsidTr="00BB7F52">
        <w:trPr>
          <w:trHeight w:val="206"/>
        </w:trPr>
        <w:tc>
          <w:tcPr>
            <w:tcW w:w="3946" w:type="dxa"/>
            <w:tcBorders>
              <w:top w:val="nil"/>
              <w:left w:val="single" w:sz="4" w:space="0" w:color="auto"/>
              <w:bottom w:val="single" w:sz="4" w:space="0" w:color="auto"/>
              <w:right w:val="single" w:sz="4" w:space="0" w:color="auto"/>
            </w:tcBorders>
          </w:tcPr>
          <w:p w14:paraId="42FFBA01"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Nedaňové príjmy (200)</w:t>
            </w:r>
            <w:r w:rsidRPr="00020C88">
              <w:rPr>
                <w:rFonts w:ascii="Times New Roman" w:hAnsi="Times New Roman"/>
                <w:b/>
                <w:bCs/>
                <w:sz w:val="20"/>
                <w:szCs w:val="20"/>
                <w:vertAlign w:val="superscript"/>
              </w:rPr>
              <w:t>1</w:t>
            </w:r>
          </w:p>
        </w:tc>
        <w:tc>
          <w:tcPr>
            <w:tcW w:w="1196" w:type="dxa"/>
            <w:tcBorders>
              <w:top w:val="nil"/>
              <w:left w:val="nil"/>
              <w:bottom w:val="single" w:sz="4" w:space="0" w:color="auto"/>
              <w:right w:val="single" w:sz="4" w:space="0" w:color="auto"/>
            </w:tcBorders>
          </w:tcPr>
          <w:p w14:paraId="678F9C51" w14:textId="77777777" w:rsidR="00BB7F52" w:rsidRPr="00020C88" w:rsidRDefault="00BB7F52" w:rsidP="00CB750F">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0B6CB51B" w14:textId="77777777" w:rsidR="00BB7F52" w:rsidRPr="00020C88" w:rsidRDefault="00BB7F52" w:rsidP="00CB750F">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646C92F1" w14:textId="77777777" w:rsidR="00BB7F52" w:rsidRPr="00020C88" w:rsidRDefault="00BB7F52" w:rsidP="00CB750F">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344E01FE" w14:textId="77777777" w:rsidR="00BB7F52" w:rsidRPr="00020C88" w:rsidRDefault="00BB7F52" w:rsidP="00CB750F">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noWrap/>
            <w:vAlign w:val="bottom"/>
          </w:tcPr>
          <w:p w14:paraId="2FAF29F7" w14:textId="77777777" w:rsidR="00BB7F52" w:rsidRPr="00020C88" w:rsidRDefault="00BB7F52"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BB7F52" w:rsidRPr="00020C88" w14:paraId="0632C650" w14:textId="77777777" w:rsidTr="00BB7F52">
        <w:trPr>
          <w:trHeight w:val="206"/>
        </w:trPr>
        <w:tc>
          <w:tcPr>
            <w:tcW w:w="3946" w:type="dxa"/>
            <w:tcBorders>
              <w:top w:val="nil"/>
              <w:left w:val="single" w:sz="4" w:space="0" w:color="auto"/>
              <w:bottom w:val="single" w:sz="4" w:space="0" w:color="auto"/>
              <w:right w:val="single" w:sz="4" w:space="0" w:color="auto"/>
            </w:tcBorders>
          </w:tcPr>
          <w:p w14:paraId="3C97E42D"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Granty a transfery (300)</w:t>
            </w:r>
            <w:r w:rsidRPr="00020C88">
              <w:rPr>
                <w:rFonts w:ascii="Times New Roman" w:hAnsi="Times New Roman"/>
                <w:b/>
                <w:bCs/>
                <w:sz w:val="20"/>
                <w:szCs w:val="20"/>
                <w:vertAlign w:val="superscript"/>
              </w:rPr>
              <w:t>1</w:t>
            </w:r>
          </w:p>
        </w:tc>
        <w:tc>
          <w:tcPr>
            <w:tcW w:w="1196" w:type="dxa"/>
            <w:tcBorders>
              <w:top w:val="nil"/>
              <w:left w:val="nil"/>
              <w:bottom w:val="single" w:sz="4" w:space="0" w:color="auto"/>
              <w:right w:val="single" w:sz="4" w:space="0" w:color="auto"/>
            </w:tcBorders>
          </w:tcPr>
          <w:p w14:paraId="2A19684B" w14:textId="77777777" w:rsidR="00BB7F52" w:rsidRPr="00020C88" w:rsidRDefault="00BB7F52" w:rsidP="00CB750F">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2BC2C5D6" w14:textId="77777777" w:rsidR="00BB7F52" w:rsidRPr="00020C88" w:rsidRDefault="00BB7F52" w:rsidP="00CB750F">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6A2C6C3F" w14:textId="77777777" w:rsidR="00BB7F52" w:rsidRPr="00020C88" w:rsidRDefault="00BB7F52" w:rsidP="00CB750F">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14:paraId="45418DFE" w14:textId="77777777" w:rsidR="00BB7F52" w:rsidRPr="00020C88" w:rsidRDefault="00BB7F52" w:rsidP="00CB750F">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noWrap/>
            <w:vAlign w:val="bottom"/>
          </w:tcPr>
          <w:p w14:paraId="7EF132B2" w14:textId="77777777" w:rsidR="00BB7F52" w:rsidRPr="00020C88" w:rsidRDefault="00BB7F52"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BB7F52" w:rsidRPr="00020C88" w14:paraId="330B87EC" w14:textId="77777777" w:rsidTr="00BB7F52">
        <w:trPr>
          <w:trHeight w:val="206"/>
        </w:trPr>
        <w:tc>
          <w:tcPr>
            <w:tcW w:w="3946" w:type="dxa"/>
            <w:tcBorders>
              <w:top w:val="nil"/>
              <w:left w:val="single" w:sz="4" w:space="0" w:color="auto"/>
              <w:bottom w:val="single" w:sz="4" w:space="0" w:color="auto"/>
              <w:right w:val="single" w:sz="4" w:space="0" w:color="auto"/>
            </w:tcBorders>
          </w:tcPr>
          <w:p w14:paraId="64EE910D"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Príjmy z transakcií s finančnými aktívami a finančnými pasívami (400)</w:t>
            </w:r>
          </w:p>
        </w:tc>
        <w:tc>
          <w:tcPr>
            <w:tcW w:w="1196" w:type="dxa"/>
            <w:tcBorders>
              <w:top w:val="nil"/>
              <w:left w:val="nil"/>
              <w:bottom w:val="single" w:sz="4" w:space="0" w:color="auto"/>
              <w:right w:val="single" w:sz="4" w:space="0" w:color="auto"/>
            </w:tcBorders>
            <w:shd w:val="clear" w:color="auto" w:fill="FFFF99"/>
          </w:tcPr>
          <w:p w14:paraId="2F3F7D16"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14:paraId="31AE74E8"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14:paraId="0CC7BFCD"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14:paraId="6615D4F1"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2392" w:type="dxa"/>
            <w:tcBorders>
              <w:top w:val="nil"/>
              <w:left w:val="nil"/>
              <w:bottom w:val="single" w:sz="4" w:space="0" w:color="auto"/>
              <w:right w:val="single" w:sz="4" w:space="0" w:color="auto"/>
            </w:tcBorders>
            <w:noWrap/>
            <w:vAlign w:val="bottom"/>
          </w:tcPr>
          <w:p w14:paraId="6E97079A" w14:textId="77777777" w:rsidR="00BB7F52" w:rsidRPr="00020C88" w:rsidRDefault="00BB7F52"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BB7F52" w:rsidRPr="00020C88" w14:paraId="626C5F75" w14:textId="77777777" w:rsidTr="00BB7F52">
        <w:trPr>
          <w:trHeight w:val="206"/>
        </w:trPr>
        <w:tc>
          <w:tcPr>
            <w:tcW w:w="3946" w:type="dxa"/>
            <w:tcBorders>
              <w:top w:val="nil"/>
              <w:left w:val="single" w:sz="4" w:space="0" w:color="auto"/>
              <w:bottom w:val="single" w:sz="4" w:space="0" w:color="auto"/>
              <w:right w:val="single" w:sz="4" w:space="0" w:color="auto"/>
            </w:tcBorders>
          </w:tcPr>
          <w:p w14:paraId="5C6A2EA4"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Prijaté úvery, pôžičky a návratné finančné výpomoci (500)</w:t>
            </w:r>
          </w:p>
        </w:tc>
        <w:tc>
          <w:tcPr>
            <w:tcW w:w="1196" w:type="dxa"/>
            <w:tcBorders>
              <w:top w:val="nil"/>
              <w:left w:val="nil"/>
              <w:bottom w:val="single" w:sz="4" w:space="0" w:color="auto"/>
              <w:right w:val="single" w:sz="4" w:space="0" w:color="auto"/>
            </w:tcBorders>
            <w:shd w:val="clear" w:color="auto" w:fill="FFFF99"/>
          </w:tcPr>
          <w:p w14:paraId="708C3579"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14:paraId="4DEC5260"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14:paraId="7E210A9B"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14:paraId="54A0E56D"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2392" w:type="dxa"/>
            <w:tcBorders>
              <w:top w:val="nil"/>
              <w:left w:val="nil"/>
              <w:bottom w:val="single" w:sz="4" w:space="0" w:color="auto"/>
              <w:right w:val="single" w:sz="4" w:space="0" w:color="auto"/>
            </w:tcBorders>
            <w:noWrap/>
            <w:vAlign w:val="bottom"/>
          </w:tcPr>
          <w:p w14:paraId="3B8E7006" w14:textId="77777777" w:rsidR="00BB7F52" w:rsidRPr="00020C88" w:rsidRDefault="00BB7F52"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BB7F52" w:rsidRPr="00020C88" w14:paraId="665EA0CF" w14:textId="77777777" w:rsidTr="00BB7F52">
        <w:trPr>
          <w:trHeight w:val="206"/>
        </w:trPr>
        <w:tc>
          <w:tcPr>
            <w:tcW w:w="3946" w:type="dxa"/>
            <w:tcBorders>
              <w:top w:val="nil"/>
              <w:left w:val="single" w:sz="4" w:space="0" w:color="auto"/>
              <w:bottom w:val="single" w:sz="4" w:space="0" w:color="auto"/>
              <w:right w:val="single" w:sz="4" w:space="0" w:color="auto"/>
            </w:tcBorders>
            <w:shd w:val="clear" w:color="auto" w:fill="BFBFBF"/>
          </w:tcPr>
          <w:p w14:paraId="7296FE11" w14:textId="77777777" w:rsidR="00BB7F52" w:rsidRPr="00020C88" w:rsidRDefault="00BB7F52"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Dopad na príjmy verejnej správy celkom</w:t>
            </w:r>
          </w:p>
        </w:tc>
        <w:tc>
          <w:tcPr>
            <w:tcW w:w="1196" w:type="dxa"/>
            <w:tcBorders>
              <w:top w:val="nil"/>
              <w:left w:val="nil"/>
              <w:bottom w:val="single" w:sz="4" w:space="0" w:color="auto"/>
              <w:right w:val="single" w:sz="4" w:space="0" w:color="auto"/>
            </w:tcBorders>
            <w:shd w:val="clear" w:color="auto" w:fill="BFBFBF"/>
          </w:tcPr>
          <w:p w14:paraId="259DC7F7" w14:textId="77777777" w:rsidR="00BB7F52" w:rsidRPr="00020C88" w:rsidRDefault="00BB7F52" w:rsidP="00CB750F">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shd w:val="clear" w:color="auto" w:fill="BFBFBF"/>
          </w:tcPr>
          <w:p w14:paraId="310D16E3" w14:textId="77777777" w:rsidR="00BB7F52" w:rsidRPr="00020C88" w:rsidRDefault="00BB7F52" w:rsidP="00CB750F">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shd w:val="clear" w:color="auto" w:fill="BFBFBF"/>
          </w:tcPr>
          <w:p w14:paraId="5E33D93B" w14:textId="77777777" w:rsidR="00BB7F52" w:rsidRPr="00020C88" w:rsidRDefault="00BB7F52" w:rsidP="00CB750F">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shd w:val="clear" w:color="auto" w:fill="BFBFBF"/>
          </w:tcPr>
          <w:p w14:paraId="06219350" w14:textId="77777777" w:rsidR="00BB7F52" w:rsidRPr="00020C88" w:rsidRDefault="00BB7F52" w:rsidP="00CB750F">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shd w:val="clear" w:color="auto" w:fill="BFBFBF"/>
            <w:noWrap/>
            <w:vAlign w:val="bottom"/>
          </w:tcPr>
          <w:p w14:paraId="511D2699" w14:textId="77777777" w:rsidR="00BB7F52" w:rsidRPr="00020C88" w:rsidRDefault="00BB7F52"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bl>
    <w:p w14:paraId="0068C4D2" w14:textId="0937F89C" w:rsidR="00B801F3" w:rsidRPr="00020C88" w:rsidRDefault="00B801F3" w:rsidP="00CB750F">
      <w:pPr>
        <w:tabs>
          <w:tab w:val="num" w:pos="1080"/>
        </w:tabs>
        <w:spacing w:after="0" w:line="240" w:lineRule="auto"/>
        <w:jc w:val="both"/>
        <w:rPr>
          <w:rFonts w:ascii="Times New Roman" w:hAnsi="Times New Roman"/>
          <w:bCs/>
          <w:sz w:val="20"/>
          <w:szCs w:val="20"/>
        </w:rPr>
      </w:pPr>
    </w:p>
    <w:p w14:paraId="43492421" w14:textId="355F343A" w:rsidR="00BB7F52" w:rsidRPr="00020C88" w:rsidRDefault="00BB7F52" w:rsidP="00CB750F">
      <w:pPr>
        <w:tabs>
          <w:tab w:val="num" w:pos="1080"/>
        </w:tabs>
        <w:spacing w:after="0" w:line="240" w:lineRule="auto"/>
        <w:jc w:val="both"/>
        <w:rPr>
          <w:rFonts w:ascii="Times New Roman" w:hAnsi="Times New Roman"/>
          <w:bCs/>
          <w:sz w:val="20"/>
          <w:szCs w:val="20"/>
        </w:rPr>
      </w:pPr>
    </w:p>
    <w:p w14:paraId="20636BB1" w14:textId="7ABF2910" w:rsidR="00BB7F52" w:rsidRPr="00020C88" w:rsidRDefault="00BB7F52" w:rsidP="00CB750F">
      <w:pPr>
        <w:tabs>
          <w:tab w:val="num" w:pos="1080"/>
        </w:tabs>
        <w:spacing w:after="0" w:line="240" w:lineRule="auto"/>
        <w:jc w:val="both"/>
        <w:rPr>
          <w:rFonts w:ascii="Times New Roman" w:hAnsi="Times New Roman"/>
          <w:bCs/>
          <w:sz w:val="20"/>
          <w:szCs w:val="20"/>
        </w:rPr>
      </w:pPr>
    </w:p>
    <w:p w14:paraId="12974F37" w14:textId="2DAFB993" w:rsidR="00BB7F52" w:rsidRPr="00020C88" w:rsidRDefault="00BB7F52" w:rsidP="00CB750F">
      <w:pPr>
        <w:tabs>
          <w:tab w:val="num" w:pos="1080"/>
        </w:tabs>
        <w:spacing w:after="0" w:line="240" w:lineRule="auto"/>
        <w:jc w:val="both"/>
        <w:rPr>
          <w:rFonts w:ascii="Times New Roman" w:hAnsi="Times New Roman"/>
          <w:bCs/>
          <w:sz w:val="20"/>
          <w:szCs w:val="20"/>
        </w:rPr>
      </w:pPr>
    </w:p>
    <w:p w14:paraId="496F06CE" w14:textId="5A9CD4F4" w:rsidR="00BB7F52" w:rsidRPr="00020C88" w:rsidRDefault="00BB7F52" w:rsidP="00CB750F">
      <w:pPr>
        <w:tabs>
          <w:tab w:val="num" w:pos="1080"/>
        </w:tabs>
        <w:spacing w:after="0" w:line="240" w:lineRule="auto"/>
        <w:jc w:val="both"/>
        <w:rPr>
          <w:rFonts w:ascii="Times New Roman" w:hAnsi="Times New Roman"/>
          <w:bCs/>
          <w:sz w:val="20"/>
          <w:szCs w:val="20"/>
        </w:rPr>
      </w:pPr>
    </w:p>
    <w:p w14:paraId="4DA27A51" w14:textId="5BE5B1EC" w:rsidR="00BB7F52" w:rsidRPr="00020C88" w:rsidRDefault="00BB7F52" w:rsidP="00CB750F">
      <w:pPr>
        <w:tabs>
          <w:tab w:val="num" w:pos="1080"/>
        </w:tabs>
        <w:spacing w:after="0" w:line="240" w:lineRule="auto"/>
        <w:jc w:val="both"/>
        <w:rPr>
          <w:rFonts w:ascii="Times New Roman" w:hAnsi="Times New Roman"/>
          <w:bCs/>
          <w:sz w:val="20"/>
          <w:szCs w:val="20"/>
        </w:rPr>
      </w:pPr>
    </w:p>
    <w:p w14:paraId="15E7A28C" w14:textId="5344AA4D" w:rsidR="00BB7F52" w:rsidRPr="00020C88" w:rsidRDefault="00BB7F52" w:rsidP="00CB750F">
      <w:pPr>
        <w:tabs>
          <w:tab w:val="num" w:pos="1080"/>
        </w:tabs>
        <w:spacing w:after="0" w:line="240" w:lineRule="auto"/>
        <w:jc w:val="both"/>
        <w:rPr>
          <w:rFonts w:ascii="Times New Roman" w:hAnsi="Times New Roman"/>
          <w:bCs/>
          <w:sz w:val="20"/>
          <w:szCs w:val="20"/>
        </w:rPr>
      </w:pPr>
    </w:p>
    <w:p w14:paraId="0C46315B" w14:textId="037D26D4" w:rsidR="00BB7F52" w:rsidRPr="00020C88" w:rsidRDefault="00BB7F52" w:rsidP="00CB750F">
      <w:pPr>
        <w:tabs>
          <w:tab w:val="num" w:pos="1080"/>
        </w:tabs>
        <w:spacing w:after="0" w:line="240" w:lineRule="auto"/>
        <w:jc w:val="both"/>
        <w:rPr>
          <w:rFonts w:ascii="Times New Roman" w:hAnsi="Times New Roman"/>
          <w:bCs/>
          <w:sz w:val="20"/>
          <w:szCs w:val="20"/>
        </w:rPr>
      </w:pPr>
    </w:p>
    <w:p w14:paraId="73475819" w14:textId="0E6D2C1B" w:rsidR="00BB7F52" w:rsidRPr="00020C88" w:rsidRDefault="00BB7F52" w:rsidP="00CB750F">
      <w:pPr>
        <w:tabs>
          <w:tab w:val="num" w:pos="1080"/>
        </w:tabs>
        <w:spacing w:after="0" w:line="240" w:lineRule="auto"/>
        <w:jc w:val="both"/>
        <w:rPr>
          <w:rFonts w:ascii="Times New Roman" w:hAnsi="Times New Roman"/>
          <w:bCs/>
          <w:sz w:val="20"/>
          <w:szCs w:val="20"/>
        </w:rPr>
      </w:pPr>
    </w:p>
    <w:p w14:paraId="0D41CA20" w14:textId="20BB2BF4" w:rsidR="00BB7F52" w:rsidRPr="00020C88" w:rsidRDefault="00BB7F52" w:rsidP="00CB750F">
      <w:pPr>
        <w:tabs>
          <w:tab w:val="num" w:pos="1080"/>
        </w:tabs>
        <w:spacing w:after="0" w:line="240" w:lineRule="auto"/>
        <w:jc w:val="both"/>
        <w:rPr>
          <w:rFonts w:ascii="Times New Roman" w:hAnsi="Times New Roman"/>
          <w:bCs/>
          <w:sz w:val="20"/>
          <w:szCs w:val="20"/>
        </w:rPr>
      </w:pPr>
    </w:p>
    <w:p w14:paraId="4791E2D1" w14:textId="4837B72E" w:rsidR="00BB7F52" w:rsidRPr="00020C88" w:rsidRDefault="00BB7F52" w:rsidP="00CB750F">
      <w:pPr>
        <w:tabs>
          <w:tab w:val="num" w:pos="1080"/>
        </w:tabs>
        <w:spacing w:after="0" w:line="240" w:lineRule="auto"/>
        <w:jc w:val="both"/>
        <w:rPr>
          <w:rFonts w:ascii="Times New Roman" w:hAnsi="Times New Roman"/>
          <w:bCs/>
          <w:sz w:val="20"/>
          <w:szCs w:val="20"/>
        </w:rPr>
      </w:pPr>
    </w:p>
    <w:p w14:paraId="1C7B4C36" w14:textId="04ADB053" w:rsidR="00BB7F52" w:rsidRPr="00020C88" w:rsidRDefault="00BB7F52" w:rsidP="00CB750F">
      <w:pPr>
        <w:tabs>
          <w:tab w:val="num" w:pos="1080"/>
        </w:tabs>
        <w:spacing w:after="0" w:line="240" w:lineRule="auto"/>
        <w:jc w:val="both"/>
        <w:rPr>
          <w:rFonts w:ascii="Times New Roman" w:hAnsi="Times New Roman"/>
          <w:bCs/>
          <w:sz w:val="20"/>
          <w:szCs w:val="20"/>
        </w:rPr>
      </w:pPr>
    </w:p>
    <w:p w14:paraId="16520672" w14:textId="77777777" w:rsidR="00BB7F52" w:rsidRPr="00020C88" w:rsidRDefault="00BB7F52" w:rsidP="00CB750F">
      <w:pPr>
        <w:tabs>
          <w:tab w:val="num" w:pos="1080"/>
        </w:tabs>
        <w:spacing w:after="0" w:line="240" w:lineRule="auto"/>
        <w:jc w:val="both"/>
        <w:rPr>
          <w:rFonts w:ascii="Times New Roman" w:hAnsi="Times New Roman"/>
          <w:bCs/>
          <w:sz w:val="20"/>
          <w:szCs w:val="20"/>
        </w:rPr>
      </w:pPr>
    </w:p>
    <w:p w14:paraId="5E13338E" w14:textId="77777777" w:rsidR="00656F4B" w:rsidRPr="00020C88" w:rsidRDefault="00656F4B" w:rsidP="00CB750F">
      <w:pPr>
        <w:tabs>
          <w:tab w:val="num" w:pos="1080"/>
        </w:tabs>
        <w:spacing w:after="0" w:line="240" w:lineRule="auto"/>
        <w:jc w:val="both"/>
        <w:rPr>
          <w:rFonts w:ascii="Times New Roman" w:hAnsi="Times New Roman"/>
          <w:bCs/>
          <w:sz w:val="20"/>
          <w:szCs w:val="20"/>
        </w:rPr>
      </w:pPr>
      <w:r w:rsidRPr="00020C88">
        <w:rPr>
          <w:rFonts w:ascii="Times New Roman" w:hAnsi="Times New Roman"/>
          <w:bCs/>
          <w:sz w:val="20"/>
          <w:szCs w:val="20"/>
        </w:rPr>
        <w:t>1 –  príjmy rozpísať až do položiek platnej ekonomickej klasifikácie</w:t>
      </w:r>
    </w:p>
    <w:p w14:paraId="1E5F8C8E" w14:textId="77777777" w:rsidR="00656F4B" w:rsidRPr="00020C88" w:rsidRDefault="00656F4B" w:rsidP="00CB750F">
      <w:pPr>
        <w:tabs>
          <w:tab w:val="num" w:pos="1080"/>
        </w:tabs>
        <w:spacing w:after="0" w:line="240" w:lineRule="auto"/>
        <w:jc w:val="both"/>
        <w:rPr>
          <w:rFonts w:ascii="Times New Roman" w:hAnsi="Times New Roman"/>
          <w:b/>
          <w:bCs/>
          <w:sz w:val="20"/>
          <w:szCs w:val="20"/>
        </w:rPr>
      </w:pPr>
      <w:r w:rsidRPr="00020C88">
        <w:rPr>
          <w:rFonts w:ascii="Times New Roman" w:hAnsi="Times New Roman"/>
          <w:b/>
          <w:bCs/>
          <w:sz w:val="20"/>
          <w:szCs w:val="20"/>
        </w:rPr>
        <w:t>Poznámka:</w:t>
      </w:r>
    </w:p>
    <w:p w14:paraId="529FF329" w14:textId="77777777" w:rsidR="00656F4B" w:rsidRPr="00020C88" w:rsidRDefault="00656F4B" w:rsidP="00CB750F">
      <w:pPr>
        <w:tabs>
          <w:tab w:val="num" w:pos="1080"/>
        </w:tabs>
        <w:spacing w:after="0" w:line="240" w:lineRule="auto"/>
        <w:jc w:val="both"/>
        <w:rPr>
          <w:rFonts w:ascii="Times New Roman" w:hAnsi="Times New Roman"/>
          <w:bCs/>
          <w:sz w:val="20"/>
          <w:szCs w:val="20"/>
        </w:rPr>
      </w:pPr>
      <w:r w:rsidRPr="00020C88">
        <w:rPr>
          <w:rFonts w:ascii="Times New Roman" w:hAnsi="Times New Roman"/>
          <w:bCs/>
          <w:sz w:val="20"/>
          <w:szCs w:val="20"/>
        </w:rPr>
        <w:t>Ak sa vplyv týka viacerých subjektov verejnej správy, vypĺňa sa samostatná tabuľka za každý subjekt.</w:t>
      </w:r>
    </w:p>
    <w:p w14:paraId="05305570" w14:textId="77777777" w:rsidR="00656F4B" w:rsidRPr="00020C88" w:rsidRDefault="00656F4B" w:rsidP="00CB750F">
      <w:pPr>
        <w:tabs>
          <w:tab w:val="num" w:pos="1080"/>
        </w:tabs>
        <w:spacing w:after="0" w:line="240" w:lineRule="auto"/>
        <w:ind w:right="-578"/>
        <w:jc w:val="both"/>
        <w:rPr>
          <w:rFonts w:ascii="Times New Roman" w:hAnsi="Times New Roman"/>
          <w:bCs/>
          <w:sz w:val="20"/>
          <w:szCs w:val="20"/>
        </w:rPr>
      </w:pPr>
    </w:p>
    <w:p w14:paraId="2A4A6AF4" w14:textId="77777777" w:rsidR="00656F4B" w:rsidRPr="00020C88" w:rsidRDefault="00656F4B" w:rsidP="00CB750F">
      <w:pPr>
        <w:tabs>
          <w:tab w:val="num" w:pos="1080"/>
        </w:tabs>
        <w:spacing w:after="0" w:line="240" w:lineRule="auto"/>
        <w:ind w:right="-32"/>
        <w:jc w:val="both"/>
        <w:rPr>
          <w:rFonts w:ascii="Times New Roman" w:hAnsi="Times New Roman"/>
          <w:bCs/>
          <w:sz w:val="20"/>
          <w:szCs w:val="20"/>
        </w:rPr>
      </w:pPr>
      <w:r w:rsidRPr="00020C88">
        <w:rPr>
          <w:rFonts w:ascii="Times New Roman" w:hAnsi="Times New Roman"/>
          <w:bCs/>
          <w:sz w:val="20"/>
          <w:szCs w:val="20"/>
        </w:rPr>
        <w:t xml:space="preserve">Tabuľka č. 4 </w:t>
      </w:r>
    </w:p>
    <w:p w14:paraId="03F5CE23" w14:textId="77777777" w:rsidR="00656F4B" w:rsidRPr="00020C88" w:rsidRDefault="00656F4B" w:rsidP="00CB750F">
      <w:pPr>
        <w:tabs>
          <w:tab w:val="num" w:pos="1080"/>
        </w:tabs>
        <w:spacing w:after="0" w:line="240" w:lineRule="auto"/>
        <w:jc w:val="both"/>
        <w:rPr>
          <w:rFonts w:ascii="Times New Roman" w:hAnsi="Times New Roman"/>
          <w:bCs/>
          <w:sz w:val="20"/>
          <w:szCs w:val="20"/>
        </w:rPr>
      </w:pPr>
    </w:p>
    <w:tbl>
      <w:tblPr>
        <w:tblpPr w:leftFromText="141" w:rightFromText="141" w:vertAnchor="text" w:horzAnchor="page" w:tblpX="629" w:tblpY="2"/>
        <w:tblW w:w="12469" w:type="dxa"/>
        <w:tblCellMar>
          <w:left w:w="70" w:type="dxa"/>
          <w:right w:w="70" w:type="dxa"/>
        </w:tblCellMar>
        <w:tblLook w:val="0000" w:firstRow="0" w:lastRow="0" w:firstColumn="0" w:lastColumn="0" w:noHBand="0" w:noVBand="0"/>
      </w:tblPr>
      <w:tblGrid>
        <w:gridCol w:w="4815"/>
        <w:gridCol w:w="1152"/>
        <w:gridCol w:w="1067"/>
        <w:gridCol w:w="1067"/>
        <w:gridCol w:w="1068"/>
        <w:gridCol w:w="3300"/>
      </w:tblGrid>
      <w:tr w:rsidR="00656F4B" w:rsidRPr="00020C88" w14:paraId="26AB23AD" w14:textId="77777777" w:rsidTr="00762B0D">
        <w:trPr>
          <w:cantSplit/>
          <w:trHeight w:val="229"/>
        </w:trPr>
        <w:tc>
          <w:tcPr>
            <w:tcW w:w="4815"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7F1D0BC"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Výdavky (v eurách)</w:t>
            </w:r>
          </w:p>
        </w:tc>
        <w:tc>
          <w:tcPr>
            <w:tcW w:w="4354" w:type="dxa"/>
            <w:gridSpan w:val="4"/>
            <w:tcBorders>
              <w:top w:val="single" w:sz="4" w:space="0" w:color="auto"/>
              <w:left w:val="nil"/>
              <w:bottom w:val="single" w:sz="4" w:space="0" w:color="auto"/>
              <w:right w:val="single" w:sz="4" w:space="0" w:color="auto"/>
            </w:tcBorders>
            <w:shd w:val="clear" w:color="auto" w:fill="BFBFBF"/>
          </w:tcPr>
          <w:p w14:paraId="62E182BA"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Vplyv na rozpočet verejnej správy</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0610FE3"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poznámka</w:t>
            </w:r>
          </w:p>
        </w:tc>
      </w:tr>
      <w:tr w:rsidR="00656F4B" w:rsidRPr="00020C88" w14:paraId="457CBAAC" w14:textId="77777777" w:rsidTr="00762B0D">
        <w:trPr>
          <w:cantSplit/>
          <w:trHeight w:val="229"/>
        </w:trPr>
        <w:tc>
          <w:tcPr>
            <w:tcW w:w="4815" w:type="dxa"/>
            <w:vMerge/>
            <w:tcBorders>
              <w:top w:val="single" w:sz="4" w:space="0" w:color="auto"/>
              <w:left w:val="single" w:sz="4" w:space="0" w:color="auto"/>
              <w:bottom w:val="single" w:sz="4" w:space="0" w:color="000000"/>
              <w:right w:val="single" w:sz="4" w:space="0" w:color="auto"/>
            </w:tcBorders>
            <w:vAlign w:val="center"/>
          </w:tcPr>
          <w:p w14:paraId="0E845DC6" w14:textId="77777777" w:rsidR="00656F4B" w:rsidRPr="00020C88" w:rsidRDefault="00656F4B" w:rsidP="00CB750F">
            <w:pPr>
              <w:spacing w:after="0" w:line="240" w:lineRule="auto"/>
              <w:jc w:val="both"/>
              <w:rPr>
                <w:rFonts w:ascii="Times New Roman" w:hAnsi="Times New Roman"/>
                <w:b/>
                <w:bCs/>
                <w:color w:val="FFFFFF"/>
                <w:sz w:val="20"/>
                <w:szCs w:val="20"/>
              </w:rPr>
            </w:pPr>
          </w:p>
        </w:tc>
        <w:tc>
          <w:tcPr>
            <w:tcW w:w="1152" w:type="dxa"/>
            <w:tcBorders>
              <w:top w:val="nil"/>
              <w:left w:val="nil"/>
              <w:bottom w:val="single" w:sz="4" w:space="0" w:color="auto"/>
              <w:right w:val="single" w:sz="4" w:space="0" w:color="auto"/>
            </w:tcBorders>
            <w:shd w:val="clear" w:color="auto" w:fill="BFBFBF"/>
          </w:tcPr>
          <w:p w14:paraId="070E2018"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2019</w:t>
            </w:r>
          </w:p>
        </w:tc>
        <w:tc>
          <w:tcPr>
            <w:tcW w:w="1067" w:type="dxa"/>
            <w:tcBorders>
              <w:top w:val="nil"/>
              <w:left w:val="nil"/>
              <w:bottom w:val="single" w:sz="4" w:space="0" w:color="auto"/>
              <w:right w:val="single" w:sz="4" w:space="0" w:color="auto"/>
            </w:tcBorders>
            <w:shd w:val="clear" w:color="auto" w:fill="BFBFBF"/>
          </w:tcPr>
          <w:p w14:paraId="43F1DDCF"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2020</w:t>
            </w:r>
          </w:p>
        </w:tc>
        <w:tc>
          <w:tcPr>
            <w:tcW w:w="1067" w:type="dxa"/>
            <w:tcBorders>
              <w:top w:val="nil"/>
              <w:left w:val="nil"/>
              <w:bottom w:val="single" w:sz="4" w:space="0" w:color="auto"/>
              <w:right w:val="single" w:sz="4" w:space="0" w:color="auto"/>
            </w:tcBorders>
            <w:shd w:val="clear" w:color="auto" w:fill="BFBFBF"/>
          </w:tcPr>
          <w:p w14:paraId="30D724AB"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2021</w:t>
            </w:r>
          </w:p>
        </w:tc>
        <w:tc>
          <w:tcPr>
            <w:tcW w:w="1068" w:type="dxa"/>
            <w:tcBorders>
              <w:top w:val="nil"/>
              <w:left w:val="nil"/>
              <w:bottom w:val="single" w:sz="4" w:space="0" w:color="auto"/>
              <w:right w:val="single" w:sz="4" w:space="0" w:color="auto"/>
            </w:tcBorders>
            <w:shd w:val="clear" w:color="auto" w:fill="BFBFBF"/>
          </w:tcPr>
          <w:p w14:paraId="48A67F20"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2022</w:t>
            </w:r>
          </w:p>
        </w:tc>
        <w:tc>
          <w:tcPr>
            <w:tcW w:w="3300" w:type="dxa"/>
            <w:vMerge/>
            <w:tcBorders>
              <w:top w:val="single" w:sz="4" w:space="0" w:color="auto"/>
              <w:left w:val="single" w:sz="4" w:space="0" w:color="auto"/>
              <w:bottom w:val="single" w:sz="4" w:space="0" w:color="auto"/>
              <w:right w:val="single" w:sz="4" w:space="0" w:color="auto"/>
            </w:tcBorders>
            <w:vAlign w:val="center"/>
          </w:tcPr>
          <w:p w14:paraId="3667C1A5" w14:textId="77777777" w:rsidR="00656F4B" w:rsidRPr="00020C88" w:rsidRDefault="00656F4B" w:rsidP="00CB750F">
            <w:pPr>
              <w:spacing w:after="0" w:line="240" w:lineRule="auto"/>
              <w:jc w:val="both"/>
              <w:rPr>
                <w:rFonts w:ascii="Times New Roman" w:hAnsi="Times New Roman"/>
                <w:b/>
                <w:bCs/>
                <w:color w:val="FFFFFF"/>
                <w:sz w:val="20"/>
                <w:szCs w:val="20"/>
              </w:rPr>
            </w:pPr>
          </w:p>
        </w:tc>
      </w:tr>
      <w:tr w:rsidR="00656F4B" w:rsidRPr="00020C88" w14:paraId="27CD8FAA" w14:textId="77777777" w:rsidTr="00762B0D">
        <w:trPr>
          <w:trHeight w:val="229"/>
        </w:trPr>
        <w:tc>
          <w:tcPr>
            <w:tcW w:w="4815" w:type="dxa"/>
            <w:tcBorders>
              <w:top w:val="nil"/>
              <w:left w:val="single" w:sz="4" w:space="0" w:color="auto"/>
              <w:bottom w:val="single" w:sz="4" w:space="0" w:color="auto"/>
              <w:right w:val="single" w:sz="4" w:space="0" w:color="auto"/>
            </w:tcBorders>
          </w:tcPr>
          <w:p w14:paraId="5D122941"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Bežné výdavky (600)</w:t>
            </w:r>
          </w:p>
        </w:tc>
        <w:tc>
          <w:tcPr>
            <w:tcW w:w="1152" w:type="dxa"/>
            <w:tcBorders>
              <w:top w:val="nil"/>
              <w:left w:val="nil"/>
              <w:bottom w:val="single" w:sz="4" w:space="0" w:color="auto"/>
              <w:right w:val="single" w:sz="4" w:space="0" w:color="auto"/>
            </w:tcBorders>
          </w:tcPr>
          <w:p w14:paraId="1CC59B7A" w14:textId="77777777" w:rsidR="00656F4B" w:rsidRPr="00020C88" w:rsidRDefault="00656F4B" w:rsidP="00CB750F">
            <w:pPr>
              <w:spacing w:after="0" w:line="240" w:lineRule="auto"/>
              <w:jc w:val="both"/>
              <w:rPr>
                <w:rFonts w:ascii="Times New Roman" w:hAnsi="Times New Roman"/>
                <w:b/>
                <w:bCs/>
                <w:sz w:val="20"/>
                <w:szCs w:val="20"/>
              </w:rPr>
            </w:pPr>
          </w:p>
        </w:tc>
        <w:tc>
          <w:tcPr>
            <w:tcW w:w="1067" w:type="dxa"/>
            <w:tcBorders>
              <w:top w:val="nil"/>
              <w:left w:val="nil"/>
              <w:bottom w:val="single" w:sz="4" w:space="0" w:color="auto"/>
              <w:right w:val="single" w:sz="4" w:space="0" w:color="auto"/>
            </w:tcBorders>
          </w:tcPr>
          <w:p w14:paraId="63EA4A45" w14:textId="77777777" w:rsidR="00656F4B" w:rsidRPr="00020C88" w:rsidRDefault="00656F4B" w:rsidP="00CB750F">
            <w:pPr>
              <w:spacing w:after="0" w:line="240" w:lineRule="auto"/>
              <w:jc w:val="both"/>
              <w:rPr>
                <w:rFonts w:ascii="Times New Roman" w:hAnsi="Times New Roman"/>
                <w:b/>
                <w:bCs/>
                <w:sz w:val="20"/>
                <w:szCs w:val="20"/>
              </w:rPr>
            </w:pPr>
          </w:p>
        </w:tc>
        <w:tc>
          <w:tcPr>
            <w:tcW w:w="1067" w:type="dxa"/>
            <w:tcBorders>
              <w:top w:val="nil"/>
              <w:left w:val="nil"/>
              <w:bottom w:val="single" w:sz="4" w:space="0" w:color="auto"/>
              <w:right w:val="single" w:sz="4" w:space="0" w:color="auto"/>
            </w:tcBorders>
          </w:tcPr>
          <w:p w14:paraId="2E3026B0" w14:textId="77777777" w:rsidR="00656F4B" w:rsidRPr="00020C88" w:rsidRDefault="00656F4B" w:rsidP="00CB750F">
            <w:pPr>
              <w:spacing w:after="0" w:line="240" w:lineRule="auto"/>
              <w:jc w:val="both"/>
              <w:rPr>
                <w:rFonts w:ascii="Times New Roman" w:hAnsi="Times New Roman"/>
                <w:b/>
                <w:bCs/>
                <w:sz w:val="20"/>
                <w:szCs w:val="20"/>
              </w:rPr>
            </w:pPr>
          </w:p>
        </w:tc>
        <w:tc>
          <w:tcPr>
            <w:tcW w:w="1068" w:type="dxa"/>
            <w:tcBorders>
              <w:top w:val="nil"/>
              <w:left w:val="nil"/>
              <w:bottom w:val="single" w:sz="4" w:space="0" w:color="auto"/>
              <w:right w:val="single" w:sz="4" w:space="0" w:color="auto"/>
            </w:tcBorders>
          </w:tcPr>
          <w:p w14:paraId="0848FDD1" w14:textId="77777777" w:rsidR="00656F4B" w:rsidRPr="00020C88" w:rsidRDefault="00656F4B" w:rsidP="00CB750F">
            <w:pPr>
              <w:spacing w:after="0" w:line="240" w:lineRule="auto"/>
              <w:jc w:val="both"/>
              <w:rPr>
                <w:rFonts w:ascii="Times New Roman" w:hAnsi="Times New Roman"/>
                <w:b/>
                <w:bCs/>
                <w:sz w:val="20"/>
                <w:szCs w:val="20"/>
              </w:rPr>
            </w:pPr>
          </w:p>
        </w:tc>
        <w:tc>
          <w:tcPr>
            <w:tcW w:w="3300" w:type="dxa"/>
            <w:tcBorders>
              <w:top w:val="nil"/>
              <w:left w:val="nil"/>
              <w:bottom w:val="single" w:sz="4" w:space="0" w:color="auto"/>
              <w:right w:val="single" w:sz="4" w:space="0" w:color="auto"/>
            </w:tcBorders>
            <w:noWrap/>
            <w:vAlign w:val="bottom"/>
          </w:tcPr>
          <w:p w14:paraId="733DE02A"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6F03ED7B" w14:textId="77777777" w:rsidTr="00762B0D">
        <w:trPr>
          <w:trHeight w:val="229"/>
        </w:trPr>
        <w:tc>
          <w:tcPr>
            <w:tcW w:w="4815" w:type="dxa"/>
            <w:tcBorders>
              <w:top w:val="nil"/>
              <w:left w:val="single" w:sz="4" w:space="0" w:color="auto"/>
              <w:bottom w:val="single" w:sz="4" w:space="0" w:color="auto"/>
              <w:right w:val="single" w:sz="4" w:space="0" w:color="auto"/>
            </w:tcBorders>
          </w:tcPr>
          <w:p w14:paraId="140D2F86"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  Mzdy, platy, služobné príjmy a ostatné osobné vyrovnania (610)</w:t>
            </w:r>
          </w:p>
        </w:tc>
        <w:tc>
          <w:tcPr>
            <w:tcW w:w="1152" w:type="dxa"/>
            <w:tcBorders>
              <w:top w:val="nil"/>
              <w:left w:val="nil"/>
              <w:bottom w:val="single" w:sz="4" w:space="0" w:color="auto"/>
              <w:right w:val="single" w:sz="4" w:space="0" w:color="auto"/>
            </w:tcBorders>
          </w:tcPr>
          <w:p w14:paraId="58E4D516" w14:textId="77777777" w:rsidR="00656F4B" w:rsidRPr="00020C88" w:rsidRDefault="00656F4B" w:rsidP="00CB750F">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5DCF89AD" w14:textId="77777777" w:rsidR="00656F4B" w:rsidRPr="00020C88" w:rsidRDefault="00656F4B" w:rsidP="00CB750F">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7DE1A622" w14:textId="77777777" w:rsidR="00656F4B" w:rsidRPr="00020C88" w:rsidRDefault="00656F4B" w:rsidP="00CB750F">
            <w:pPr>
              <w:spacing w:after="0" w:line="240" w:lineRule="auto"/>
              <w:jc w:val="both"/>
              <w:rPr>
                <w:rFonts w:ascii="Times New Roman" w:hAnsi="Times New Roman"/>
                <w:sz w:val="20"/>
                <w:szCs w:val="20"/>
              </w:rPr>
            </w:pPr>
          </w:p>
        </w:tc>
        <w:tc>
          <w:tcPr>
            <w:tcW w:w="1068" w:type="dxa"/>
            <w:tcBorders>
              <w:top w:val="nil"/>
              <w:left w:val="nil"/>
              <w:bottom w:val="single" w:sz="4" w:space="0" w:color="auto"/>
              <w:right w:val="single" w:sz="4" w:space="0" w:color="auto"/>
            </w:tcBorders>
          </w:tcPr>
          <w:p w14:paraId="54AF62F5" w14:textId="77777777" w:rsidR="00656F4B" w:rsidRPr="00020C88" w:rsidRDefault="00656F4B" w:rsidP="00CB750F">
            <w:pPr>
              <w:spacing w:after="0" w:line="240" w:lineRule="auto"/>
              <w:jc w:val="both"/>
              <w:rPr>
                <w:rFonts w:ascii="Times New Roman" w:hAnsi="Times New Roman"/>
                <w:sz w:val="20"/>
                <w:szCs w:val="20"/>
              </w:rPr>
            </w:pPr>
          </w:p>
        </w:tc>
        <w:tc>
          <w:tcPr>
            <w:tcW w:w="3300" w:type="dxa"/>
            <w:tcBorders>
              <w:top w:val="nil"/>
              <w:left w:val="nil"/>
              <w:bottom w:val="single" w:sz="4" w:space="0" w:color="auto"/>
              <w:right w:val="single" w:sz="4" w:space="0" w:color="auto"/>
            </w:tcBorders>
            <w:noWrap/>
            <w:vAlign w:val="bottom"/>
          </w:tcPr>
          <w:p w14:paraId="67742D8A"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44CE89E5" w14:textId="77777777" w:rsidTr="00762B0D">
        <w:trPr>
          <w:trHeight w:val="229"/>
        </w:trPr>
        <w:tc>
          <w:tcPr>
            <w:tcW w:w="4815" w:type="dxa"/>
            <w:tcBorders>
              <w:top w:val="nil"/>
              <w:left w:val="single" w:sz="4" w:space="0" w:color="auto"/>
              <w:bottom w:val="single" w:sz="4" w:space="0" w:color="auto"/>
              <w:right w:val="single" w:sz="4" w:space="0" w:color="auto"/>
            </w:tcBorders>
          </w:tcPr>
          <w:p w14:paraId="04BA8C89" w14:textId="77777777" w:rsidR="00656F4B" w:rsidRPr="00020C88" w:rsidRDefault="00656F4B" w:rsidP="00CB750F">
            <w:pPr>
              <w:spacing w:after="0" w:line="240" w:lineRule="auto"/>
              <w:jc w:val="both"/>
              <w:rPr>
                <w:rFonts w:ascii="Times New Roman" w:hAnsi="Times New Roman"/>
                <w:sz w:val="20"/>
                <w:szCs w:val="20"/>
                <w:vertAlign w:val="superscript"/>
              </w:rPr>
            </w:pPr>
            <w:r w:rsidRPr="00020C88">
              <w:rPr>
                <w:rFonts w:ascii="Times New Roman" w:hAnsi="Times New Roman"/>
                <w:sz w:val="20"/>
                <w:szCs w:val="20"/>
              </w:rPr>
              <w:t xml:space="preserve">  Poistné a príspevok do poisťovní (620)</w:t>
            </w:r>
          </w:p>
        </w:tc>
        <w:tc>
          <w:tcPr>
            <w:tcW w:w="1152" w:type="dxa"/>
            <w:tcBorders>
              <w:top w:val="nil"/>
              <w:left w:val="nil"/>
              <w:bottom w:val="single" w:sz="4" w:space="0" w:color="auto"/>
              <w:right w:val="single" w:sz="4" w:space="0" w:color="auto"/>
            </w:tcBorders>
          </w:tcPr>
          <w:p w14:paraId="03AE1933" w14:textId="77777777" w:rsidR="00656F4B" w:rsidRPr="00020C88" w:rsidRDefault="00656F4B" w:rsidP="00CB750F">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49095A32" w14:textId="77777777" w:rsidR="00656F4B" w:rsidRPr="00020C88" w:rsidRDefault="00656F4B" w:rsidP="00CB750F">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06D61180" w14:textId="77777777" w:rsidR="00656F4B" w:rsidRPr="00020C88" w:rsidRDefault="00656F4B" w:rsidP="00CB750F">
            <w:pPr>
              <w:spacing w:after="0" w:line="240" w:lineRule="auto"/>
              <w:jc w:val="both"/>
              <w:rPr>
                <w:rFonts w:ascii="Times New Roman" w:hAnsi="Times New Roman"/>
                <w:sz w:val="20"/>
                <w:szCs w:val="20"/>
              </w:rPr>
            </w:pPr>
          </w:p>
        </w:tc>
        <w:tc>
          <w:tcPr>
            <w:tcW w:w="1068" w:type="dxa"/>
            <w:tcBorders>
              <w:top w:val="nil"/>
              <w:left w:val="nil"/>
              <w:bottom w:val="single" w:sz="4" w:space="0" w:color="auto"/>
              <w:right w:val="single" w:sz="4" w:space="0" w:color="auto"/>
            </w:tcBorders>
          </w:tcPr>
          <w:p w14:paraId="5D6A0D1A" w14:textId="77777777" w:rsidR="00656F4B" w:rsidRPr="00020C88" w:rsidRDefault="00656F4B" w:rsidP="00CB750F">
            <w:pPr>
              <w:spacing w:after="0" w:line="240" w:lineRule="auto"/>
              <w:jc w:val="both"/>
              <w:rPr>
                <w:rFonts w:ascii="Times New Roman" w:hAnsi="Times New Roman"/>
                <w:sz w:val="20"/>
                <w:szCs w:val="20"/>
              </w:rPr>
            </w:pPr>
          </w:p>
        </w:tc>
        <w:tc>
          <w:tcPr>
            <w:tcW w:w="3300" w:type="dxa"/>
            <w:tcBorders>
              <w:top w:val="nil"/>
              <w:left w:val="nil"/>
              <w:bottom w:val="single" w:sz="4" w:space="0" w:color="auto"/>
              <w:right w:val="single" w:sz="4" w:space="0" w:color="auto"/>
            </w:tcBorders>
            <w:noWrap/>
            <w:vAlign w:val="bottom"/>
          </w:tcPr>
          <w:p w14:paraId="488581BA"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9E16F9" w:rsidRPr="00020C88" w14:paraId="4D95FCCE" w14:textId="77777777" w:rsidTr="00043791">
        <w:trPr>
          <w:trHeight w:val="229"/>
        </w:trPr>
        <w:tc>
          <w:tcPr>
            <w:tcW w:w="4815" w:type="dxa"/>
            <w:tcBorders>
              <w:top w:val="nil"/>
              <w:left w:val="single" w:sz="4" w:space="0" w:color="auto"/>
              <w:bottom w:val="single" w:sz="4" w:space="0" w:color="auto"/>
              <w:right w:val="single" w:sz="4" w:space="0" w:color="auto"/>
            </w:tcBorders>
          </w:tcPr>
          <w:p w14:paraId="428D016A" w14:textId="77777777" w:rsidR="009E16F9" w:rsidRPr="00020C88" w:rsidRDefault="009E16F9" w:rsidP="009E16F9">
            <w:pPr>
              <w:spacing w:after="0" w:line="240" w:lineRule="auto"/>
              <w:jc w:val="both"/>
              <w:rPr>
                <w:rFonts w:ascii="Times New Roman" w:hAnsi="Times New Roman"/>
                <w:sz w:val="20"/>
                <w:szCs w:val="20"/>
                <w:vertAlign w:val="superscript"/>
              </w:rPr>
            </w:pPr>
            <w:r w:rsidRPr="00020C88">
              <w:rPr>
                <w:rFonts w:ascii="Times New Roman" w:hAnsi="Times New Roman"/>
                <w:sz w:val="20"/>
                <w:szCs w:val="20"/>
              </w:rPr>
              <w:t xml:space="preserve">  Tovary a služby (630)</w:t>
            </w:r>
            <w:r w:rsidRPr="00020C88">
              <w:rPr>
                <w:rFonts w:ascii="Times New Roman" w:hAnsi="Times New Roman"/>
                <w:sz w:val="20"/>
                <w:szCs w:val="20"/>
                <w:vertAlign w:val="superscript"/>
              </w:rPr>
              <w:t>2</w:t>
            </w:r>
          </w:p>
        </w:tc>
        <w:tc>
          <w:tcPr>
            <w:tcW w:w="1152" w:type="dxa"/>
            <w:tcBorders>
              <w:top w:val="nil"/>
              <w:left w:val="nil"/>
              <w:bottom w:val="single" w:sz="8" w:space="0" w:color="auto"/>
              <w:right w:val="single" w:sz="8" w:space="0" w:color="auto"/>
            </w:tcBorders>
            <w:shd w:val="clear" w:color="auto" w:fill="auto"/>
          </w:tcPr>
          <w:p w14:paraId="367C1693" w14:textId="521DC944" w:rsidR="009E16F9" w:rsidRPr="00020C88" w:rsidRDefault="009E16F9" w:rsidP="009E16F9">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shd w:val="clear" w:color="auto" w:fill="auto"/>
            <w:vAlign w:val="center"/>
          </w:tcPr>
          <w:p w14:paraId="517AE1CA" w14:textId="0269CE05" w:rsidR="009E16F9" w:rsidRPr="00020C88" w:rsidRDefault="009E16F9" w:rsidP="009E16F9">
            <w:pPr>
              <w:spacing w:after="0" w:line="240" w:lineRule="auto"/>
              <w:jc w:val="both"/>
              <w:rPr>
                <w:rFonts w:ascii="Times New Roman" w:hAnsi="Times New Roman"/>
                <w:sz w:val="20"/>
                <w:szCs w:val="20"/>
              </w:rPr>
            </w:pPr>
            <w:r w:rsidRPr="00020C88">
              <w:rPr>
                <w:rFonts w:ascii="Times New Roman" w:hAnsi="Times New Roman"/>
                <w:b/>
                <w:bCs/>
                <w:color w:val="000000"/>
                <w:sz w:val="20"/>
                <w:szCs w:val="20"/>
                <w:lang w:eastAsia="sk-SK"/>
              </w:rPr>
              <w:t>8 562 624</w:t>
            </w:r>
          </w:p>
        </w:tc>
        <w:tc>
          <w:tcPr>
            <w:tcW w:w="1067" w:type="dxa"/>
            <w:tcBorders>
              <w:top w:val="nil"/>
              <w:left w:val="nil"/>
              <w:bottom w:val="single" w:sz="4" w:space="0" w:color="auto"/>
              <w:right w:val="single" w:sz="4" w:space="0" w:color="auto"/>
            </w:tcBorders>
            <w:shd w:val="clear" w:color="auto" w:fill="auto"/>
            <w:vAlign w:val="center"/>
          </w:tcPr>
          <w:p w14:paraId="7234DACC" w14:textId="1FBD3060" w:rsidR="009E16F9" w:rsidRPr="00020C88" w:rsidRDefault="009E16F9" w:rsidP="009E16F9">
            <w:pPr>
              <w:spacing w:after="0" w:line="240" w:lineRule="auto"/>
              <w:jc w:val="both"/>
              <w:rPr>
                <w:rFonts w:ascii="Times New Roman" w:hAnsi="Times New Roman"/>
                <w:sz w:val="20"/>
                <w:szCs w:val="20"/>
              </w:rPr>
            </w:pPr>
            <w:r w:rsidRPr="00020C88">
              <w:rPr>
                <w:rFonts w:ascii="Times New Roman" w:hAnsi="Times New Roman"/>
                <w:b/>
                <w:bCs/>
                <w:color w:val="000000"/>
                <w:sz w:val="20"/>
                <w:szCs w:val="20"/>
                <w:lang w:eastAsia="sk-SK"/>
              </w:rPr>
              <w:t>11 520 329</w:t>
            </w:r>
          </w:p>
        </w:tc>
        <w:tc>
          <w:tcPr>
            <w:tcW w:w="1068" w:type="dxa"/>
            <w:tcBorders>
              <w:top w:val="nil"/>
              <w:left w:val="nil"/>
              <w:bottom w:val="single" w:sz="4" w:space="0" w:color="auto"/>
              <w:right w:val="single" w:sz="4" w:space="0" w:color="auto"/>
            </w:tcBorders>
            <w:shd w:val="clear" w:color="auto" w:fill="auto"/>
            <w:vAlign w:val="center"/>
          </w:tcPr>
          <w:p w14:paraId="70BAAAD5" w14:textId="6274CDC0" w:rsidR="009E16F9" w:rsidRPr="00020C88" w:rsidRDefault="009E16F9" w:rsidP="009E16F9">
            <w:pPr>
              <w:spacing w:after="0" w:line="240" w:lineRule="auto"/>
              <w:jc w:val="both"/>
              <w:rPr>
                <w:rFonts w:ascii="Times New Roman" w:hAnsi="Times New Roman"/>
                <w:sz w:val="20"/>
                <w:szCs w:val="20"/>
              </w:rPr>
            </w:pPr>
            <w:r w:rsidRPr="00020C88">
              <w:rPr>
                <w:rFonts w:ascii="Times New Roman" w:hAnsi="Times New Roman"/>
                <w:b/>
                <w:bCs/>
                <w:color w:val="000000"/>
                <w:sz w:val="20"/>
                <w:szCs w:val="20"/>
                <w:lang w:eastAsia="sk-SK"/>
              </w:rPr>
              <w:t>12 896 724</w:t>
            </w:r>
          </w:p>
        </w:tc>
        <w:tc>
          <w:tcPr>
            <w:tcW w:w="3300" w:type="dxa"/>
            <w:tcBorders>
              <w:top w:val="nil"/>
              <w:left w:val="nil"/>
              <w:bottom w:val="single" w:sz="4" w:space="0" w:color="auto"/>
              <w:right w:val="single" w:sz="4" w:space="0" w:color="auto"/>
            </w:tcBorders>
            <w:noWrap/>
            <w:vAlign w:val="bottom"/>
          </w:tcPr>
          <w:p w14:paraId="4438AEC8" w14:textId="77777777" w:rsidR="009E16F9" w:rsidRPr="00020C88" w:rsidRDefault="009E16F9" w:rsidP="009E16F9">
            <w:pPr>
              <w:spacing w:after="0" w:line="240" w:lineRule="auto"/>
              <w:jc w:val="both"/>
              <w:rPr>
                <w:rFonts w:ascii="Times New Roman" w:hAnsi="Times New Roman"/>
                <w:sz w:val="20"/>
                <w:szCs w:val="20"/>
              </w:rPr>
            </w:pPr>
            <w:r w:rsidRPr="00020C88">
              <w:rPr>
                <w:rFonts w:ascii="Times New Roman" w:hAnsi="Times New Roman"/>
                <w:sz w:val="20"/>
                <w:szCs w:val="20"/>
              </w:rPr>
              <w:t xml:space="preserve">úhrady zdravotných poisťovní za poskytovanie zdravotnej starostlivosti </w:t>
            </w:r>
          </w:p>
        </w:tc>
      </w:tr>
      <w:tr w:rsidR="00656F4B" w:rsidRPr="00020C88" w14:paraId="6042FB1C" w14:textId="77777777" w:rsidTr="00762B0D">
        <w:trPr>
          <w:trHeight w:val="229"/>
        </w:trPr>
        <w:tc>
          <w:tcPr>
            <w:tcW w:w="4815" w:type="dxa"/>
            <w:tcBorders>
              <w:top w:val="nil"/>
              <w:left w:val="single" w:sz="4" w:space="0" w:color="auto"/>
              <w:bottom w:val="single" w:sz="4" w:space="0" w:color="auto"/>
              <w:right w:val="single" w:sz="4" w:space="0" w:color="auto"/>
            </w:tcBorders>
          </w:tcPr>
          <w:p w14:paraId="0E1055FD"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  Bežné transfery (640)</w:t>
            </w:r>
            <w:r w:rsidRPr="00020C88">
              <w:rPr>
                <w:rFonts w:ascii="Times New Roman" w:hAnsi="Times New Roman"/>
                <w:sz w:val="20"/>
                <w:szCs w:val="20"/>
                <w:vertAlign w:val="superscript"/>
              </w:rPr>
              <w:t>2</w:t>
            </w:r>
          </w:p>
        </w:tc>
        <w:tc>
          <w:tcPr>
            <w:tcW w:w="1152" w:type="dxa"/>
            <w:tcBorders>
              <w:top w:val="nil"/>
              <w:left w:val="nil"/>
              <w:bottom w:val="single" w:sz="4" w:space="0" w:color="auto"/>
              <w:right w:val="single" w:sz="4" w:space="0" w:color="auto"/>
            </w:tcBorders>
          </w:tcPr>
          <w:p w14:paraId="23BF74A6" w14:textId="77777777" w:rsidR="00656F4B" w:rsidRPr="00020C88" w:rsidRDefault="00656F4B" w:rsidP="00CB750F">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02EABE74" w14:textId="77777777" w:rsidR="00656F4B" w:rsidRPr="00020C88" w:rsidRDefault="00656F4B" w:rsidP="00CB750F">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029919D2" w14:textId="77777777" w:rsidR="00656F4B" w:rsidRPr="00020C88" w:rsidRDefault="00656F4B" w:rsidP="00CB750F">
            <w:pPr>
              <w:spacing w:after="0" w:line="240" w:lineRule="auto"/>
              <w:jc w:val="both"/>
              <w:rPr>
                <w:rFonts w:ascii="Times New Roman" w:hAnsi="Times New Roman"/>
                <w:sz w:val="20"/>
                <w:szCs w:val="20"/>
              </w:rPr>
            </w:pPr>
          </w:p>
        </w:tc>
        <w:tc>
          <w:tcPr>
            <w:tcW w:w="1068" w:type="dxa"/>
            <w:tcBorders>
              <w:top w:val="nil"/>
              <w:left w:val="nil"/>
              <w:bottom w:val="single" w:sz="4" w:space="0" w:color="auto"/>
              <w:right w:val="single" w:sz="4" w:space="0" w:color="auto"/>
            </w:tcBorders>
          </w:tcPr>
          <w:p w14:paraId="4680512D" w14:textId="77777777" w:rsidR="00656F4B" w:rsidRPr="00020C88" w:rsidRDefault="00656F4B" w:rsidP="00CB750F">
            <w:pPr>
              <w:spacing w:after="0" w:line="240" w:lineRule="auto"/>
              <w:jc w:val="both"/>
              <w:rPr>
                <w:rFonts w:ascii="Times New Roman" w:hAnsi="Times New Roman"/>
                <w:sz w:val="20"/>
                <w:szCs w:val="20"/>
              </w:rPr>
            </w:pPr>
          </w:p>
        </w:tc>
        <w:tc>
          <w:tcPr>
            <w:tcW w:w="3300" w:type="dxa"/>
            <w:tcBorders>
              <w:top w:val="nil"/>
              <w:left w:val="nil"/>
              <w:bottom w:val="single" w:sz="4" w:space="0" w:color="auto"/>
              <w:right w:val="single" w:sz="4" w:space="0" w:color="auto"/>
            </w:tcBorders>
            <w:noWrap/>
            <w:vAlign w:val="bottom"/>
          </w:tcPr>
          <w:p w14:paraId="43B70B8D"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1D7515A5" w14:textId="77777777" w:rsidTr="00762B0D">
        <w:trPr>
          <w:trHeight w:val="229"/>
        </w:trPr>
        <w:tc>
          <w:tcPr>
            <w:tcW w:w="4815" w:type="dxa"/>
            <w:tcBorders>
              <w:top w:val="nil"/>
              <w:left w:val="single" w:sz="4" w:space="0" w:color="auto"/>
              <w:bottom w:val="single" w:sz="4" w:space="0" w:color="auto"/>
              <w:right w:val="single" w:sz="4" w:space="0" w:color="auto"/>
            </w:tcBorders>
            <w:vAlign w:val="center"/>
          </w:tcPr>
          <w:p w14:paraId="04A847AD"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  Splácanie úrokov a ostatné platby súvisiace s  úverom, pôžičkou, návratnou finančnou výpomocou a finančným prenájmom (650)</w:t>
            </w:r>
            <w:r w:rsidRPr="00020C88">
              <w:rPr>
                <w:rFonts w:ascii="Times New Roman" w:hAnsi="Times New Roman"/>
                <w:sz w:val="20"/>
                <w:szCs w:val="20"/>
                <w:vertAlign w:val="superscript"/>
              </w:rPr>
              <w:t>2</w:t>
            </w:r>
          </w:p>
        </w:tc>
        <w:tc>
          <w:tcPr>
            <w:tcW w:w="1152" w:type="dxa"/>
            <w:tcBorders>
              <w:top w:val="nil"/>
              <w:left w:val="nil"/>
              <w:bottom w:val="single" w:sz="4" w:space="0" w:color="auto"/>
              <w:right w:val="single" w:sz="4" w:space="0" w:color="auto"/>
            </w:tcBorders>
          </w:tcPr>
          <w:p w14:paraId="46D27DE8" w14:textId="77777777" w:rsidR="00656F4B" w:rsidRPr="00020C88" w:rsidRDefault="00656F4B" w:rsidP="00CB750F">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143500C1" w14:textId="77777777" w:rsidR="00656F4B" w:rsidRPr="00020C88" w:rsidRDefault="00656F4B" w:rsidP="00CB750F">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506AACED" w14:textId="77777777" w:rsidR="00656F4B" w:rsidRPr="00020C88" w:rsidRDefault="00656F4B" w:rsidP="00CB750F">
            <w:pPr>
              <w:spacing w:after="0" w:line="240" w:lineRule="auto"/>
              <w:jc w:val="both"/>
              <w:rPr>
                <w:rFonts w:ascii="Times New Roman" w:hAnsi="Times New Roman"/>
                <w:sz w:val="20"/>
                <w:szCs w:val="20"/>
              </w:rPr>
            </w:pPr>
          </w:p>
        </w:tc>
        <w:tc>
          <w:tcPr>
            <w:tcW w:w="1068" w:type="dxa"/>
            <w:tcBorders>
              <w:top w:val="nil"/>
              <w:left w:val="nil"/>
              <w:bottom w:val="single" w:sz="4" w:space="0" w:color="auto"/>
              <w:right w:val="single" w:sz="4" w:space="0" w:color="auto"/>
            </w:tcBorders>
          </w:tcPr>
          <w:p w14:paraId="2778DE82" w14:textId="77777777" w:rsidR="00656F4B" w:rsidRPr="00020C88" w:rsidRDefault="00656F4B" w:rsidP="00CB750F">
            <w:pPr>
              <w:spacing w:after="0" w:line="240" w:lineRule="auto"/>
              <w:jc w:val="both"/>
              <w:rPr>
                <w:rFonts w:ascii="Times New Roman" w:hAnsi="Times New Roman"/>
                <w:sz w:val="20"/>
                <w:szCs w:val="20"/>
              </w:rPr>
            </w:pPr>
          </w:p>
        </w:tc>
        <w:tc>
          <w:tcPr>
            <w:tcW w:w="3300" w:type="dxa"/>
            <w:tcBorders>
              <w:top w:val="nil"/>
              <w:left w:val="nil"/>
              <w:bottom w:val="single" w:sz="4" w:space="0" w:color="auto"/>
              <w:right w:val="single" w:sz="4" w:space="0" w:color="auto"/>
            </w:tcBorders>
            <w:noWrap/>
            <w:vAlign w:val="bottom"/>
          </w:tcPr>
          <w:p w14:paraId="62FCF5F8" w14:textId="77777777" w:rsidR="00656F4B" w:rsidRPr="00020C88" w:rsidRDefault="00656F4B" w:rsidP="00CB750F">
            <w:pPr>
              <w:spacing w:after="0" w:line="240" w:lineRule="auto"/>
              <w:jc w:val="both"/>
              <w:rPr>
                <w:rFonts w:ascii="Times New Roman" w:hAnsi="Times New Roman"/>
                <w:sz w:val="20"/>
                <w:szCs w:val="20"/>
              </w:rPr>
            </w:pPr>
          </w:p>
        </w:tc>
      </w:tr>
      <w:tr w:rsidR="00656F4B" w:rsidRPr="00020C88" w14:paraId="5EC3CBA5" w14:textId="77777777" w:rsidTr="00762B0D">
        <w:trPr>
          <w:trHeight w:val="229"/>
        </w:trPr>
        <w:tc>
          <w:tcPr>
            <w:tcW w:w="4815" w:type="dxa"/>
            <w:tcBorders>
              <w:top w:val="nil"/>
              <w:left w:val="single" w:sz="4" w:space="0" w:color="auto"/>
              <w:bottom w:val="single" w:sz="4" w:space="0" w:color="auto"/>
              <w:right w:val="single" w:sz="4" w:space="0" w:color="auto"/>
            </w:tcBorders>
          </w:tcPr>
          <w:p w14:paraId="2FCC19A8"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Kapitálové výdavky (700)</w:t>
            </w:r>
          </w:p>
        </w:tc>
        <w:tc>
          <w:tcPr>
            <w:tcW w:w="1152" w:type="dxa"/>
            <w:tcBorders>
              <w:top w:val="nil"/>
              <w:left w:val="nil"/>
              <w:bottom w:val="single" w:sz="4" w:space="0" w:color="auto"/>
              <w:right w:val="single" w:sz="4" w:space="0" w:color="auto"/>
            </w:tcBorders>
          </w:tcPr>
          <w:p w14:paraId="44011D25" w14:textId="77777777" w:rsidR="00656F4B" w:rsidRPr="00020C88" w:rsidRDefault="00656F4B" w:rsidP="00CB750F">
            <w:pPr>
              <w:spacing w:after="0" w:line="240" w:lineRule="auto"/>
              <w:jc w:val="both"/>
              <w:rPr>
                <w:rFonts w:ascii="Times New Roman" w:hAnsi="Times New Roman"/>
                <w:b/>
                <w:bCs/>
                <w:sz w:val="20"/>
                <w:szCs w:val="20"/>
              </w:rPr>
            </w:pPr>
          </w:p>
        </w:tc>
        <w:tc>
          <w:tcPr>
            <w:tcW w:w="1067" w:type="dxa"/>
            <w:tcBorders>
              <w:top w:val="nil"/>
              <w:left w:val="nil"/>
              <w:bottom w:val="single" w:sz="4" w:space="0" w:color="auto"/>
              <w:right w:val="single" w:sz="4" w:space="0" w:color="auto"/>
            </w:tcBorders>
          </w:tcPr>
          <w:p w14:paraId="79C7E97B" w14:textId="77777777" w:rsidR="00656F4B" w:rsidRPr="00020C88" w:rsidRDefault="00656F4B" w:rsidP="00CB750F">
            <w:pPr>
              <w:spacing w:after="0" w:line="240" w:lineRule="auto"/>
              <w:jc w:val="both"/>
              <w:rPr>
                <w:rFonts w:ascii="Times New Roman" w:hAnsi="Times New Roman"/>
                <w:b/>
                <w:bCs/>
                <w:sz w:val="20"/>
                <w:szCs w:val="20"/>
              </w:rPr>
            </w:pPr>
          </w:p>
        </w:tc>
        <w:tc>
          <w:tcPr>
            <w:tcW w:w="1067" w:type="dxa"/>
            <w:tcBorders>
              <w:top w:val="nil"/>
              <w:left w:val="nil"/>
              <w:bottom w:val="single" w:sz="4" w:space="0" w:color="auto"/>
              <w:right w:val="single" w:sz="4" w:space="0" w:color="auto"/>
            </w:tcBorders>
          </w:tcPr>
          <w:p w14:paraId="05551A1C" w14:textId="77777777" w:rsidR="00656F4B" w:rsidRPr="00020C88" w:rsidRDefault="00656F4B" w:rsidP="00CB750F">
            <w:pPr>
              <w:spacing w:after="0" w:line="240" w:lineRule="auto"/>
              <w:jc w:val="both"/>
              <w:rPr>
                <w:rFonts w:ascii="Times New Roman" w:hAnsi="Times New Roman"/>
                <w:b/>
                <w:bCs/>
                <w:sz w:val="20"/>
                <w:szCs w:val="20"/>
              </w:rPr>
            </w:pPr>
          </w:p>
        </w:tc>
        <w:tc>
          <w:tcPr>
            <w:tcW w:w="1068" w:type="dxa"/>
            <w:tcBorders>
              <w:top w:val="nil"/>
              <w:left w:val="nil"/>
              <w:bottom w:val="single" w:sz="4" w:space="0" w:color="auto"/>
              <w:right w:val="single" w:sz="4" w:space="0" w:color="auto"/>
            </w:tcBorders>
          </w:tcPr>
          <w:p w14:paraId="2CD7528E" w14:textId="77777777" w:rsidR="00656F4B" w:rsidRPr="00020C88" w:rsidRDefault="00656F4B" w:rsidP="00CB750F">
            <w:pPr>
              <w:spacing w:after="0" w:line="240" w:lineRule="auto"/>
              <w:jc w:val="both"/>
              <w:rPr>
                <w:rFonts w:ascii="Times New Roman" w:hAnsi="Times New Roman"/>
                <w:b/>
                <w:bCs/>
                <w:sz w:val="20"/>
                <w:szCs w:val="20"/>
              </w:rPr>
            </w:pPr>
          </w:p>
        </w:tc>
        <w:tc>
          <w:tcPr>
            <w:tcW w:w="3300" w:type="dxa"/>
            <w:tcBorders>
              <w:top w:val="nil"/>
              <w:left w:val="nil"/>
              <w:bottom w:val="single" w:sz="4" w:space="0" w:color="auto"/>
              <w:right w:val="single" w:sz="4" w:space="0" w:color="auto"/>
            </w:tcBorders>
            <w:noWrap/>
            <w:vAlign w:val="bottom"/>
          </w:tcPr>
          <w:p w14:paraId="5B86D5C5"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6999791A" w14:textId="77777777" w:rsidTr="00762B0D">
        <w:trPr>
          <w:trHeight w:val="229"/>
        </w:trPr>
        <w:tc>
          <w:tcPr>
            <w:tcW w:w="4815" w:type="dxa"/>
            <w:tcBorders>
              <w:top w:val="nil"/>
              <w:left w:val="single" w:sz="4" w:space="0" w:color="auto"/>
              <w:bottom w:val="single" w:sz="4" w:space="0" w:color="auto"/>
              <w:right w:val="single" w:sz="4" w:space="0" w:color="auto"/>
            </w:tcBorders>
          </w:tcPr>
          <w:p w14:paraId="1868540F"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  Obstarávanie kapitálových aktív (710)</w:t>
            </w:r>
            <w:r w:rsidRPr="00020C88">
              <w:rPr>
                <w:rFonts w:ascii="Times New Roman" w:hAnsi="Times New Roman"/>
                <w:sz w:val="20"/>
                <w:szCs w:val="20"/>
                <w:vertAlign w:val="superscript"/>
              </w:rPr>
              <w:t>2</w:t>
            </w:r>
          </w:p>
        </w:tc>
        <w:tc>
          <w:tcPr>
            <w:tcW w:w="1152" w:type="dxa"/>
            <w:tcBorders>
              <w:top w:val="nil"/>
              <w:left w:val="nil"/>
              <w:bottom w:val="single" w:sz="4" w:space="0" w:color="auto"/>
              <w:right w:val="single" w:sz="4" w:space="0" w:color="auto"/>
            </w:tcBorders>
          </w:tcPr>
          <w:p w14:paraId="756D7220" w14:textId="77777777" w:rsidR="00656F4B" w:rsidRPr="00020C88" w:rsidRDefault="00656F4B" w:rsidP="00CB750F">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02C03C0D" w14:textId="77777777" w:rsidR="00656F4B" w:rsidRPr="00020C88" w:rsidRDefault="00656F4B" w:rsidP="00CB750F">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23CC6D1B" w14:textId="77777777" w:rsidR="00656F4B" w:rsidRPr="00020C88" w:rsidRDefault="00656F4B" w:rsidP="00CB750F">
            <w:pPr>
              <w:spacing w:after="0" w:line="240" w:lineRule="auto"/>
              <w:jc w:val="both"/>
              <w:rPr>
                <w:rFonts w:ascii="Times New Roman" w:hAnsi="Times New Roman"/>
                <w:sz w:val="20"/>
                <w:szCs w:val="20"/>
              </w:rPr>
            </w:pPr>
          </w:p>
        </w:tc>
        <w:tc>
          <w:tcPr>
            <w:tcW w:w="1068" w:type="dxa"/>
            <w:tcBorders>
              <w:top w:val="nil"/>
              <w:left w:val="nil"/>
              <w:bottom w:val="single" w:sz="4" w:space="0" w:color="auto"/>
              <w:right w:val="single" w:sz="4" w:space="0" w:color="auto"/>
            </w:tcBorders>
          </w:tcPr>
          <w:p w14:paraId="748268FE" w14:textId="77777777" w:rsidR="00656F4B" w:rsidRPr="00020C88" w:rsidRDefault="00656F4B" w:rsidP="00CB750F">
            <w:pPr>
              <w:spacing w:after="0" w:line="240" w:lineRule="auto"/>
              <w:jc w:val="both"/>
              <w:rPr>
                <w:rFonts w:ascii="Times New Roman" w:hAnsi="Times New Roman"/>
                <w:sz w:val="20"/>
                <w:szCs w:val="20"/>
              </w:rPr>
            </w:pPr>
          </w:p>
        </w:tc>
        <w:tc>
          <w:tcPr>
            <w:tcW w:w="3300" w:type="dxa"/>
            <w:tcBorders>
              <w:top w:val="nil"/>
              <w:left w:val="nil"/>
              <w:bottom w:val="single" w:sz="4" w:space="0" w:color="auto"/>
              <w:right w:val="single" w:sz="4" w:space="0" w:color="auto"/>
            </w:tcBorders>
            <w:noWrap/>
            <w:vAlign w:val="bottom"/>
          </w:tcPr>
          <w:p w14:paraId="4A02D45B"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2EA9B688" w14:textId="77777777" w:rsidTr="00762B0D">
        <w:trPr>
          <w:trHeight w:val="229"/>
        </w:trPr>
        <w:tc>
          <w:tcPr>
            <w:tcW w:w="4815" w:type="dxa"/>
            <w:tcBorders>
              <w:top w:val="nil"/>
              <w:left w:val="single" w:sz="4" w:space="0" w:color="auto"/>
              <w:bottom w:val="single" w:sz="4" w:space="0" w:color="auto"/>
              <w:right w:val="single" w:sz="4" w:space="0" w:color="auto"/>
            </w:tcBorders>
          </w:tcPr>
          <w:p w14:paraId="3FC7D6AD"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xml:space="preserve">  Kapitálové transfery (720)</w:t>
            </w:r>
            <w:r w:rsidRPr="00020C88">
              <w:rPr>
                <w:rFonts w:ascii="Times New Roman" w:hAnsi="Times New Roman"/>
                <w:sz w:val="20"/>
                <w:szCs w:val="20"/>
                <w:vertAlign w:val="superscript"/>
              </w:rPr>
              <w:t>2</w:t>
            </w:r>
          </w:p>
        </w:tc>
        <w:tc>
          <w:tcPr>
            <w:tcW w:w="1152" w:type="dxa"/>
            <w:tcBorders>
              <w:top w:val="nil"/>
              <w:left w:val="nil"/>
              <w:bottom w:val="single" w:sz="4" w:space="0" w:color="auto"/>
              <w:right w:val="single" w:sz="4" w:space="0" w:color="auto"/>
            </w:tcBorders>
          </w:tcPr>
          <w:p w14:paraId="70838AD4" w14:textId="77777777" w:rsidR="00656F4B" w:rsidRPr="00020C88" w:rsidRDefault="00656F4B" w:rsidP="00CB750F">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0171DB02" w14:textId="77777777" w:rsidR="00656F4B" w:rsidRPr="00020C88" w:rsidRDefault="00656F4B" w:rsidP="00CB750F">
            <w:pPr>
              <w:spacing w:after="0" w:line="240" w:lineRule="auto"/>
              <w:jc w:val="both"/>
              <w:rPr>
                <w:rFonts w:ascii="Times New Roman" w:hAnsi="Times New Roman"/>
                <w:sz w:val="20"/>
                <w:szCs w:val="20"/>
              </w:rPr>
            </w:pPr>
          </w:p>
        </w:tc>
        <w:tc>
          <w:tcPr>
            <w:tcW w:w="1067" w:type="dxa"/>
            <w:tcBorders>
              <w:top w:val="nil"/>
              <w:left w:val="nil"/>
              <w:bottom w:val="single" w:sz="4" w:space="0" w:color="auto"/>
              <w:right w:val="single" w:sz="4" w:space="0" w:color="auto"/>
            </w:tcBorders>
          </w:tcPr>
          <w:p w14:paraId="07EB9619" w14:textId="77777777" w:rsidR="00656F4B" w:rsidRPr="00020C88" w:rsidRDefault="00656F4B" w:rsidP="00CB750F">
            <w:pPr>
              <w:spacing w:after="0" w:line="240" w:lineRule="auto"/>
              <w:jc w:val="both"/>
              <w:rPr>
                <w:rFonts w:ascii="Times New Roman" w:hAnsi="Times New Roman"/>
                <w:sz w:val="20"/>
                <w:szCs w:val="20"/>
              </w:rPr>
            </w:pPr>
          </w:p>
        </w:tc>
        <w:tc>
          <w:tcPr>
            <w:tcW w:w="1068" w:type="dxa"/>
            <w:tcBorders>
              <w:top w:val="nil"/>
              <w:left w:val="nil"/>
              <w:bottom w:val="single" w:sz="4" w:space="0" w:color="auto"/>
              <w:right w:val="single" w:sz="4" w:space="0" w:color="auto"/>
            </w:tcBorders>
          </w:tcPr>
          <w:p w14:paraId="73EA03AA" w14:textId="77777777" w:rsidR="00656F4B" w:rsidRPr="00020C88" w:rsidRDefault="00656F4B" w:rsidP="00CB750F">
            <w:pPr>
              <w:spacing w:after="0" w:line="240" w:lineRule="auto"/>
              <w:jc w:val="both"/>
              <w:rPr>
                <w:rFonts w:ascii="Times New Roman" w:hAnsi="Times New Roman"/>
                <w:sz w:val="20"/>
                <w:szCs w:val="20"/>
              </w:rPr>
            </w:pPr>
          </w:p>
        </w:tc>
        <w:tc>
          <w:tcPr>
            <w:tcW w:w="3300" w:type="dxa"/>
            <w:tcBorders>
              <w:top w:val="nil"/>
              <w:left w:val="nil"/>
              <w:bottom w:val="single" w:sz="4" w:space="0" w:color="auto"/>
              <w:right w:val="single" w:sz="4" w:space="0" w:color="auto"/>
            </w:tcBorders>
            <w:noWrap/>
            <w:vAlign w:val="bottom"/>
          </w:tcPr>
          <w:p w14:paraId="739B7A24"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45E36D3C" w14:textId="77777777" w:rsidTr="00762B0D">
        <w:trPr>
          <w:trHeight w:val="229"/>
        </w:trPr>
        <w:tc>
          <w:tcPr>
            <w:tcW w:w="4815" w:type="dxa"/>
            <w:tcBorders>
              <w:top w:val="nil"/>
              <w:left w:val="single" w:sz="4" w:space="0" w:color="auto"/>
              <w:bottom w:val="single" w:sz="4" w:space="0" w:color="auto"/>
              <w:right w:val="single" w:sz="4" w:space="0" w:color="auto"/>
            </w:tcBorders>
          </w:tcPr>
          <w:p w14:paraId="3FCC5832"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Výdavky z transakcií s finančnými aktívami a finančnými pasívami (800)</w:t>
            </w:r>
          </w:p>
        </w:tc>
        <w:tc>
          <w:tcPr>
            <w:tcW w:w="1152" w:type="dxa"/>
            <w:tcBorders>
              <w:top w:val="nil"/>
              <w:left w:val="nil"/>
              <w:bottom w:val="single" w:sz="4" w:space="0" w:color="auto"/>
              <w:right w:val="single" w:sz="4" w:space="0" w:color="auto"/>
            </w:tcBorders>
            <w:shd w:val="clear" w:color="auto" w:fill="FFFF99"/>
          </w:tcPr>
          <w:p w14:paraId="1D60595F"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067" w:type="dxa"/>
            <w:tcBorders>
              <w:top w:val="nil"/>
              <w:left w:val="nil"/>
              <w:bottom w:val="single" w:sz="4" w:space="0" w:color="auto"/>
              <w:right w:val="single" w:sz="4" w:space="0" w:color="auto"/>
            </w:tcBorders>
            <w:shd w:val="clear" w:color="auto" w:fill="FFFF99"/>
          </w:tcPr>
          <w:p w14:paraId="145157DF"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067" w:type="dxa"/>
            <w:tcBorders>
              <w:top w:val="nil"/>
              <w:left w:val="nil"/>
              <w:bottom w:val="single" w:sz="4" w:space="0" w:color="auto"/>
              <w:right w:val="single" w:sz="4" w:space="0" w:color="auto"/>
            </w:tcBorders>
            <w:shd w:val="clear" w:color="auto" w:fill="FFFF99"/>
          </w:tcPr>
          <w:p w14:paraId="0FA4CEFF"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1068" w:type="dxa"/>
            <w:tcBorders>
              <w:top w:val="nil"/>
              <w:left w:val="nil"/>
              <w:bottom w:val="single" w:sz="4" w:space="0" w:color="auto"/>
              <w:right w:val="single" w:sz="4" w:space="0" w:color="auto"/>
            </w:tcBorders>
            <w:shd w:val="clear" w:color="auto" w:fill="FFFF99"/>
          </w:tcPr>
          <w:p w14:paraId="40A5BCF7"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c>
          <w:tcPr>
            <w:tcW w:w="3300" w:type="dxa"/>
            <w:tcBorders>
              <w:top w:val="nil"/>
              <w:left w:val="nil"/>
              <w:bottom w:val="single" w:sz="4" w:space="0" w:color="auto"/>
              <w:right w:val="single" w:sz="4" w:space="0" w:color="auto"/>
            </w:tcBorders>
            <w:noWrap/>
            <w:vAlign w:val="bottom"/>
          </w:tcPr>
          <w:p w14:paraId="314F2FA4"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9E16F9" w:rsidRPr="00020C88" w14:paraId="015438C3" w14:textId="77777777" w:rsidTr="00762B0D">
        <w:trPr>
          <w:trHeight w:val="229"/>
        </w:trPr>
        <w:tc>
          <w:tcPr>
            <w:tcW w:w="4815" w:type="dxa"/>
            <w:tcBorders>
              <w:top w:val="single" w:sz="4" w:space="0" w:color="auto"/>
              <w:left w:val="single" w:sz="4" w:space="0" w:color="auto"/>
              <w:bottom w:val="single" w:sz="4" w:space="0" w:color="auto"/>
              <w:right w:val="single" w:sz="4" w:space="0" w:color="auto"/>
            </w:tcBorders>
            <w:shd w:val="clear" w:color="auto" w:fill="BFBFBF"/>
          </w:tcPr>
          <w:p w14:paraId="40E27BA7" w14:textId="77777777" w:rsidR="009E16F9" w:rsidRPr="00020C88" w:rsidRDefault="009E16F9" w:rsidP="009E16F9">
            <w:pPr>
              <w:spacing w:after="0" w:line="240" w:lineRule="auto"/>
              <w:jc w:val="both"/>
              <w:rPr>
                <w:rFonts w:ascii="Times New Roman" w:hAnsi="Times New Roman"/>
                <w:b/>
                <w:bCs/>
                <w:sz w:val="20"/>
                <w:szCs w:val="20"/>
              </w:rPr>
            </w:pPr>
            <w:r w:rsidRPr="00020C88">
              <w:rPr>
                <w:rFonts w:ascii="Times New Roman" w:hAnsi="Times New Roman"/>
                <w:b/>
                <w:bCs/>
                <w:sz w:val="20"/>
                <w:szCs w:val="20"/>
              </w:rPr>
              <w:t>Dopad na výdavky verejnej správy celkom</w:t>
            </w:r>
          </w:p>
        </w:tc>
        <w:tc>
          <w:tcPr>
            <w:tcW w:w="1152" w:type="dxa"/>
            <w:tcBorders>
              <w:top w:val="nil"/>
              <w:left w:val="nil"/>
              <w:bottom w:val="single" w:sz="8" w:space="0" w:color="auto"/>
              <w:right w:val="single" w:sz="8" w:space="0" w:color="auto"/>
            </w:tcBorders>
            <w:shd w:val="clear" w:color="auto" w:fill="auto"/>
            <w:vAlign w:val="center"/>
          </w:tcPr>
          <w:p w14:paraId="4BAE7BE0" w14:textId="114D53CF" w:rsidR="009E16F9" w:rsidRPr="00020C88" w:rsidRDefault="009E16F9" w:rsidP="009E16F9">
            <w:pPr>
              <w:spacing w:after="0" w:line="240" w:lineRule="auto"/>
              <w:jc w:val="both"/>
              <w:rPr>
                <w:rFonts w:ascii="Times New Roman" w:hAnsi="Times New Roman"/>
                <w:b/>
                <w:bCs/>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tcPr>
          <w:p w14:paraId="7FD321C7" w14:textId="79DCDB04" w:rsidR="009E16F9" w:rsidRPr="00020C88" w:rsidRDefault="009E16F9" w:rsidP="009E16F9">
            <w:pPr>
              <w:spacing w:after="0" w:line="240" w:lineRule="auto"/>
              <w:jc w:val="both"/>
              <w:rPr>
                <w:rFonts w:ascii="Times New Roman" w:hAnsi="Times New Roman"/>
                <w:b/>
                <w:bCs/>
                <w:color w:val="000000"/>
                <w:sz w:val="20"/>
                <w:szCs w:val="20"/>
              </w:rPr>
            </w:pPr>
            <w:r w:rsidRPr="00020C88">
              <w:rPr>
                <w:rFonts w:ascii="Times New Roman" w:hAnsi="Times New Roman"/>
                <w:b/>
                <w:bCs/>
                <w:color w:val="000000"/>
                <w:sz w:val="20"/>
                <w:szCs w:val="20"/>
                <w:lang w:eastAsia="sk-SK"/>
              </w:rPr>
              <w:t>8 562 624</w:t>
            </w:r>
          </w:p>
        </w:tc>
        <w:tc>
          <w:tcPr>
            <w:tcW w:w="1067" w:type="dxa"/>
            <w:tcBorders>
              <w:top w:val="nil"/>
              <w:left w:val="nil"/>
              <w:bottom w:val="single" w:sz="8" w:space="0" w:color="auto"/>
              <w:right w:val="single" w:sz="8" w:space="0" w:color="auto"/>
            </w:tcBorders>
            <w:shd w:val="clear" w:color="auto" w:fill="auto"/>
            <w:vAlign w:val="center"/>
          </w:tcPr>
          <w:p w14:paraId="61C3D497" w14:textId="14B588DA" w:rsidR="009E16F9" w:rsidRPr="00020C88" w:rsidRDefault="009E16F9" w:rsidP="009E16F9">
            <w:pPr>
              <w:spacing w:after="0" w:line="240" w:lineRule="auto"/>
              <w:jc w:val="both"/>
              <w:rPr>
                <w:rFonts w:ascii="Times New Roman" w:hAnsi="Times New Roman"/>
                <w:b/>
                <w:bCs/>
                <w:color w:val="000000"/>
                <w:sz w:val="20"/>
                <w:szCs w:val="20"/>
              </w:rPr>
            </w:pPr>
            <w:r w:rsidRPr="00020C88">
              <w:rPr>
                <w:rFonts w:ascii="Times New Roman" w:hAnsi="Times New Roman"/>
                <w:b/>
                <w:bCs/>
                <w:color w:val="000000"/>
                <w:sz w:val="20"/>
                <w:szCs w:val="20"/>
                <w:lang w:eastAsia="sk-SK"/>
              </w:rPr>
              <w:t>11 520 329</w:t>
            </w:r>
          </w:p>
        </w:tc>
        <w:tc>
          <w:tcPr>
            <w:tcW w:w="1068" w:type="dxa"/>
            <w:tcBorders>
              <w:top w:val="nil"/>
              <w:left w:val="nil"/>
              <w:bottom w:val="single" w:sz="8" w:space="0" w:color="auto"/>
              <w:right w:val="single" w:sz="8" w:space="0" w:color="auto"/>
            </w:tcBorders>
            <w:shd w:val="clear" w:color="auto" w:fill="auto"/>
            <w:vAlign w:val="center"/>
          </w:tcPr>
          <w:p w14:paraId="30BF8417" w14:textId="75E1AD86" w:rsidR="009E16F9" w:rsidRPr="00020C88" w:rsidRDefault="009E16F9" w:rsidP="009E16F9">
            <w:pPr>
              <w:spacing w:after="0" w:line="240" w:lineRule="auto"/>
              <w:jc w:val="both"/>
              <w:rPr>
                <w:rFonts w:ascii="Times New Roman" w:hAnsi="Times New Roman"/>
                <w:b/>
                <w:bCs/>
                <w:color w:val="000000"/>
                <w:sz w:val="20"/>
                <w:szCs w:val="20"/>
              </w:rPr>
            </w:pPr>
            <w:r w:rsidRPr="00020C88">
              <w:rPr>
                <w:rFonts w:ascii="Times New Roman" w:hAnsi="Times New Roman"/>
                <w:b/>
                <w:bCs/>
                <w:color w:val="000000"/>
                <w:sz w:val="20"/>
                <w:szCs w:val="20"/>
                <w:lang w:eastAsia="sk-SK"/>
              </w:rPr>
              <w:t>12 896 724</w:t>
            </w:r>
          </w:p>
        </w:tc>
        <w:tc>
          <w:tcPr>
            <w:tcW w:w="3300" w:type="dxa"/>
            <w:tcBorders>
              <w:top w:val="single" w:sz="4" w:space="0" w:color="auto"/>
              <w:left w:val="nil"/>
              <w:bottom w:val="single" w:sz="4" w:space="0" w:color="auto"/>
              <w:right w:val="single" w:sz="4" w:space="0" w:color="auto"/>
            </w:tcBorders>
            <w:shd w:val="clear" w:color="auto" w:fill="BFBFBF"/>
            <w:noWrap/>
            <w:vAlign w:val="bottom"/>
          </w:tcPr>
          <w:p w14:paraId="3E3B3B06" w14:textId="77777777" w:rsidR="009E16F9" w:rsidRPr="00020C88" w:rsidRDefault="009E16F9" w:rsidP="009E16F9">
            <w:pPr>
              <w:spacing w:after="0" w:line="240" w:lineRule="auto"/>
              <w:jc w:val="both"/>
              <w:rPr>
                <w:rFonts w:ascii="Times New Roman" w:hAnsi="Times New Roman"/>
                <w:sz w:val="20"/>
                <w:szCs w:val="20"/>
              </w:rPr>
            </w:pPr>
            <w:r w:rsidRPr="00020C88">
              <w:rPr>
                <w:rFonts w:ascii="Times New Roman" w:hAnsi="Times New Roman"/>
                <w:sz w:val="20"/>
                <w:szCs w:val="20"/>
              </w:rPr>
              <w:t> </w:t>
            </w:r>
          </w:p>
        </w:tc>
      </w:tr>
    </w:tbl>
    <w:p w14:paraId="1DC5470B"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4C037A83"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3E1A294A"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72540931"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689C39A1"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5DAF1EFB"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7A6FC8E5"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3E295050"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3F45D00A"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57D76772"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242AA33A"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1A3562C0"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3A96D2C6"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4CE1DB41"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17E08E07"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2EA3049B"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7CD243E6"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10AFD7EF"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61B5CF44"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1A530F1D"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76774A34"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2659E911" w14:textId="77777777" w:rsidR="00762B0D" w:rsidRPr="00020C88" w:rsidRDefault="00762B0D" w:rsidP="00CB750F">
      <w:pPr>
        <w:tabs>
          <w:tab w:val="num" w:pos="1080"/>
        </w:tabs>
        <w:spacing w:after="0" w:line="240" w:lineRule="auto"/>
        <w:ind w:left="-900"/>
        <w:jc w:val="both"/>
        <w:rPr>
          <w:rFonts w:ascii="Times New Roman" w:hAnsi="Times New Roman"/>
          <w:bCs/>
          <w:sz w:val="20"/>
          <w:szCs w:val="20"/>
        </w:rPr>
      </w:pPr>
    </w:p>
    <w:p w14:paraId="171253AE" w14:textId="6C7A2E95" w:rsidR="00656F4B" w:rsidRPr="00020C88" w:rsidRDefault="00656F4B" w:rsidP="00CB750F">
      <w:pPr>
        <w:tabs>
          <w:tab w:val="num" w:pos="1080"/>
        </w:tabs>
        <w:spacing w:after="0" w:line="240" w:lineRule="auto"/>
        <w:ind w:left="-900"/>
        <w:jc w:val="both"/>
        <w:rPr>
          <w:rFonts w:ascii="Times New Roman" w:hAnsi="Times New Roman"/>
          <w:bCs/>
          <w:sz w:val="20"/>
          <w:szCs w:val="20"/>
        </w:rPr>
      </w:pPr>
      <w:r w:rsidRPr="00020C88">
        <w:rPr>
          <w:rFonts w:ascii="Times New Roman" w:hAnsi="Times New Roman"/>
          <w:bCs/>
          <w:sz w:val="20"/>
          <w:szCs w:val="20"/>
        </w:rPr>
        <w:t>2 –  výdavky rozpísať až do položiek platnej ekonomickej klasifikácie</w:t>
      </w:r>
    </w:p>
    <w:p w14:paraId="3520EE97" w14:textId="77777777" w:rsidR="00656F4B" w:rsidRPr="00020C88" w:rsidRDefault="00656F4B" w:rsidP="00CB750F">
      <w:pPr>
        <w:tabs>
          <w:tab w:val="num" w:pos="1080"/>
        </w:tabs>
        <w:spacing w:after="0" w:line="240" w:lineRule="auto"/>
        <w:ind w:left="-900"/>
        <w:jc w:val="both"/>
        <w:rPr>
          <w:rFonts w:ascii="Times New Roman" w:hAnsi="Times New Roman"/>
          <w:bCs/>
          <w:sz w:val="20"/>
          <w:szCs w:val="20"/>
        </w:rPr>
      </w:pPr>
    </w:p>
    <w:p w14:paraId="4B6DD48F" w14:textId="77777777" w:rsidR="00656F4B" w:rsidRPr="00020C88" w:rsidRDefault="00656F4B" w:rsidP="00CB750F">
      <w:pPr>
        <w:tabs>
          <w:tab w:val="num" w:pos="1080"/>
        </w:tabs>
        <w:spacing w:after="0" w:line="240" w:lineRule="auto"/>
        <w:ind w:left="-900"/>
        <w:jc w:val="both"/>
        <w:rPr>
          <w:rFonts w:ascii="Times New Roman" w:hAnsi="Times New Roman"/>
          <w:b/>
          <w:bCs/>
          <w:sz w:val="20"/>
          <w:szCs w:val="20"/>
        </w:rPr>
      </w:pPr>
      <w:r w:rsidRPr="00020C88">
        <w:rPr>
          <w:rFonts w:ascii="Times New Roman" w:hAnsi="Times New Roman"/>
          <w:b/>
          <w:bCs/>
          <w:sz w:val="20"/>
          <w:szCs w:val="20"/>
        </w:rPr>
        <w:t>Poznámka:</w:t>
      </w:r>
    </w:p>
    <w:p w14:paraId="4F804EE6" w14:textId="77777777" w:rsidR="00656F4B" w:rsidRPr="00020C88" w:rsidRDefault="00656F4B" w:rsidP="00CB750F">
      <w:pPr>
        <w:tabs>
          <w:tab w:val="num" w:pos="1080"/>
        </w:tabs>
        <w:spacing w:after="0" w:line="240" w:lineRule="auto"/>
        <w:ind w:left="-900"/>
        <w:jc w:val="both"/>
        <w:rPr>
          <w:rFonts w:ascii="Times New Roman" w:hAnsi="Times New Roman"/>
          <w:bCs/>
          <w:sz w:val="20"/>
          <w:szCs w:val="20"/>
        </w:rPr>
      </w:pPr>
      <w:r w:rsidRPr="00020C88">
        <w:rPr>
          <w:rFonts w:ascii="Times New Roman" w:hAnsi="Times New Roman"/>
          <w:bCs/>
          <w:sz w:val="20"/>
          <w:szCs w:val="20"/>
        </w:rPr>
        <w:t>Ak sa vplyv týka viacerých subjektov verejnej správy, vypĺňa sa samostatná tabuľka za každý subjekt.</w:t>
      </w:r>
    </w:p>
    <w:p w14:paraId="085FA0BB" w14:textId="77777777" w:rsidR="00656F4B" w:rsidRPr="00020C88" w:rsidRDefault="00656F4B" w:rsidP="00CB750F">
      <w:pPr>
        <w:tabs>
          <w:tab w:val="num" w:pos="1080"/>
        </w:tabs>
        <w:spacing w:after="0" w:line="240" w:lineRule="auto"/>
        <w:ind w:left="-900"/>
        <w:jc w:val="both"/>
        <w:rPr>
          <w:rFonts w:ascii="Times New Roman" w:hAnsi="Times New Roman"/>
          <w:bCs/>
          <w:sz w:val="20"/>
          <w:szCs w:val="20"/>
        </w:rPr>
      </w:pPr>
    </w:p>
    <w:p w14:paraId="57A5CADF" w14:textId="77777777" w:rsidR="00656F4B" w:rsidRPr="00020C88" w:rsidRDefault="00656F4B" w:rsidP="00CB750F">
      <w:pPr>
        <w:tabs>
          <w:tab w:val="num" w:pos="1080"/>
        </w:tabs>
        <w:spacing w:after="0" w:line="240" w:lineRule="auto"/>
        <w:ind w:left="-900"/>
        <w:jc w:val="both"/>
        <w:rPr>
          <w:rFonts w:ascii="Times New Roman" w:hAnsi="Times New Roman"/>
          <w:bCs/>
          <w:sz w:val="20"/>
          <w:szCs w:val="20"/>
        </w:rPr>
      </w:pPr>
    </w:p>
    <w:p w14:paraId="0E64BBE9" w14:textId="77777777" w:rsidR="00656F4B" w:rsidRPr="00020C88" w:rsidRDefault="00656F4B" w:rsidP="00CB750F">
      <w:pPr>
        <w:tabs>
          <w:tab w:val="num" w:pos="1080"/>
        </w:tabs>
        <w:spacing w:after="0" w:line="240" w:lineRule="auto"/>
        <w:ind w:left="-900"/>
        <w:jc w:val="both"/>
        <w:rPr>
          <w:rFonts w:ascii="Times New Roman" w:hAnsi="Times New Roman"/>
          <w:bCs/>
          <w:sz w:val="20"/>
          <w:szCs w:val="20"/>
        </w:rPr>
      </w:pPr>
    </w:p>
    <w:p w14:paraId="49898687" w14:textId="77777777" w:rsidR="00656F4B" w:rsidRPr="00020C88" w:rsidRDefault="00656F4B" w:rsidP="00CB750F">
      <w:pPr>
        <w:tabs>
          <w:tab w:val="num" w:pos="1080"/>
        </w:tabs>
        <w:spacing w:after="0" w:line="240" w:lineRule="auto"/>
        <w:ind w:left="-900"/>
        <w:jc w:val="both"/>
        <w:rPr>
          <w:rFonts w:ascii="Times New Roman" w:hAnsi="Times New Roman"/>
          <w:bCs/>
          <w:sz w:val="20"/>
          <w:szCs w:val="20"/>
        </w:rPr>
      </w:pPr>
    </w:p>
    <w:p w14:paraId="3BFABB51" w14:textId="77777777" w:rsidR="00656F4B" w:rsidRPr="00020C88" w:rsidRDefault="00656F4B" w:rsidP="00CB750F">
      <w:pPr>
        <w:tabs>
          <w:tab w:val="num" w:pos="1080"/>
        </w:tabs>
        <w:spacing w:after="0" w:line="240" w:lineRule="auto"/>
        <w:ind w:left="-900"/>
        <w:jc w:val="both"/>
        <w:rPr>
          <w:rFonts w:ascii="Times New Roman" w:hAnsi="Times New Roman"/>
          <w:bCs/>
          <w:sz w:val="20"/>
          <w:szCs w:val="20"/>
        </w:rPr>
      </w:pPr>
    </w:p>
    <w:p w14:paraId="1CF0D6D6" w14:textId="77777777" w:rsidR="00656F4B" w:rsidRPr="00020C88" w:rsidRDefault="00656F4B" w:rsidP="00CB750F">
      <w:pPr>
        <w:tabs>
          <w:tab w:val="num" w:pos="1080"/>
        </w:tabs>
        <w:spacing w:after="0" w:line="240" w:lineRule="auto"/>
        <w:jc w:val="both"/>
        <w:rPr>
          <w:rFonts w:ascii="Times New Roman" w:hAnsi="Times New Roman"/>
          <w:bCs/>
          <w:sz w:val="20"/>
          <w:szCs w:val="20"/>
        </w:rPr>
      </w:pPr>
      <w:r w:rsidRPr="00020C88">
        <w:rPr>
          <w:rFonts w:ascii="Times New Roman" w:hAnsi="Times New Roman"/>
          <w:bCs/>
          <w:sz w:val="20"/>
          <w:szCs w:val="20"/>
        </w:rPr>
        <w:t xml:space="preserve">                 Tabuľka č. 5 </w:t>
      </w:r>
    </w:p>
    <w:p w14:paraId="5E6EA35C" w14:textId="77777777" w:rsidR="00656F4B" w:rsidRPr="00020C88" w:rsidRDefault="00656F4B" w:rsidP="00CB750F">
      <w:pPr>
        <w:tabs>
          <w:tab w:val="num" w:pos="1080"/>
        </w:tabs>
        <w:spacing w:after="0" w:line="240" w:lineRule="auto"/>
        <w:jc w:val="both"/>
        <w:rPr>
          <w:rFonts w:ascii="Times New Roman" w:hAnsi="Times New Roman"/>
          <w:bCs/>
          <w:sz w:val="20"/>
          <w:szCs w:val="20"/>
        </w:rPr>
      </w:pPr>
    </w:p>
    <w:tbl>
      <w:tblPr>
        <w:tblW w:w="10624" w:type="dxa"/>
        <w:tblInd w:w="-784" w:type="dxa"/>
        <w:tblCellMar>
          <w:left w:w="70" w:type="dxa"/>
          <w:right w:w="70" w:type="dxa"/>
        </w:tblCellMar>
        <w:tblLook w:val="0000" w:firstRow="0" w:lastRow="0" w:firstColumn="0" w:lastColumn="0" w:noHBand="0" w:noVBand="0"/>
      </w:tblPr>
      <w:tblGrid>
        <w:gridCol w:w="4181"/>
        <w:gridCol w:w="1276"/>
        <w:gridCol w:w="1134"/>
        <w:gridCol w:w="758"/>
        <w:gridCol w:w="412"/>
        <w:gridCol w:w="38"/>
        <w:gridCol w:w="1218"/>
        <w:gridCol w:w="49"/>
        <w:gridCol w:w="638"/>
        <w:gridCol w:w="856"/>
        <w:gridCol w:w="64"/>
      </w:tblGrid>
      <w:tr w:rsidR="00656F4B" w:rsidRPr="00020C88" w14:paraId="0DE1E0B8" w14:textId="77777777" w:rsidTr="00362F29">
        <w:trPr>
          <w:gridAfter w:val="1"/>
          <w:wAfter w:w="64" w:type="dxa"/>
          <w:cantSplit/>
          <w:trHeight w:val="255"/>
        </w:trPr>
        <w:tc>
          <w:tcPr>
            <w:tcW w:w="418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57DF589"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Zamestnanosť</w:t>
            </w:r>
          </w:p>
        </w:tc>
        <w:tc>
          <w:tcPr>
            <w:tcW w:w="4836" w:type="dxa"/>
            <w:gridSpan w:val="6"/>
            <w:tcBorders>
              <w:top w:val="single" w:sz="4" w:space="0" w:color="auto"/>
              <w:left w:val="nil"/>
              <w:bottom w:val="single" w:sz="4" w:space="0" w:color="auto"/>
              <w:right w:val="single" w:sz="4" w:space="0" w:color="auto"/>
            </w:tcBorders>
            <w:shd w:val="clear" w:color="auto" w:fill="BFBFBF"/>
          </w:tcPr>
          <w:p w14:paraId="5C415EF0"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Vplyv na rozpočet verejnej správy</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52E3F2AE"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poznámka</w:t>
            </w:r>
          </w:p>
        </w:tc>
      </w:tr>
      <w:tr w:rsidR="00656F4B" w:rsidRPr="00020C88" w14:paraId="1D39F78E" w14:textId="77777777" w:rsidTr="00362F29">
        <w:trPr>
          <w:gridAfter w:val="1"/>
          <w:wAfter w:w="64" w:type="dxa"/>
          <w:cantSplit/>
          <w:trHeight w:val="255"/>
        </w:trPr>
        <w:tc>
          <w:tcPr>
            <w:tcW w:w="4181"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D76AEB7" w14:textId="77777777" w:rsidR="00656F4B" w:rsidRPr="00020C88" w:rsidRDefault="00656F4B" w:rsidP="00CB750F">
            <w:pPr>
              <w:spacing w:after="0" w:line="240" w:lineRule="auto"/>
              <w:jc w:val="both"/>
              <w:rPr>
                <w:rFonts w:ascii="Times New Roman" w:hAnsi="Times New Roman"/>
                <w:b/>
                <w:bCs/>
                <w:sz w:val="20"/>
                <w:szCs w:val="20"/>
              </w:rPr>
            </w:pPr>
          </w:p>
        </w:tc>
        <w:tc>
          <w:tcPr>
            <w:tcW w:w="1276" w:type="dxa"/>
            <w:tcBorders>
              <w:top w:val="nil"/>
              <w:left w:val="nil"/>
              <w:bottom w:val="single" w:sz="4" w:space="0" w:color="auto"/>
              <w:right w:val="single" w:sz="4" w:space="0" w:color="auto"/>
            </w:tcBorders>
            <w:shd w:val="clear" w:color="auto" w:fill="BFBFBF"/>
          </w:tcPr>
          <w:p w14:paraId="3D195AFA"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2019</w:t>
            </w:r>
          </w:p>
        </w:tc>
        <w:tc>
          <w:tcPr>
            <w:tcW w:w="1134" w:type="dxa"/>
            <w:tcBorders>
              <w:top w:val="nil"/>
              <w:left w:val="nil"/>
              <w:bottom w:val="single" w:sz="4" w:space="0" w:color="auto"/>
              <w:right w:val="single" w:sz="4" w:space="0" w:color="auto"/>
            </w:tcBorders>
            <w:shd w:val="clear" w:color="auto" w:fill="BFBFBF"/>
          </w:tcPr>
          <w:p w14:paraId="10C40104"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2020</w:t>
            </w:r>
          </w:p>
        </w:tc>
        <w:tc>
          <w:tcPr>
            <w:tcW w:w="1170" w:type="dxa"/>
            <w:gridSpan w:val="2"/>
            <w:tcBorders>
              <w:top w:val="nil"/>
              <w:left w:val="nil"/>
              <w:bottom w:val="single" w:sz="4" w:space="0" w:color="auto"/>
              <w:right w:val="single" w:sz="4" w:space="0" w:color="auto"/>
            </w:tcBorders>
            <w:shd w:val="clear" w:color="auto" w:fill="BFBFBF"/>
          </w:tcPr>
          <w:p w14:paraId="4A67A1E9"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2021</w:t>
            </w:r>
          </w:p>
        </w:tc>
        <w:tc>
          <w:tcPr>
            <w:tcW w:w="1256" w:type="dxa"/>
            <w:gridSpan w:val="2"/>
            <w:tcBorders>
              <w:top w:val="nil"/>
              <w:left w:val="nil"/>
              <w:bottom w:val="single" w:sz="4" w:space="0" w:color="auto"/>
              <w:right w:val="single" w:sz="4" w:space="0" w:color="auto"/>
            </w:tcBorders>
            <w:shd w:val="clear" w:color="auto" w:fill="BFBFBF"/>
          </w:tcPr>
          <w:p w14:paraId="04BB4EF9"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2022</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0D16C71" w14:textId="77777777" w:rsidR="00656F4B" w:rsidRPr="00020C88" w:rsidRDefault="00656F4B" w:rsidP="00CB750F">
            <w:pPr>
              <w:spacing w:after="0" w:line="240" w:lineRule="auto"/>
              <w:jc w:val="both"/>
              <w:rPr>
                <w:rFonts w:ascii="Times New Roman" w:hAnsi="Times New Roman"/>
                <w:b/>
                <w:bCs/>
                <w:color w:val="FFFFFF"/>
                <w:sz w:val="20"/>
                <w:szCs w:val="20"/>
              </w:rPr>
            </w:pPr>
          </w:p>
        </w:tc>
      </w:tr>
      <w:tr w:rsidR="00656F4B" w:rsidRPr="00020C88" w14:paraId="6C4EB3CB"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53DAC785"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Počet zamestnancov celkom</w:t>
            </w:r>
          </w:p>
        </w:tc>
        <w:tc>
          <w:tcPr>
            <w:tcW w:w="1276" w:type="dxa"/>
            <w:tcBorders>
              <w:top w:val="nil"/>
              <w:left w:val="nil"/>
              <w:bottom w:val="single" w:sz="4" w:space="0" w:color="auto"/>
              <w:right w:val="single" w:sz="4" w:space="0" w:color="auto"/>
            </w:tcBorders>
          </w:tcPr>
          <w:p w14:paraId="0B25175B" w14:textId="77777777" w:rsidR="00656F4B" w:rsidRPr="00020C88" w:rsidRDefault="00656F4B" w:rsidP="00CB750F">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tcPr>
          <w:p w14:paraId="28FDAFF6" w14:textId="77777777" w:rsidR="00656F4B" w:rsidRPr="00020C88" w:rsidRDefault="00656F4B" w:rsidP="00CB750F">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tcPr>
          <w:p w14:paraId="27544929" w14:textId="77777777" w:rsidR="00656F4B" w:rsidRPr="00020C88" w:rsidRDefault="00656F4B" w:rsidP="00CB750F">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tcPr>
          <w:p w14:paraId="678766BC" w14:textId="77777777" w:rsidR="00656F4B" w:rsidRPr="00020C88" w:rsidRDefault="00656F4B" w:rsidP="00CB750F">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14:paraId="507D2704"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16B58567"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22546FCE"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xml:space="preserve">   z toho vplyv na ŠR</w:t>
            </w:r>
          </w:p>
        </w:tc>
        <w:tc>
          <w:tcPr>
            <w:tcW w:w="1276" w:type="dxa"/>
            <w:tcBorders>
              <w:top w:val="single" w:sz="4" w:space="0" w:color="auto"/>
              <w:left w:val="nil"/>
              <w:bottom w:val="single" w:sz="4" w:space="0" w:color="auto"/>
              <w:right w:val="single" w:sz="4" w:space="0" w:color="auto"/>
            </w:tcBorders>
          </w:tcPr>
          <w:p w14:paraId="1C51EB75" w14:textId="77777777" w:rsidR="00656F4B" w:rsidRPr="00020C88" w:rsidRDefault="00656F4B" w:rsidP="00CB750F">
            <w:pPr>
              <w:spacing w:after="0" w:line="240" w:lineRule="auto"/>
              <w:jc w:val="both"/>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tcPr>
          <w:p w14:paraId="0DC2B522" w14:textId="77777777" w:rsidR="00656F4B" w:rsidRPr="00020C88" w:rsidRDefault="00656F4B" w:rsidP="00CB750F">
            <w:pPr>
              <w:spacing w:after="0" w:line="240" w:lineRule="auto"/>
              <w:jc w:val="both"/>
              <w:rPr>
                <w:rFonts w:ascii="Times New Roman" w:hAnsi="Times New Roman"/>
                <w:b/>
                <w:bCs/>
                <w:sz w:val="20"/>
                <w:szCs w:val="20"/>
              </w:rPr>
            </w:pPr>
          </w:p>
        </w:tc>
        <w:tc>
          <w:tcPr>
            <w:tcW w:w="1170" w:type="dxa"/>
            <w:gridSpan w:val="2"/>
            <w:tcBorders>
              <w:top w:val="single" w:sz="4" w:space="0" w:color="auto"/>
              <w:left w:val="nil"/>
              <w:bottom w:val="single" w:sz="4" w:space="0" w:color="auto"/>
              <w:right w:val="single" w:sz="4" w:space="0" w:color="auto"/>
            </w:tcBorders>
          </w:tcPr>
          <w:p w14:paraId="01AB93BA" w14:textId="77777777" w:rsidR="00656F4B" w:rsidRPr="00020C88" w:rsidRDefault="00656F4B" w:rsidP="00CB750F">
            <w:pPr>
              <w:spacing w:after="0" w:line="240" w:lineRule="auto"/>
              <w:jc w:val="both"/>
              <w:rPr>
                <w:rFonts w:ascii="Times New Roman" w:hAnsi="Times New Roman"/>
                <w:b/>
                <w:bCs/>
                <w:sz w:val="20"/>
                <w:szCs w:val="20"/>
              </w:rPr>
            </w:pPr>
          </w:p>
        </w:tc>
        <w:tc>
          <w:tcPr>
            <w:tcW w:w="1256" w:type="dxa"/>
            <w:gridSpan w:val="2"/>
            <w:tcBorders>
              <w:top w:val="single" w:sz="4" w:space="0" w:color="auto"/>
              <w:left w:val="nil"/>
              <w:bottom w:val="single" w:sz="4" w:space="0" w:color="auto"/>
              <w:right w:val="single" w:sz="4" w:space="0" w:color="auto"/>
            </w:tcBorders>
          </w:tcPr>
          <w:p w14:paraId="2E4EE6CA" w14:textId="77777777" w:rsidR="00656F4B" w:rsidRPr="00020C88" w:rsidRDefault="00656F4B" w:rsidP="00CB750F">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14:paraId="23F8B146" w14:textId="77777777" w:rsidR="00656F4B" w:rsidRPr="00020C88" w:rsidRDefault="00656F4B" w:rsidP="00CB750F">
            <w:pPr>
              <w:spacing w:after="0" w:line="240" w:lineRule="auto"/>
              <w:jc w:val="both"/>
              <w:rPr>
                <w:rFonts w:ascii="Times New Roman" w:hAnsi="Times New Roman"/>
                <w:sz w:val="20"/>
                <w:szCs w:val="20"/>
              </w:rPr>
            </w:pPr>
          </w:p>
        </w:tc>
      </w:tr>
      <w:tr w:rsidR="00656F4B" w:rsidRPr="00020C88" w14:paraId="2A401E0C"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4CCB7205"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Priemerný mzdový výdavok (v eurách)</w:t>
            </w:r>
          </w:p>
        </w:tc>
        <w:tc>
          <w:tcPr>
            <w:tcW w:w="1276" w:type="dxa"/>
            <w:tcBorders>
              <w:top w:val="single" w:sz="4" w:space="0" w:color="auto"/>
              <w:left w:val="nil"/>
              <w:bottom w:val="single" w:sz="4" w:space="0" w:color="auto"/>
              <w:right w:val="single" w:sz="4" w:space="0" w:color="auto"/>
            </w:tcBorders>
          </w:tcPr>
          <w:p w14:paraId="33E20D19" w14:textId="77777777" w:rsidR="00656F4B" w:rsidRPr="00020C88" w:rsidRDefault="00656F4B" w:rsidP="00CB750F">
            <w:pPr>
              <w:spacing w:after="0" w:line="240" w:lineRule="auto"/>
              <w:jc w:val="both"/>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tcPr>
          <w:p w14:paraId="021D456A" w14:textId="77777777" w:rsidR="00656F4B" w:rsidRPr="00020C88" w:rsidRDefault="00656F4B" w:rsidP="00CB750F">
            <w:pPr>
              <w:spacing w:after="0" w:line="240" w:lineRule="auto"/>
              <w:jc w:val="both"/>
              <w:rPr>
                <w:rFonts w:ascii="Times New Roman" w:hAnsi="Times New Roman"/>
                <w:b/>
                <w:bCs/>
                <w:sz w:val="20"/>
                <w:szCs w:val="20"/>
              </w:rPr>
            </w:pPr>
          </w:p>
        </w:tc>
        <w:tc>
          <w:tcPr>
            <w:tcW w:w="1170" w:type="dxa"/>
            <w:gridSpan w:val="2"/>
            <w:tcBorders>
              <w:top w:val="single" w:sz="4" w:space="0" w:color="auto"/>
              <w:left w:val="nil"/>
              <w:bottom w:val="single" w:sz="4" w:space="0" w:color="auto"/>
              <w:right w:val="single" w:sz="4" w:space="0" w:color="auto"/>
            </w:tcBorders>
          </w:tcPr>
          <w:p w14:paraId="37FC9201" w14:textId="77777777" w:rsidR="00656F4B" w:rsidRPr="00020C88" w:rsidRDefault="00656F4B" w:rsidP="00CB750F">
            <w:pPr>
              <w:spacing w:after="0" w:line="240" w:lineRule="auto"/>
              <w:jc w:val="both"/>
              <w:rPr>
                <w:rFonts w:ascii="Times New Roman" w:hAnsi="Times New Roman"/>
                <w:b/>
                <w:bCs/>
                <w:sz w:val="20"/>
                <w:szCs w:val="20"/>
              </w:rPr>
            </w:pPr>
          </w:p>
        </w:tc>
        <w:tc>
          <w:tcPr>
            <w:tcW w:w="1256" w:type="dxa"/>
            <w:gridSpan w:val="2"/>
            <w:tcBorders>
              <w:top w:val="single" w:sz="4" w:space="0" w:color="auto"/>
              <w:left w:val="nil"/>
              <w:bottom w:val="single" w:sz="4" w:space="0" w:color="auto"/>
              <w:right w:val="single" w:sz="4" w:space="0" w:color="auto"/>
            </w:tcBorders>
          </w:tcPr>
          <w:p w14:paraId="6F7A076E" w14:textId="77777777" w:rsidR="00656F4B" w:rsidRPr="00020C88" w:rsidRDefault="00656F4B" w:rsidP="00CB750F">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14:paraId="377BFA5A"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50905DFB"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78CD738B"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b/>
                <w:bCs/>
                <w:sz w:val="20"/>
                <w:szCs w:val="20"/>
              </w:rPr>
              <w:t xml:space="preserve">   z toho vplyv na ŠR</w:t>
            </w:r>
          </w:p>
        </w:tc>
        <w:tc>
          <w:tcPr>
            <w:tcW w:w="1276" w:type="dxa"/>
            <w:tcBorders>
              <w:top w:val="single" w:sz="4" w:space="0" w:color="auto"/>
              <w:left w:val="nil"/>
              <w:bottom w:val="single" w:sz="4" w:space="0" w:color="auto"/>
              <w:right w:val="single" w:sz="4" w:space="0" w:color="auto"/>
            </w:tcBorders>
          </w:tcPr>
          <w:p w14:paraId="7CD69CBE"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tcPr>
          <w:p w14:paraId="504831F6"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c>
          <w:tcPr>
            <w:tcW w:w="1170" w:type="dxa"/>
            <w:gridSpan w:val="2"/>
            <w:tcBorders>
              <w:top w:val="single" w:sz="4" w:space="0" w:color="auto"/>
              <w:left w:val="nil"/>
              <w:bottom w:val="single" w:sz="4" w:space="0" w:color="auto"/>
              <w:right w:val="single" w:sz="4" w:space="0" w:color="auto"/>
            </w:tcBorders>
          </w:tcPr>
          <w:p w14:paraId="7CB19DD4"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c>
          <w:tcPr>
            <w:tcW w:w="1256" w:type="dxa"/>
            <w:gridSpan w:val="2"/>
            <w:tcBorders>
              <w:top w:val="single" w:sz="4" w:space="0" w:color="auto"/>
              <w:left w:val="nil"/>
              <w:bottom w:val="single" w:sz="4" w:space="0" w:color="auto"/>
              <w:right w:val="single" w:sz="4" w:space="0" w:color="auto"/>
            </w:tcBorders>
          </w:tcPr>
          <w:p w14:paraId="4500CAB2"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c>
          <w:tcPr>
            <w:tcW w:w="1543" w:type="dxa"/>
            <w:gridSpan w:val="3"/>
            <w:tcBorders>
              <w:top w:val="nil"/>
              <w:left w:val="nil"/>
              <w:bottom w:val="single" w:sz="4" w:space="0" w:color="auto"/>
              <w:right w:val="single" w:sz="4" w:space="0" w:color="auto"/>
            </w:tcBorders>
            <w:noWrap/>
            <w:vAlign w:val="bottom"/>
          </w:tcPr>
          <w:p w14:paraId="4A6CF218"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1F8E8F75"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shd w:val="clear" w:color="auto" w:fill="BFBFBF"/>
          </w:tcPr>
          <w:p w14:paraId="4D72492A"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Osobné výdavky celkom (v eurách)</w:t>
            </w:r>
          </w:p>
        </w:tc>
        <w:tc>
          <w:tcPr>
            <w:tcW w:w="1276" w:type="dxa"/>
            <w:tcBorders>
              <w:top w:val="nil"/>
              <w:left w:val="nil"/>
              <w:bottom w:val="single" w:sz="4" w:space="0" w:color="auto"/>
              <w:right w:val="single" w:sz="4" w:space="0" w:color="auto"/>
            </w:tcBorders>
            <w:shd w:val="clear" w:color="auto" w:fill="BFBFBF"/>
          </w:tcPr>
          <w:p w14:paraId="346DA813" w14:textId="77777777" w:rsidR="00656F4B" w:rsidRPr="00020C88" w:rsidRDefault="00656F4B" w:rsidP="00CB750F">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shd w:val="clear" w:color="auto" w:fill="BFBFBF"/>
          </w:tcPr>
          <w:p w14:paraId="6DD5B63E" w14:textId="77777777" w:rsidR="00656F4B" w:rsidRPr="00020C88" w:rsidRDefault="00656F4B" w:rsidP="00CB750F">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shd w:val="clear" w:color="auto" w:fill="BFBFBF"/>
          </w:tcPr>
          <w:p w14:paraId="3ABD6475" w14:textId="77777777" w:rsidR="00656F4B" w:rsidRPr="00020C88" w:rsidRDefault="00656F4B" w:rsidP="00CB750F">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shd w:val="clear" w:color="auto" w:fill="BFBFBF"/>
          </w:tcPr>
          <w:p w14:paraId="0EC3A0C4" w14:textId="77777777" w:rsidR="00656F4B" w:rsidRPr="00020C88" w:rsidRDefault="00656F4B" w:rsidP="00CB750F">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shd w:val="clear" w:color="auto" w:fill="BFBFBF"/>
            <w:noWrap/>
            <w:vAlign w:val="bottom"/>
          </w:tcPr>
          <w:p w14:paraId="01FB44E4"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r>
      <w:tr w:rsidR="00656F4B" w:rsidRPr="00020C88" w14:paraId="4316D101"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3B2250ED"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Mzdy, platy, služobné príjmy a ostatné osobné vyrovnania (610)</w:t>
            </w:r>
          </w:p>
        </w:tc>
        <w:tc>
          <w:tcPr>
            <w:tcW w:w="1276" w:type="dxa"/>
            <w:tcBorders>
              <w:top w:val="nil"/>
              <w:left w:val="nil"/>
              <w:bottom w:val="single" w:sz="4" w:space="0" w:color="auto"/>
              <w:right w:val="single" w:sz="4" w:space="0" w:color="auto"/>
            </w:tcBorders>
          </w:tcPr>
          <w:p w14:paraId="2E876146" w14:textId="77777777" w:rsidR="00656F4B" w:rsidRPr="00020C88" w:rsidRDefault="00656F4B" w:rsidP="00CB750F">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tcPr>
          <w:p w14:paraId="1AAB97B8" w14:textId="77777777" w:rsidR="00656F4B" w:rsidRPr="00020C88" w:rsidRDefault="00656F4B" w:rsidP="00CB750F">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tcPr>
          <w:p w14:paraId="43E826CA" w14:textId="77777777" w:rsidR="00656F4B" w:rsidRPr="00020C88" w:rsidRDefault="00656F4B" w:rsidP="00CB750F">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tcPr>
          <w:p w14:paraId="3C24EF05" w14:textId="77777777" w:rsidR="00656F4B" w:rsidRPr="00020C88" w:rsidRDefault="00656F4B" w:rsidP="00CB750F">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14:paraId="6FF27246"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r>
      <w:tr w:rsidR="00656F4B" w:rsidRPr="00020C88" w14:paraId="1DE2ED13"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5D5CEAA7"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b/>
                <w:bCs/>
                <w:sz w:val="20"/>
                <w:szCs w:val="20"/>
              </w:rPr>
              <w:t xml:space="preserve">   z toho vplyv na ŠR</w:t>
            </w:r>
          </w:p>
        </w:tc>
        <w:tc>
          <w:tcPr>
            <w:tcW w:w="1276" w:type="dxa"/>
            <w:tcBorders>
              <w:top w:val="nil"/>
              <w:left w:val="nil"/>
              <w:bottom w:val="single" w:sz="4" w:space="0" w:color="auto"/>
              <w:right w:val="single" w:sz="4" w:space="0" w:color="auto"/>
            </w:tcBorders>
          </w:tcPr>
          <w:p w14:paraId="50A2F9F5" w14:textId="77777777" w:rsidR="00656F4B" w:rsidRPr="00020C88" w:rsidRDefault="00656F4B" w:rsidP="00CB750F">
            <w:pPr>
              <w:spacing w:after="0" w:line="240" w:lineRule="auto"/>
              <w:jc w:val="both"/>
              <w:rPr>
                <w:rFonts w:ascii="Times New Roman" w:hAnsi="Times New Roman"/>
                <w:sz w:val="20"/>
                <w:szCs w:val="20"/>
              </w:rPr>
            </w:pPr>
          </w:p>
        </w:tc>
        <w:tc>
          <w:tcPr>
            <w:tcW w:w="1134" w:type="dxa"/>
            <w:tcBorders>
              <w:top w:val="nil"/>
              <w:left w:val="nil"/>
              <w:bottom w:val="single" w:sz="4" w:space="0" w:color="auto"/>
              <w:right w:val="single" w:sz="4" w:space="0" w:color="auto"/>
            </w:tcBorders>
          </w:tcPr>
          <w:p w14:paraId="175C1E6C" w14:textId="77777777" w:rsidR="00656F4B" w:rsidRPr="00020C88" w:rsidRDefault="00656F4B" w:rsidP="00CB750F">
            <w:pPr>
              <w:spacing w:after="0" w:line="240" w:lineRule="auto"/>
              <w:jc w:val="both"/>
              <w:rPr>
                <w:rFonts w:ascii="Times New Roman" w:hAnsi="Times New Roman"/>
                <w:sz w:val="20"/>
                <w:szCs w:val="20"/>
              </w:rPr>
            </w:pPr>
          </w:p>
        </w:tc>
        <w:tc>
          <w:tcPr>
            <w:tcW w:w="1170" w:type="dxa"/>
            <w:gridSpan w:val="2"/>
            <w:tcBorders>
              <w:top w:val="nil"/>
              <w:left w:val="nil"/>
              <w:bottom w:val="single" w:sz="4" w:space="0" w:color="auto"/>
              <w:right w:val="single" w:sz="4" w:space="0" w:color="auto"/>
            </w:tcBorders>
          </w:tcPr>
          <w:p w14:paraId="4407D6B9" w14:textId="77777777" w:rsidR="00656F4B" w:rsidRPr="00020C88" w:rsidRDefault="00656F4B" w:rsidP="00CB750F">
            <w:pPr>
              <w:spacing w:after="0" w:line="240" w:lineRule="auto"/>
              <w:jc w:val="both"/>
              <w:rPr>
                <w:rFonts w:ascii="Times New Roman" w:hAnsi="Times New Roman"/>
                <w:sz w:val="20"/>
                <w:szCs w:val="20"/>
              </w:rPr>
            </w:pPr>
          </w:p>
        </w:tc>
        <w:tc>
          <w:tcPr>
            <w:tcW w:w="1256" w:type="dxa"/>
            <w:gridSpan w:val="2"/>
            <w:tcBorders>
              <w:top w:val="nil"/>
              <w:left w:val="nil"/>
              <w:bottom w:val="single" w:sz="4" w:space="0" w:color="auto"/>
              <w:right w:val="single" w:sz="4" w:space="0" w:color="auto"/>
            </w:tcBorders>
          </w:tcPr>
          <w:p w14:paraId="7BC5479A" w14:textId="77777777" w:rsidR="00656F4B" w:rsidRPr="00020C88" w:rsidRDefault="00656F4B" w:rsidP="00CB750F">
            <w:pPr>
              <w:spacing w:after="0" w:line="240" w:lineRule="auto"/>
              <w:jc w:val="both"/>
              <w:rPr>
                <w:rFonts w:ascii="Times New Roman" w:hAnsi="Times New Roman"/>
                <w:sz w:val="20"/>
                <w:szCs w:val="20"/>
              </w:rPr>
            </w:pPr>
          </w:p>
        </w:tc>
        <w:tc>
          <w:tcPr>
            <w:tcW w:w="1543" w:type="dxa"/>
            <w:gridSpan w:val="3"/>
            <w:tcBorders>
              <w:top w:val="nil"/>
              <w:left w:val="nil"/>
              <w:bottom w:val="single" w:sz="4" w:space="0" w:color="auto"/>
              <w:right w:val="single" w:sz="4" w:space="0" w:color="auto"/>
            </w:tcBorders>
            <w:noWrap/>
            <w:vAlign w:val="bottom"/>
          </w:tcPr>
          <w:p w14:paraId="5A58DB53"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0FEB63A3"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25ADB74A"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Poistné a príspevok do poisťovní (620)</w:t>
            </w:r>
          </w:p>
        </w:tc>
        <w:tc>
          <w:tcPr>
            <w:tcW w:w="1276" w:type="dxa"/>
            <w:tcBorders>
              <w:top w:val="nil"/>
              <w:left w:val="nil"/>
              <w:bottom w:val="single" w:sz="4" w:space="0" w:color="auto"/>
              <w:right w:val="single" w:sz="4" w:space="0" w:color="auto"/>
            </w:tcBorders>
          </w:tcPr>
          <w:p w14:paraId="145D4D01" w14:textId="77777777" w:rsidR="00656F4B" w:rsidRPr="00020C88" w:rsidRDefault="00656F4B" w:rsidP="00CB750F">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tcPr>
          <w:p w14:paraId="5A5FDEE7" w14:textId="77777777" w:rsidR="00656F4B" w:rsidRPr="00020C88" w:rsidRDefault="00656F4B" w:rsidP="00CB750F">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tcPr>
          <w:p w14:paraId="2AF71EF5" w14:textId="77777777" w:rsidR="00656F4B" w:rsidRPr="00020C88" w:rsidRDefault="00656F4B" w:rsidP="00CB750F">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tcPr>
          <w:p w14:paraId="656B6B14" w14:textId="77777777" w:rsidR="00656F4B" w:rsidRPr="00020C88" w:rsidRDefault="00656F4B" w:rsidP="00CB750F">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14:paraId="64F7C271"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 </w:t>
            </w:r>
          </w:p>
        </w:tc>
      </w:tr>
      <w:tr w:rsidR="00656F4B" w:rsidRPr="00020C88" w14:paraId="59A33581"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545A1DFC"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b/>
                <w:bCs/>
                <w:sz w:val="20"/>
                <w:szCs w:val="20"/>
              </w:rPr>
              <w:t xml:space="preserve">   z toho vplyv na ŠR</w:t>
            </w:r>
          </w:p>
        </w:tc>
        <w:tc>
          <w:tcPr>
            <w:tcW w:w="1276" w:type="dxa"/>
            <w:tcBorders>
              <w:top w:val="nil"/>
              <w:left w:val="nil"/>
              <w:bottom w:val="single" w:sz="4" w:space="0" w:color="auto"/>
              <w:right w:val="single" w:sz="4" w:space="0" w:color="auto"/>
            </w:tcBorders>
          </w:tcPr>
          <w:p w14:paraId="203D281D" w14:textId="77777777" w:rsidR="00656F4B" w:rsidRPr="00020C88" w:rsidRDefault="00656F4B" w:rsidP="00CB750F">
            <w:pPr>
              <w:spacing w:after="0" w:line="240" w:lineRule="auto"/>
              <w:jc w:val="both"/>
              <w:rPr>
                <w:rFonts w:ascii="Times New Roman" w:hAnsi="Times New Roman"/>
                <w:sz w:val="20"/>
                <w:szCs w:val="20"/>
              </w:rPr>
            </w:pPr>
          </w:p>
        </w:tc>
        <w:tc>
          <w:tcPr>
            <w:tcW w:w="1134" w:type="dxa"/>
            <w:tcBorders>
              <w:top w:val="nil"/>
              <w:left w:val="nil"/>
              <w:bottom w:val="single" w:sz="4" w:space="0" w:color="auto"/>
              <w:right w:val="single" w:sz="4" w:space="0" w:color="auto"/>
            </w:tcBorders>
          </w:tcPr>
          <w:p w14:paraId="653892A9" w14:textId="77777777" w:rsidR="00656F4B" w:rsidRPr="00020C88" w:rsidRDefault="00656F4B" w:rsidP="00CB750F">
            <w:pPr>
              <w:spacing w:after="0" w:line="240" w:lineRule="auto"/>
              <w:jc w:val="both"/>
              <w:rPr>
                <w:rFonts w:ascii="Times New Roman" w:hAnsi="Times New Roman"/>
                <w:sz w:val="20"/>
                <w:szCs w:val="20"/>
              </w:rPr>
            </w:pPr>
          </w:p>
        </w:tc>
        <w:tc>
          <w:tcPr>
            <w:tcW w:w="1170" w:type="dxa"/>
            <w:gridSpan w:val="2"/>
            <w:tcBorders>
              <w:top w:val="nil"/>
              <w:left w:val="nil"/>
              <w:bottom w:val="single" w:sz="4" w:space="0" w:color="auto"/>
              <w:right w:val="single" w:sz="4" w:space="0" w:color="auto"/>
            </w:tcBorders>
          </w:tcPr>
          <w:p w14:paraId="465F4B17" w14:textId="77777777" w:rsidR="00656F4B" w:rsidRPr="00020C88" w:rsidRDefault="00656F4B" w:rsidP="00CB750F">
            <w:pPr>
              <w:spacing w:after="0" w:line="240" w:lineRule="auto"/>
              <w:jc w:val="both"/>
              <w:rPr>
                <w:rFonts w:ascii="Times New Roman" w:hAnsi="Times New Roman"/>
                <w:sz w:val="20"/>
                <w:szCs w:val="20"/>
              </w:rPr>
            </w:pPr>
          </w:p>
        </w:tc>
        <w:tc>
          <w:tcPr>
            <w:tcW w:w="1256" w:type="dxa"/>
            <w:gridSpan w:val="2"/>
            <w:tcBorders>
              <w:top w:val="nil"/>
              <w:left w:val="nil"/>
              <w:bottom w:val="single" w:sz="4" w:space="0" w:color="auto"/>
              <w:right w:val="single" w:sz="4" w:space="0" w:color="auto"/>
            </w:tcBorders>
          </w:tcPr>
          <w:p w14:paraId="50D08832" w14:textId="77777777" w:rsidR="00656F4B" w:rsidRPr="00020C88" w:rsidRDefault="00656F4B" w:rsidP="00CB750F">
            <w:pPr>
              <w:spacing w:after="0" w:line="240" w:lineRule="auto"/>
              <w:jc w:val="both"/>
              <w:rPr>
                <w:rFonts w:ascii="Times New Roman" w:hAnsi="Times New Roman"/>
                <w:sz w:val="20"/>
                <w:szCs w:val="20"/>
              </w:rPr>
            </w:pPr>
          </w:p>
        </w:tc>
        <w:tc>
          <w:tcPr>
            <w:tcW w:w="1543" w:type="dxa"/>
            <w:gridSpan w:val="3"/>
            <w:tcBorders>
              <w:top w:val="nil"/>
              <w:left w:val="nil"/>
              <w:bottom w:val="single" w:sz="4" w:space="0" w:color="auto"/>
              <w:right w:val="single" w:sz="4" w:space="0" w:color="auto"/>
            </w:tcBorders>
            <w:noWrap/>
            <w:vAlign w:val="bottom"/>
          </w:tcPr>
          <w:p w14:paraId="6B05D402"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 </w:t>
            </w:r>
          </w:p>
        </w:tc>
      </w:tr>
      <w:tr w:rsidR="00656F4B" w:rsidRPr="00020C88" w14:paraId="59FDA919" w14:textId="77777777" w:rsidTr="00362F29">
        <w:trPr>
          <w:gridAfter w:val="1"/>
          <w:wAfter w:w="64" w:type="dxa"/>
          <w:trHeight w:val="255"/>
        </w:trPr>
        <w:tc>
          <w:tcPr>
            <w:tcW w:w="4181" w:type="dxa"/>
            <w:tcBorders>
              <w:top w:val="nil"/>
              <w:left w:val="nil"/>
              <w:bottom w:val="nil"/>
              <w:right w:val="nil"/>
            </w:tcBorders>
            <w:noWrap/>
            <w:vAlign w:val="bottom"/>
          </w:tcPr>
          <w:p w14:paraId="65487B8A" w14:textId="77777777" w:rsidR="00656F4B" w:rsidRPr="00020C88" w:rsidRDefault="00656F4B" w:rsidP="00CB750F">
            <w:pPr>
              <w:spacing w:after="0" w:line="240" w:lineRule="auto"/>
              <w:jc w:val="both"/>
              <w:rPr>
                <w:rFonts w:ascii="Times New Roman" w:hAnsi="Times New Roman"/>
                <w:sz w:val="20"/>
                <w:szCs w:val="20"/>
              </w:rPr>
            </w:pPr>
          </w:p>
        </w:tc>
        <w:tc>
          <w:tcPr>
            <w:tcW w:w="1276" w:type="dxa"/>
            <w:tcBorders>
              <w:top w:val="nil"/>
              <w:left w:val="nil"/>
              <w:bottom w:val="nil"/>
              <w:right w:val="nil"/>
            </w:tcBorders>
            <w:noWrap/>
            <w:vAlign w:val="bottom"/>
          </w:tcPr>
          <w:p w14:paraId="28B849A1" w14:textId="77777777" w:rsidR="00656F4B" w:rsidRPr="00020C88" w:rsidRDefault="00656F4B" w:rsidP="00CB750F">
            <w:pPr>
              <w:spacing w:after="0" w:line="240" w:lineRule="auto"/>
              <w:jc w:val="both"/>
              <w:rPr>
                <w:rFonts w:ascii="Times New Roman" w:hAnsi="Times New Roman"/>
                <w:sz w:val="20"/>
                <w:szCs w:val="20"/>
              </w:rPr>
            </w:pPr>
          </w:p>
        </w:tc>
        <w:tc>
          <w:tcPr>
            <w:tcW w:w="1134" w:type="dxa"/>
            <w:tcBorders>
              <w:top w:val="nil"/>
              <w:left w:val="nil"/>
              <w:bottom w:val="nil"/>
              <w:right w:val="nil"/>
            </w:tcBorders>
            <w:noWrap/>
            <w:vAlign w:val="bottom"/>
          </w:tcPr>
          <w:p w14:paraId="40ED7FED" w14:textId="77777777" w:rsidR="00656F4B" w:rsidRPr="00020C88" w:rsidRDefault="00656F4B" w:rsidP="00CB750F">
            <w:pPr>
              <w:spacing w:after="0" w:line="240" w:lineRule="auto"/>
              <w:jc w:val="both"/>
              <w:rPr>
                <w:rFonts w:ascii="Times New Roman" w:hAnsi="Times New Roman"/>
                <w:sz w:val="20"/>
                <w:szCs w:val="20"/>
              </w:rPr>
            </w:pPr>
          </w:p>
        </w:tc>
        <w:tc>
          <w:tcPr>
            <w:tcW w:w="1170" w:type="dxa"/>
            <w:gridSpan w:val="2"/>
            <w:tcBorders>
              <w:top w:val="nil"/>
              <w:left w:val="nil"/>
              <w:bottom w:val="nil"/>
              <w:right w:val="nil"/>
            </w:tcBorders>
            <w:noWrap/>
            <w:vAlign w:val="bottom"/>
          </w:tcPr>
          <w:p w14:paraId="72518A26" w14:textId="77777777" w:rsidR="00656F4B" w:rsidRPr="00020C88" w:rsidRDefault="00656F4B" w:rsidP="00CB750F">
            <w:pPr>
              <w:spacing w:after="0" w:line="240" w:lineRule="auto"/>
              <w:jc w:val="both"/>
              <w:rPr>
                <w:rFonts w:ascii="Times New Roman" w:hAnsi="Times New Roman"/>
                <w:sz w:val="20"/>
                <w:szCs w:val="20"/>
              </w:rPr>
            </w:pPr>
          </w:p>
        </w:tc>
        <w:tc>
          <w:tcPr>
            <w:tcW w:w="1256" w:type="dxa"/>
            <w:gridSpan w:val="2"/>
            <w:tcBorders>
              <w:top w:val="nil"/>
              <w:left w:val="nil"/>
              <w:bottom w:val="nil"/>
              <w:right w:val="nil"/>
            </w:tcBorders>
            <w:noWrap/>
            <w:vAlign w:val="bottom"/>
          </w:tcPr>
          <w:p w14:paraId="3D2DD8F4" w14:textId="77777777" w:rsidR="00656F4B" w:rsidRPr="00020C88" w:rsidRDefault="00656F4B" w:rsidP="00CB750F">
            <w:pPr>
              <w:spacing w:after="0" w:line="240" w:lineRule="auto"/>
              <w:jc w:val="both"/>
              <w:rPr>
                <w:rFonts w:ascii="Times New Roman" w:hAnsi="Times New Roman"/>
                <w:sz w:val="20"/>
                <w:szCs w:val="20"/>
              </w:rPr>
            </w:pPr>
          </w:p>
        </w:tc>
        <w:tc>
          <w:tcPr>
            <w:tcW w:w="1543" w:type="dxa"/>
            <w:gridSpan w:val="3"/>
            <w:tcBorders>
              <w:top w:val="nil"/>
              <w:left w:val="nil"/>
              <w:bottom w:val="nil"/>
              <w:right w:val="nil"/>
            </w:tcBorders>
            <w:noWrap/>
            <w:vAlign w:val="bottom"/>
          </w:tcPr>
          <w:p w14:paraId="22E8D9F1" w14:textId="77777777" w:rsidR="00656F4B" w:rsidRPr="00020C88" w:rsidRDefault="00656F4B" w:rsidP="00CB750F">
            <w:pPr>
              <w:spacing w:after="0" w:line="240" w:lineRule="auto"/>
              <w:jc w:val="both"/>
              <w:rPr>
                <w:rFonts w:ascii="Times New Roman" w:hAnsi="Times New Roman"/>
                <w:sz w:val="20"/>
                <w:szCs w:val="20"/>
              </w:rPr>
            </w:pPr>
          </w:p>
        </w:tc>
      </w:tr>
      <w:tr w:rsidR="00656F4B" w:rsidRPr="00020C88" w14:paraId="28D20FA9" w14:textId="77777777" w:rsidTr="00362F29">
        <w:trPr>
          <w:gridAfter w:val="1"/>
          <w:wAfter w:w="64" w:type="dxa"/>
          <w:trHeight w:val="255"/>
        </w:trPr>
        <w:tc>
          <w:tcPr>
            <w:tcW w:w="4181" w:type="dxa"/>
            <w:tcBorders>
              <w:top w:val="nil"/>
              <w:left w:val="nil"/>
              <w:bottom w:val="nil"/>
              <w:right w:val="nil"/>
            </w:tcBorders>
          </w:tcPr>
          <w:p w14:paraId="734D06E9" w14:textId="77777777" w:rsidR="00656F4B" w:rsidRPr="00020C88" w:rsidRDefault="00656F4B" w:rsidP="00CB750F">
            <w:pPr>
              <w:spacing w:after="0" w:line="240" w:lineRule="auto"/>
              <w:jc w:val="both"/>
              <w:rPr>
                <w:rFonts w:ascii="Times New Roman" w:hAnsi="Times New Roman"/>
                <w:b/>
                <w:bCs/>
                <w:sz w:val="20"/>
                <w:szCs w:val="20"/>
              </w:rPr>
            </w:pPr>
            <w:r w:rsidRPr="00020C88">
              <w:rPr>
                <w:rFonts w:ascii="Times New Roman" w:hAnsi="Times New Roman"/>
                <w:b/>
                <w:bCs/>
                <w:sz w:val="20"/>
                <w:szCs w:val="20"/>
              </w:rPr>
              <w:t>Poznámky:</w:t>
            </w:r>
          </w:p>
        </w:tc>
        <w:tc>
          <w:tcPr>
            <w:tcW w:w="1276" w:type="dxa"/>
            <w:tcBorders>
              <w:top w:val="nil"/>
              <w:left w:val="nil"/>
              <w:bottom w:val="nil"/>
              <w:right w:val="nil"/>
            </w:tcBorders>
            <w:noWrap/>
            <w:vAlign w:val="bottom"/>
          </w:tcPr>
          <w:p w14:paraId="6D0F08E2" w14:textId="77777777" w:rsidR="00656F4B" w:rsidRPr="00020C88" w:rsidRDefault="00656F4B" w:rsidP="00CB750F">
            <w:pPr>
              <w:spacing w:after="0" w:line="240" w:lineRule="auto"/>
              <w:jc w:val="both"/>
              <w:rPr>
                <w:rFonts w:ascii="Times New Roman" w:hAnsi="Times New Roman"/>
                <w:sz w:val="20"/>
                <w:szCs w:val="20"/>
              </w:rPr>
            </w:pPr>
          </w:p>
        </w:tc>
        <w:tc>
          <w:tcPr>
            <w:tcW w:w="1134" w:type="dxa"/>
            <w:tcBorders>
              <w:top w:val="nil"/>
              <w:left w:val="nil"/>
              <w:bottom w:val="nil"/>
              <w:right w:val="nil"/>
            </w:tcBorders>
            <w:noWrap/>
            <w:vAlign w:val="bottom"/>
          </w:tcPr>
          <w:p w14:paraId="74D4CA32" w14:textId="77777777" w:rsidR="00656F4B" w:rsidRPr="00020C88" w:rsidRDefault="00656F4B" w:rsidP="00CB750F">
            <w:pPr>
              <w:spacing w:after="0" w:line="240" w:lineRule="auto"/>
              <w:jc w:val="both"/>
              <w:rPr>
                <w:rFonts w:ascii="Times New Roman" w:hAnsi="Times New Roman"/>
                <w:sz w:val="20"/>
                <w:szCs w:val="20"/>
              </w:rPr>
            </w:pPr>
          </w:p>
        </w:tc>
        <w:tc>
          <w:tcPr>
            <w:tcW w:w="1170" w:type="dxa"/>
            <w:gridSpan w:val="2"/>
            <w:tcBorders>
              <w:top w:val="nil"/>
              <w:left w:val="nil"/>
              <w:bottom w:val="nil"/>
              <w:right w:val="nil"/>
            </w:tcBorders>
            <w:noWrap/>
            <w:vAlign w:val="bottom"/>
          </w:tcPr>
          <w:p w14:paraId="225DE95C" w14:textId="77777777" w:rsidR="00656F4B" w:rsidRPr="00020C88" w:rsidRDefault="00656F4B" w:rsidP="00CB750F">
            <w:pPr>
              <w:spacing w:after="0" w:line="240" w:lineRule="auto"/>
              <w:jc w:val="both"/>
              <w:rPr>
                <w:rFonts w:ascii="Times New Roman" w:hAnsi="Times New Roman"/>
                <w:sz w:val="20"/>
                <w:szCs w:val="20"/>
              </w:rPr>
            </w:pPr>
          </w:p>
        </w:tc>
        <w:tc>
          <w:tcPr>
            <w:tcW w:w="1256" w:type="dxa"/>
            <w:gridSpan w:val="2"/>
            <w:tcBorders>
              <w:top w:val="nil"/>
              <w:left w:val="nil"/>
              <w:bottom w:val="nil"/>
              <w:right w:val="nil"/>
            </w:tcBorders>
            <w:noWrap/>
            <w:vAlign w:val="bottom"/>
          </w:tcPr>
          <w:p w14:paraId="07CE3861" w14:textId="77777777" w:rsidR="00656F4B" w:rsidRPr="00020C88" w:rsidRDefault="00656F4B" w:rsidP="00CB750F">
            <w:pPr>
              <w:spacing w:after="0" w:line="240" w:lineRule="auto"/>
              <w:jc w:val="both"/>
              <w:rPr>
                <w:rFonts w:ascii="Times New Roman" w:hAnsi="Times New Roman"/>
                <w:sz w:val="20"/>
                <w:szCs w:val="20"/>
              </w:rPr>
            </w:pPr>
          </w:p>
        </w:tc>
        <w:tc>
          <w:tcPr>
            <w:tcW w:w="1543" w:type="dxa"/>
            <w:gridSpan w:val="3"/>
            <w:tcBorders>
              <w:top w:val="nil"/>
              <w:left w:val="nil"/>
              <w:bottom w:val="nil"/>
              <w:right w:val="nil"/>
            </w:tcBorders>
            <w:noWrap/>
            <w:vAlign w:val="bottom"/>
          </w:tcPr>
          <w:p w14:paraId="0D559F6F" w14:textId="77777777" w:rsidR="00656F4B" w:rsidRPr="00020C88" w:rsidRDefault="00656F4B" w:rsidP="00CB750F">
            <w:pPr>
              <w:spacing w:after="0" w:line="240" w:lineRule="auto"/>
              <w:jc w:val="both"/>
              <w:rPr>
                <w:rFonts w:ascii="Times New Roman" w:hAnsi="Times New Roman"/>
                <w:sz w:val="20"/>
                <w:szCs w:val="20"/>
              </w:rPr>
            </w:pPr>
          </w:p>
        </w:tc>
      </w:tr>
      <w:tr w:rsidR="00656F4B" w:rsidRPr="00020C88" w14:paraId="0B4E6632" w14:textId="77777777" w:rsidTr="00362F29">
        <w:trPr>
          <w:gridAfter w:val="1"/>
          <w:wAfter w:w="64" w:type="dxa"/>
          <w:trHeight w:val="255"/>
        </w:trPr>
        <w:tc>
          <w:tcPr>
            <w:tcW w:w="9066" w:type="dxa"/>
            <w:gridSpan w:val="8"/>
            <w:tcBorders>
              <w:top w:val="nil"/>
              <w:left w:val="nil"/>
              <w:bottom w:val="nil"/>
              <w:right w:val="nil"/>
            </w:tcBorders>
            <w:noWrap/>
          </w:tcPr>
          <w:p w14:paraId="1DAF91ED" w14:textId="77777777" w:rsidR="00656F4B" w:rsidRPr="00020C88" w:rsidRDefault="00656F4B" w:rsidP="00CB750F">
            <w:pPr>
              <w:tabs>
                <w:tab w:val="num" w:pos="1080"/>
              </w:tabs>
              <w:spacing w:after="0" w:line="240" w:lineRule="auto"/>
              <w:jc w:val="both"/>
              <w:rPr>
                <w:rFonts w:ascii="Times New Roman" w:hAnsi="Times New Roman"/>
                <w:bCs/>
                <w:sz w:val="20"/>
                <w:szCs w:val="20"/>
              </w:rPr>
            </w:pPr>
            <w:r w:rsidRPr="00020C88">
              <w:rPr>
                <w:rFonts w:ascii="Times New Roman" w:hAnsi="Times New Roman"/>
                <w:bCs/>
                <w:sz w:val="20"/>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737DE82B"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Priemerný mzdový výdavok je tvorený podielom mzdových výdavkov na jedného zamestnanca na jeden kalendárny mesiac bežného roka.</w:t>
            </w:r>
          </w:p>
        </w:tc>
        <w:tc>
          <w:tcPr>
            <w:tcW w:w="1494" w:type="dxa"/>
            <w:gridSpan w:val="2"/>
            <w:tcBorders>
              <w:top w:val="nil"/>
              <w:left w:val="nil"/>
              <w:bottom w:val="nil"/>
              <w:right w:val="nil"/>
            </w:tcBorders>
            <w:noWrap/>
            <w:vAlign w:val="bottom"/>
          </w:tcPr>
          <w:p w14:paraId="4040A6DE" w14:textId="77777777" w:rsidR="00656F4B" w:rsidRPr="00020C88" w:rsidRDefault="00656F4B" w:rsidP="00CB750F">
            <w:pPr>
              <w:spacing w:after="0" w:line="240" w:lineRule="auto"/>
              <w:jc w:val="both"/>
              <w:rPr>
                <w:rFonts w:ascii="Times New Roman" w:hAnsi="Times New Roman"/>
                <w:sz w:val="20"/>
                <w:szCs w:val="20"/>
              </w:rPr>
            </w:pPr>
          </w:p>
        </w:tc>
      </w:tr>
      <w:tr w:rsidR="00656F4B" w:rsidRPr="00020C88" w14:paraId="250A3C97" w14:textId="77777777" w:rsidTr="00362F29">
        <w:trPr>
          <w:trHeight w:val="255"/>
        </w:trPr>
        <w:tc>
          <w:tcPr>
            <w:tcW w:w="7349" w:type="dxa"/>
            <w:gridSpan w:val="4"/>
            <w:tcBorders>
              <w:top w:val="nil"/>
              <w:left w:val="nil"/>
              <w:bottom w:val="nil"/>
              <w:right w:val="nil"/>
            </w:tcBorders>
            <w:noWrap/>
            <w:vAlign w:val="bottom"/>
          </w:tcPr>
          <w:p w14:paraId="59B353F2" w14:textId="77777777" w:rsidR="00656F4B" w:rsidRPr="00020C88" w:rsidRDefault="00656F4B" w:rsidP="00CB750F">
            <w:pPr>
              <w:spacing w:after="0" w:line="240" w:lineRule="auto"/>
              <w:jc w:val="both"/>
              <w:rPr>
                <w:rFonts w:ascii="Times New Roman" w:hAnsi="Times New Roman"/>
                <w:sz w:val="20"/>
                <w:szCs w:val="20"/>
              </w:rPr>
            </w:pPr>
            <w:r w:rsidRPr="00020C88">
              <w:rPr>
                <w:rFonts w:ascii="Times New Roman" w:hAnsi="Times New Roman"/>
                <w:sz w:val="20"/>
                <w:szCs w:val="20"/>
              </w:rPr>
              <w:t>Kategórie 610 a 620 sú z tejto prílohy prenášané do príslušných kategórií prílohy „výdavky“.</w:t>
            </w:r>
          </w:p>
        </w:tc>
        <w:tc>
          <w:tcPr>
            <w:tcW w:w="450" w:type="dxa"/>
            <w:gridSpan w:val="2"/>
            <w:tcBorders>
              <w:top w:val="nil"/>
              <w:left w:val="nil"/>
              <w:bottom w:val="nil"/>
              <w:right w:val="nil"/>
            </w:tcBorders>
            <w:noWrap/>
            <w:vAlign w:val="bottom"/>
          </w:tcPr>
          <w:p w14:paraId="4FA84534" w14:textId="77777777" w:rsidR="00656F4B" w:rsidRPr="00020C88" w:rsidRDefault="00656F4B" w:rsidP="00CB750F">
            <w:pPr>
              <w:spacing w:after="0" w:line="240" w:lineRule="auto"/>
              <w:jc w:val="both"/>
              <w:rPr>
                <w:rFonts w:ascii="Times New Roman" w:hAnsi="Times New Roman"/>
                <w:sz w:val="20"/>
                <w:szCs w:val="20"/>
              </w:rPr>
            </w:pPr>
          </w:p>
        </w:tc>
        <w:tc>
          <w:tcPr>
            <w:tcW w:w="1905" w:type="dxa"/>
            <w:gridSpan w:val="3"/>
            <w:tcBorders>
              <w:top w:val="nil"/>
              <w:left w:val="nil"/>
              <w:bottom w:val="nil"/>
              <w:right w:val="nil"/>
            </w:tcBorders>
            <w:noWrap/>
            <w:vAlign w:val="bottom"/>
          </w:tcPr>
          <w:p w14:paraId="0573B103" w14:textId="77777777" w:rsidR="00656F4B" w:rsidRPr="00020C88" w:rsidRDefault="00656F4B" w:rsidP="00CB750F">
            <w:pPr>
              <w:spacing w:after="0" w:line="240" w:lineRule="auto"/>
              <w:jc w:val="both"/>
              <w:rPr>
                <w:rFonts w:ascii="Times New Roman" w:hAnsi="Times New Roman"/>
                <w:sz w:val="20"/>
                <w:szCs w:val="20"/>
              </w:rPr>
            </w:pPr>
          </w:p>
        </w:tc>
        <w:tc>
          <w:tcPr>
            <w:tcW w:w="920" w:type="dxa"/>
            <w:gridSpan w:val="2"/>
            <w:tcBorders>
              <w:top w:val="nil"/>
              <w:left w:val="nil"/>
              <w:bottom w:val="nil"/>
              <w:right w:val="nil"/>
            </w:tcBorders>
            <w:noWrap/>
            <w:vAlign w:val="bottom"/>
          </w:tcPr>
          <w:p w14:paraId="425A80C1" w14:textId="77777777" w:rsidR="00656F4B" w:rsidRPr="00020C88" w:rsidRDefault="00656F4B" w:rsidP="00CB750F">
            <w:pPr>
              <w:spacing w:after="0" w:line="240" w:lineRule="auto"/>
              <w:jc w:val="both"/>
              <w:rPr>
                <w:rFonts w:ascii="Times New Roman" w:hAnsi="Times New Roman"/>
                <w:sz w:val="20"/>
                <w:szCs w:val="20"/>
              </w:rPr>
            </w:pPr>
          </w:p>
        </w:tc>
      </w:tr>
    </w:tbl>
    <w:p w14:paraId="14C3237B" w14:textId="77777777" w:rsidR="00656F4B" w:rsidRPr="00020C88" w:rsidRDefault="00656F4B" w:rsidP="00CB750F">
      <w:pPr>
        <w:spacing w:after="0" w:line="240" w:lineRule="auto"/>
        <w:jc w:val="both"/>
        <w:rPr>
          <w:rFonts w:ascii="Times New Roman" w:hAnsi="Times New Roman"/>
          <w:b/>
          <w:color w:val="000000"/>
          <w:sz w:val="20"/>
          <w:szCs w:val="20"/>
        </w:rPr>
      </w:pPr>
    </w:p>
    <w:p w14:paraId="1D34E91F" w14:textId="77777777" w:rsidR="00656F4B" w:rsidRPr="00020C88" w:rsidRDefault="00656F4B" w:rsidP="00CB750F">
      <w:pPr>
        <w:spacing w:after="0" w:line="240" w:lineRule="auto"/>
        <w:jc w:val="both"/>
        <w:rPr>
          <w:rFonts w:ascii="Times New Roman" w:hAnsi="Times New Roman"/>
          <w:b/>
          <w:color w:val="000000"/>
          <w:sz w:val="20"/>
          <w:szCs w:val="20"/>
        </w:rPr>
      </w:pPr>
    </w:p>
    <w:p w14:paraId="11E01006" w14:textId="77777777" w:rsidR="00656F4B" w:rsidRPr="00020C88" w:rsidRDefault="00656F4B" w:rsidP="00CB750F">
      <w:pPr>
        <w:spacing w:after="0" w:line="240" w:lineRule="auto"/>
        <w:jc w:val="both"/>
        <w:rPr>
          <w:rFonts w:ascii="Times New Roman" w:hAnsi="Times New Roman"/>
          <w:sz w:val="20"/>
          <w:szCs w:val="20"/>
        </w:rPr>
      </w:pPr>
      <w:bookmarkStart w:id="0" w:name="_GoBack"/>
      <w:bookmarkEnd w:id="0"/>
    </w:p>
    <w:sectPr w:rsidR="00656F4B" w:rsidRPr="00020C88" w:rsidSect="002C4A2F">
      <w:pgSz w:w="16838" w:h="11906" w:orient="landscape"/>
      <w:pgMar w:top="1080" w:right="1440" w:bottom="108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A692" w14:textId="77777777" w:rsidR="00EE17BB" w:rsidRDefault="00EE17BB">
      <w:pPr>
        <w:spacing w:after="0" w:line="240" w:lineRule="auto"/>
      </w:pPr>
      <w:r>
        <w:separator/>
      </w:r>
    </w:p>
  </w:endnote>
  <w:endnote w:type="continuationSeparator" w:id="0">
    <w:p w14:paraId="5F0208B0" w14:textId="77777777" w:rsidR="00EE17BB" w:rsidRDefault="00EE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DF94" w14:textId="77777777" w:rsidR="00043791" w:rsidRDefault="000437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0B8062F" w14:textId="77777777" w:rsidR="00043791" w:rsidRDefault="0004379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E807" w14:textId="6A155271" w:rsidR="00043791" w:rsidRDefault="00043791">
    <w:pPr>
      <w:pStyle w:val="Pta"/>
      <w:jc w:val="right"/>
    </w:pPr>
    <w:r>
      <w:fldChar w:fldCharType="begin"/>
    </w:r>
    <w:r>
      <w:instrText>PAGE   \* MERGEFORMAT</w:instrText>
    </w:r>
    <w:r>
      <w:fldChar w:fldCharType="separate"/>
    </w:r>
    <w:r w:rsidR="00464259">
      <w:rPr>
        <w:noProof/>
      </w:rPr>
      <w:t>5</w:t>
    </w:r>
    <w:r>
      <w:fldChar w:fldCharType="end"/>
    </w:r>
  </w:p>
  <w:p w14:paraId="21390CD1" w14:textId="77777777" w:rsidR="00043791" w:rsidRDefault="00043791">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B565" w14:textId="77777777" w:rsidR="00043791" w:rsidRDefault="00043791">
    <w:pPr>
      <w:pStyle w:val="Pta"/>
      <w:jc w:val="right"/>
    </w:pPr>
    <w:r>
      <w:fldChar w:fldCharType="begin"/>
    </w:r>
    <w:r>
      <w:instrText>PAGE   \* MERGEFORMAT</w:instrText>
    </w:r>
    <w:r>
      <w:fldChar w:fldCharType="separate"/>
    </w:r>
    <w:r>
      <w:rPr>
        <w:noProof/>
      </w:rPr>
      <w:t>0</w:t>
    </w:r>
    <w:r>
      <w:fldChar w:fldCharType="end"/>
    </w:r>
  </w:p>
  <w:p w14:paraId="5302C7A5" w14:textId="77777777" w:rsidR="00043791" w:rsidRDefault="000437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5B85" w14:textId="77777777" w:rsidR="00EE17BB" w:rsidRDefault="00EE17BB">
      <w:pPr>
        <w:spacing w:after="0" w:line="240" w:lineRule="auto"/>
      </w:pPr>
      <w:r>
        <w:separator/>
      </w:r>
    </w:p>
  </w:footnote>
  <w:footnote w:type="continuationSeparator" w:id="0">
    <w:p w14:paraId="66426C95" w14:textId="77777777" w:rsidR="00EE17BB" w:rsidRDefault="00EE17BB">
      <w:pPr>
        <w:spacing w:after="0" w:line="240" w:lineRule="auto"/>
      </w:pPr>
      <w:r>
        <w:continuationSeparator/>
      </w:r>
    </w:p>
  </w:footnote>
  <w:footnote w:id="1">
    <w:p w14:paraId="2703EAC8" w14:textId="77777777" w:rsidR="00043791" w:rsidRPr="00291A42" w:rsidRDefault="00043791" w:rsidP="00263FD1">
      <w:pPr>
        <w:pStyle w:val="Textpoznmkypodiarou"/>
        <w:rPr>
          <w:sz w:val="18"/>
        </w:rPr>
      </w:pPr>
      <w:r>
        <w:rPr>
          <w:rStyle w:val="Odkaznapoznmkupodiarou"/>
        </w:rPr>
        <w:footnoteRef/>
      </w:r>
      <w:r>
        <w:t xml:space="preserve"> </w:t>
      </w:r>
      <w:hyperlink r:id="rId1" w:history="1">
        <w:r w:rsidRPr="00291A42">
          <w:rPr>
            <w:rStyle w:val="Hypertextovprepojenie"/>
            <w:sz w:val="18"/>
          </w:rPr>
          <w:t>https://eiah.eib.org/publications/attachments/report-health-sector-study-20180322-en.pdf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4948" w14:textId="77777777" w:rsidR="00043791" w:rsidRDefault="00043791" w:rsidP="0051724E">
    <w:pPr>
      <w:pStyle w:val="Hlavika"/>
      <w:jc w:val="right"/>
      <w:rPr>
        <w:sz w:val="24"/>
        <w:szCs w:val="24"/>
      </w:rPr>
    </w:pPr>
    <w:r>
      <w:rPr>
        <w:sz w:val="24"/>
        <w:szCs w:val="24"/>
      </w:rPr>
      <w:t>Príloha č. 2</w:t>
    </w:r>
  </w:p>
  <w:p w14:paraId="4070136B" w14:textId="77777777" w:rsidR="00043791" w:rsidRPr="00EB59C8" w:rsidRDefault="00043791" w:rsidP="0051724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02CE" w14:textId="77777777" w:rsidR="00043791" w:rsidRPr="000A15AE" w:rsidRDefault="00043791" w:rsidP="0051724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449"/>
    <w:multiLevelType w:val="hybridMultilevel"/>
    <w:tmpl w:val="A02E6C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4004B9"/>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54F82"/>
    <w:multiLevelType w:val="hybridMultilevel"/>
    <w:tmpl w:val="CC42ADB2"/>
    <w:lvl w:ilvl="0" w:tplc="A47EEA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B8F01E6"/>
    <w:multiLevelType w:val="hybridMultilevel"/>
    <w:tmpl w:val="96C4874A"/>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8047D"/>
    <w:multiLevelType w:val="hybridMultilevel"/>
    <w:tmpl w:val="9D88F5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5FB44C8"/>
    <w:multiLevelType w:val="hybridMultilevel"/>
    <w:tmpl w:val="55D43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C37A35"/>
    <w:multiLevelType w:val="hybridMultilevel"/>
    <w:tmpl w:val="32544E12"/>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9" w15:restartNumberingAfterBreak="0">
    <w:nsid w:val="29381539"/>
    <w:multiLevelType w:val="hybridMultilevel"/>
    <w:tmpl w:val="EC563DA2"/>
    <w:lvl w:ilvl="0" w:tplc="AA5402B4">
      <w:start w:val="17"/>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2755E2"/>
    <w:multiLevelType w:val="hybridMultilevel"/>
    <w:tmpl w:val="64963BD2"/>
    <w:lvl w:ilvl="0" w:tplc="C07A7E0E">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55CCE"/>
    <w:multiLevelType w:val="hybridMultilevel"/>
    <w:tmpl w:val="0E4CF4CA"/>
    <w:lvl w:ilvl="0" w:tplc="668A1EB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5C150D"/>
    <w:multiLevelType w:val="hybridMultilevel"/>
    <w:tmpl w:val="3EE07DE6"/>
    <w:lvl w:ilvl="0" w:tplc="041B0001">
      <w:start w:val="50"/>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1417EE"/>
    <w:multiLevelType w:val="hybridMultilevel"/>
    <w:tmpl w:val="2626FECC"/>
    <w:lvl w:ilvl="0" w:tplc="0518B6A4">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314E5F"/>
    <w:multiLevelType w:val="hybridMultilevel"/>
    <w:tmpl w:val="7FC0769C"/>
    <w:lvl w:ilvl="0" w:tplc="ED602570">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4404A0"/>
    <w:multiLevelType w:val="hybridMultilevel"/>
    <w:tmpl w:val="AD680234"/>
    <w:lvl w:ilvl="0" w:tplc="B92EAA2A">
      <w:start w:val="1"/>
      <w:numFmt w:val="bullet"/>
      <w:lvlText w:val="-"/>
      <w:lvlJc w:val="left"/>
      <w:pPr>
        <w:ind w:left="660" w:hanging="360"/>
      </w:pPr>
      <w:rPr>
        <w:rFonts w:ascii="Liberation Serif" w:eastAsia="SimSun" w:hAnsi="Liberation Serif" w:cs="Arial"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7" w15:restartNumberingAfterBreak="0">
    <w:nsid w:val="50410380"/>
    <w:multiLevelType w:val="hybridMultilevel"/>
    <w:tmpl w:val="276CD660"/>
    <w:lvl w:ilvl="0" w:tplc="48263D62">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2A6736D"/>
    <w:multiLevelType w:val="hybridMultilevel"/>
    <w:tmpl w:val="FE34D500"/>
    <w:lvl w:ilvl="0" w:tplc="041B0001">
      <w:start w:val="9"/>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0E8784C"/>
    <w:multiLevelType w:val="hybridMultilevel"/>
    <w:tmpl w:val="831E8E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7C82742"/>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567CA1"/>
    <w:multiLevelType w:val="hybridMultilevel"/>
    <w:tmpl w:val="920E9EEC"/>
    <w:lvl w:ilvl="0" w:tplc="29F4F26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8AF3CF2"/>
    <w:multiLevelType w:val="hybridMultilevel"/>
    <w:tmpl w:val="A9220B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F2745D0"/>
    <w:multiLevelType w:val="hybridMultilevel"/>
    <w:tmpl w:val="F2B261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9"/>
  </w:num>
  <w:num w:numId="5">
    <w:abstractNumId w:val="8"/>
  </w:num>
  <w:num w:numId="6">
    <w:abstractNumId w:val="14"/>
  </w:num>
  <w:num w:numId="7">
    <w:abstractNumId w:val="10"/>
  </w:num>
  <w:num w:numId="8">
    <w:abstractNumId w:val="17"/>
  </w:num>
  <w:num w:numId="9">
    <w:abstractNumId w:val="1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4"/>
  </w:num>
  <w:num w:numId="14">
    <w:abstractNumId w:val="22"/>
  </w:num>
  <w:num w:numId="15">
    <w:abstractNumId w:val="0"/>
  </w:num>
  <w:num w:numId="16">
    <w:abstractNumId w:val="16"/>
  </w:num>
  <w:num w:numId="17">
    <w:abstractNumId w:val="23"/>
  </w:num>
  <w:num w:numId="18">
    <w:abstractNumId w:val="12"/>
  </w:num>
  <w:num w:numId="19">
    <w:abstractNumId w:val="20"/>
  </w:num>
  <w:num w:numId="20">
    <w:abstractNumId w:val="7"/>
  </w:num>
  <w:num w:numId="21">
    <w:abstractNumId w:val="1"/>
  </w:num>
  <w:num w:numId="22">
    <w:abstractNumId w:val="3"/>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5195"/>
    <w:rsid w:val="00007824"/>
    <w:rsid w:val="00014850"/>
    <w:rsid w:val="00015D2A"/>
    <w:rsid w:val="000206ED"/>
    <w:rsid w:val="00020C88"/>
    <w:rsid w:val="00023FC4"/>
    <w:rsid w:val="0002537D"/>
    <w:rsid w:val="00027B76"/>
    <w:rsid w:val="00031E18"/>
    <w:rsid w:val="00035EB6"/>
    <w:rsid w:val="00037573"/>
    <w:rsid w:val="0004147A"/>
    <w:rsid w:val="000416A5"/>
    <w:rsid w:val="00042CDF"/>
    <w:rsid w:val="00043791"/>
    <w:rsid w:val="00045303"/>
    <w:rsid w:val="0004584E"/>
    <w:rsid w:val="000468CB"/>
    <w:rsid w:val="00047B8F"/>
    <w:rsid w:val="00054059"/>
    <w:rsid w:val="00054507"/>
    <w:rsid w:val="000552ED"/>
    <w:rsid w:val="00057135"/>
    <w:rsid w:val="00061108"/>
    <w:rsid w:val="000616B3"/>
    <w:rsid w:val="00062570"/>
    <w:rsid w:val="0006311E"/>
    <w:rsid w:val="0007019E"/>
    <w:rsid w:val="000737C6"/>
    <w:rsid w:val="00074FD9"/>
    <w:rsid w:val="00077B21"/>
    <w:rsid w:val="00084682"/>
    <w:rsid w:val="00085839"/>
    <w:rsid w:val="000870A0"/>
    <w:rsid w:val="0008759D"/>
    <w:rsid w:val="0009006D"/>
    <w:rsid w:val="00091095"/>
    <w:rsid w:val="00091240"/>
    <w:rsid w:val="00091FAF"/>
    <w:rsid w:val="000927D0"/>
    <w:rsid w:val="00092D89"/>
    <w:rsid w:val="0009495D"/>
    <w:rsid w:val="000977E2"/>
    <w:rsid w:val="00097E01"/>
    <w:rsid w:val="000A044C"/>
    <w:rsid w:val="000A15AE"/>
    <w:rsid w:val="000A19FF"/>
    <w:rsid w:val="000A1E89"/>
    <w:rsid w:val="000A1F6E"/>
    <w:rsid w:val="000A5045"/>
    <w:rsid w:val="000A574A"/>
    <w:rsid w:val="000A764D"/>
    <w:rsid w:val="000B2853"/>
    <w:rsid w:val="000B2DD8"/>
    <w:rsid w:val="000B3BAE"/>
    <w:rsid w:val="000B49D5"/>
    <w:rsid w:val="000C10F9"/>
    <w:rsid w:val="000C5591"/>
    <w:rsid w:val="000D07CE"/>
    <w:rsid w:val="000D1348"/>
    <w:rsid w:val="000D3884"/>
    <w:rsid w:val="000D3FD8"/>
    <w:rsid w:val="000E29DE"/>
    <w:rsid w:val="000E2BB6"/>
    <w:rsid w:val="000E5AD1"/>
    <w:rsid w:val="000E6B4D"/>
    <w:rsid w:val="000F09CE"/>
    <w:rsid w:val="000F1438"/>
    <w:rsid w:val="000F341B"/>
    <w:rsid w:val="000F37FC"/>
    <w:rsid w:val="000F7999"/>
    <w:rsid w:val="0010124B"/>
    <w:rsid w:val="00102592"/>
    <w:rsid w:val="00103E05"/>
    <w:rsid w:val="00107A15"/>
    <w:rsid w:val="001100EC"/>
    <w:rsid w:val="00111923"/>
    <w:rsid w:val="00112088"/>
    <w:rsid w:val="001127A8"/>
    <w:rsid w:val="001158E8"/>
    <w:rsid w:val="00116559"/>
    <w:rsid w:val="001173DB"/>
    <w:rsid w:val="00117CB8"/>
    <w:rsid w:val="00127DFD"/>
    <w:rsid w:val="0013517B"/>
    <w:rsid w:val="001357B6"/>
    <w:rsid w:val="001368F8"/>
    <w:rsid w:val="0014108D"/>
    <w:rsid w:val="00142FE3"/>
    <w:rsid w:val="001469D7"/>
    <w:rsid w:val="00147982"/>
    <w:rsid w:val="00151256"/>
    <w:rsid w:val="0015307D"/>
    <w:rsid w:val="00153F73"/>
    <w:rsid w:val="0015408E"/>
    <w:rsid w:val="001561F4"/>
    <w:rsid w:val="001576F5"/>
    <w:rsid w:val="0016067B"/>
    <w:rsid w:val="00161774"/>
    <w:rsid w:val="00161CAC"/>
    <w:rsid w:val="00163D7A"/>
    <w:rsid w:val="00163D97"/>
    <w:rsid w:val="00165D3F"/>
    <w:rsid w:val="00165D89"/>
    <w:rsid w:val="00170D2B"/>
    <w:rsid w:val="00170EC7"/>
    <w:rsid w:val="001724EF"/>
    <w:rsid w:val="001724F7"/>
    <w:rsid w:val="00173E0C"/>
    <w:rsid w:val="00176F52"/>
    <w:rsid w:val="001770BF"/>
    <w:rsid w:val="001774D8"/>
    <w:rsid w:val="00180079"/>
    <w:rsid w:val="00180D95"/>
    <w:rsid w:val="00184F37"/>
    <w:rsid w:val="001869E5"/>
    <w:rsid w:val="00192E67"/>
    <w:rsid w:val="001A18CE"/>
    <w:rsid w:val="001A1C23"/>
    <w:rsid w:val="001B2716"/>
    <w:rsid w:val="001B2749"/>
    <w:rsid w:val="001B4208"/>
    <w:rsid w:val="001B73AD"/>
    <w:rsid w:val="001C039C"/>
    <w:rsid w:val="001C2F03"/>
    <w:rsid w:val="001C7640"/>
    <w:rsid w:val="001D1883"/>
    <w:rsid w:val="001D1AE3"/>
    <w:rsid w:val="001D2A16"/>
    <w:rsid w:val="001D413E"/>
    <w:rsid w:val="001D4B49"/>
    <w:rsid w:val="001D5AE9"/>
    <w:rsid w:val="001D5B06"/>
    <w:rsid w:val="001D6E49"/>
    <w:rsid w:val="001E1809"/>
    <w:rsid w:val="001E27E4"/>
    <w:rsid w:val="001E2FFE"/>
    <w:rsid w:val="001E6300"/>
    <w:rsid w:val="001E757C"/>
    <w:rsid w:val="001F2211"/>
    <w:rsid w:val="001F3071"/>
    <w:rsid w:val="001F3441"/>
    <w:rsid w:val="001F448F"/>
    <w:rsid w:val="00200898"/>
    <w:rsid w:val="00201417"/>
    <w:rsid w:val="002051BE"/>
    <w:rsid w:val="002119A8"/>
    <w:rsid w:val="00212894"/>
    <w:rsid w:val="00213282"/>
    <w:rsid w:val="002134EE"/>
    <w:rsid w:val="00214AD1"/>
    <w:rsid w:val="0021508E"/>
    <w:rsid w:val="00215DD3"/>
    <w:rsid w:val="0022148F"/>
    <w:rsid w:val="00232363"/>
    <w:rsid w:val="0024067A"/>
    <w:rsid w:val="00241646"/>
    <w:rsid w:val="002439B0"/>
    <w:rsid w:val="002445E9"/>
    <w:rsid w:val="00253049"/>
    <w:rsid w:val="002531B7"/>
    <w:rsid w:val="0026250A"/>
    <w:rsid w:val="00263CBD"/>
    <w:rsid w:val="00263FD1"/>
    <w:rsid w:val="0026659F"/>
    <w:rsid w:val="002674E3"/>
    <w:rsid w:val="00270824"/>
    <w:rsid w:val="00270D61"/>
    <w:rsid w:val="002747BB"/>
    <w:rsid w:val="0027524F"/>
    <w:rsid w:val="00275BA3"/>
    <w:rsid w:val="00280A57"/>
    <w:rsid w:val="002829F8"/>
    <w:rsid w:val="00282A79"/>
    <w:rsid w:val="00282DD4"/>
    <w:rsid w:val="0028536C"/>
    <w:rsid w:val="00286233"/>
    <w:rsid w:val="00292770"/>
    <w:rsid w:val="002942EB"/>
    <w:rsid w:val="002951C1"/>
    <w:rsid w:val="002970DB"/>
    <w:rsid w:val="0029720E"/>
    <w:rsid w:val="00297720"/>
    <w:rsid w:val="002A0DB9"/>
    <w:rsid w:val="002A48E2"/>
    <w:rsid w:val="002A5E00"/>
    <w:rsid w:val="002B1923"/>
    <w:rsid w:val="002B1C46"/>
    <w:rsid w:val="002B2394"/>
    <w:rsid w:val="002B33DB"/>
    <w:rsid w:val="002B409E"/>
    <w:rsid w:val="002C17FB"/>
    <w:rsid w:val="002C439B"/>
    <w:rsid w:val="002C4A2F"/>
    <w:rsid w:val="002C6587"/>
    <w:rsid w:val="002D0BC2"/>
    <w:rsid w:val="002D2B7C"/>
    <w:rsid w:val="002D3478"/>
    <w:rsid w:val="002D420F"/>
    <w:rsid w:val="002D7EF7"/>
    <w:rsid w:val="002E0228"/>
    <w:rsid w:val="002E4461"/>
    <w:rsid w:val="002E6A96"/>
    <w:rsid w:val="002F1733"/>
    <w:rsid w:val="002F34D7"/>
    <w:rsid w:val="002F478A"/>
    <w:rsid w:val="002F71F3"/>
    <w:rsid w:val="00300910"/>
    <w:rsid w:val="00302A6D"/>
    <w:rsid w:val="00303796"/>
    <w:rsid w:val="0030479A"/>
    <w:rsid w:val="00305496"/>
    <w:rsid w:val="00305592"/>
    <w:rsid w:val="00310F27"/>
    <w:rsid w:val="00311651"/>
    <w:rsid w:val="00311E26"/>
    <w:rsid w:val="00312AAC"/>
    <w:rsid w:val="003136D1"/>
    <w:rsid w:val="003162D5"/>
    <w:rsid w:val="00317B90"/>
    <w:rsid w:val="003233CC"/>
    <w:rsid w:val="00323AB4"/>
    <w:rsid w:val="00324AE2"/>
    <w:rsid w:val="0032790C"/>
    <w:rsid w:val="0033117D"/>
    <w:rsid w:val="0033270F"/>
    <w:rsid w:val="003359D7"/>
    <w:rsid w:val="00335BF5"/>
    <w:rsid w:val="003434D4"/>
    <w:rsid w:val="00344928"/>
    <w:rsid w:val="003464DE"/>
    <w:rsid w:val="003470FF"/>
    <w:rsid w:val="00352312"/>
    <w:rsid w:val="00356761"/>
    <w:rsid w:val="00361CE5"/>
    <w:rsid w:val="00361ED3"/>
    <w:rsid w:val="0036280B"/>
    <w:rsid w:val="00362F29"/>
    <w:rsid w:val="00363492"/>
    <w:rsid w:val="00364AD9"/>
    <w:rsid w:val="003667F7"/>
    <w:rsid w:val="00370A9B"/>
    <w:rsid w:val="00373484"/>
    <w:rsid w:val="00377212"/>
    <w:rsid w:val="003773F5"/>
    <w:rsid w:val="00377CC0"/>
    <w:rsid w:val="00380B23"/>
    <w:rsid w:val="003837F0"/>
    <w:rsid w:val="003866C0"/>
    <w:rsid w:val="00390633"/>
    <w:rsid w:val="00391C46"/>
    <w:rsid w:val="00393772"/>
    <w:rsid w:val="003942E4"/>
    <w:rsid w:val="00394973"/>
    <w:rsid w:val="00395F9B"/>
    <w:rsid w:val="003A2506"/>
    <w:rsid w:val="003A2583"/>
    <w:rsid w:val="003A28C0"/>
    <w:rsid w:val="003A44C6"/>
    <w:rsid w:val="003A653E"/>
    <w:rsid w:val="003B1714"/>
    <w:rsid w:val="003B1C48"/>
    <w:rsid w:val="003B28C5"/>
    <w:rsid w:val="003B32F6"/>
    <w:rsid w:val="003B4E2C"/>
    <w:rsid w:val="003B5934"/>
    <w:rsid w:val="003B5B9E"/>
    <w:rsid w:val="003C0624"/>
    <w:rsid w:val="003C0E5A"/>
    <w:rsid w:val="003C4968"/>
    <w:rsid w:val="003C501C"/>
    <w:rsid w:val="003D394F"/>
    <w:rsid w:val="003D4EC1"/>
    <w:rsid w:val="003D67FB"/>
    <w:rsid w:val="003D6E48"/>
    <w:rsid w:val="003D76E0"/>
    <w:rsid w:val="003E196D"/>
    <w:rsid w:val="003E4564"/>
    <w:rsid w:val="003E54DA"/>
    <w:rsid w:val="003E5770"/>
    <w:rsid w:val="003F2D31"/>
    <w:rsid w:val="003F4E44"/>
    <w:rsid w:val="003F7F0A"/>
    <w:rsid w:val="004015CE"/>
    <w:rsid w:val="00401613"/>
    <w:rsid w:val="0040228C"/>
    <w:rsid w:val="00402E1D"/>
    <w:rsid w:val="004034F6"/>
    <w:rsid w:val="00404EE8"/>
    <w:rsid w:val="00405513"/>
    <w:rsid w:val="0040650B"/>
    <w:rsid w:val="00407B5E"/>
    <w:rsid w:val="00411423"/>
    <w:rsid w:val="0041579E"/>
    <w:rsid w:val="004214E8"/>
    <w:rsid w:val="004224E4"/>
    <w:rsid w:val="0042351E"/>
    <w:rsid w:val="00424A58"/>
    <w:rsid w:val="004253B7"/>
    <w:rsid w:val="00432070"/>
    <w:rsid w:val="0043248A"/>
    <w:rsid w:val="00434E81"/>
    <w:rsid w:val="00436870"/>
    <w:rsid w:val="00437C3E"/>
    <w:rsid w:val="004418D6"/>
    <w:rsid w:val="004441E1"/>
    <w:rsid w:val="004445AD"/>
    <w:rsid w:val="00445925"/>
    <w:rsid w:val="00457028"/>
    <w:rsid w:val="004575FA"/>
    <w:rsid w:val="00461523"/>
    <w:rsid w:val="00463C0D"/>
    <w:rsid w:val="00464259"/>
    <w:rsid w:val="004645BE"/>
    <w:rsid w:val="00467518"/>
    <w:rsid w:val="0047027A"/>
    <w:rsid w:val="004803EE"/>
    <w:rsid w:val="00482BB2"/>
    <w:rsid w:val="00486E96"/>
    <w:rsid w:val="00486EC0"/>
    <w:rsid w:val="00487203"/>
    <w:rsid w:val="00487795"/>
    <w:rsid w:val="00491E11"/>
    <w:rsid w:val="00491E26"/>
    <w:rsid w:val="00491F36"/>
    <w:rsid w:val="00492AB0"/>
    <w:rsid w:val="004958FB"/>
    <w:rsid w:val="00496A9D"/>
    <w:rsid w:val="004A077B"/>
    <w:rsid w:val="004A18F4"/>
    <w:rsid w:val="004A5901"/>
    <w:rsid w:val="004A7B08"/>
    <w:rsid w:val="004B189C"/>
    <w:rsid w:val="004B1CEE"/>
    <w:rsid w:val="004B5972"/>
    <w:rsid w:val="004C1869"/>
    <w:rsid w:val="004C5A1C"/>
    <w:rsid w:val="004C71E8"/>
    <w:rsid w:val="004C7AF0"/>
    <w:rsid w:val="004D0ACD"/>
    <w:rsid w:val="004D2ED6"/>
    <w:rsid w:val="004D4C0E"/>
    <w:rsid w:val="004D5843"/>
    <w:rsid w:val="004D6793"/>
    <w:rsid w:val="004D7493"/>
    <w:rsid w:val="004E147C"/>
    <w:rsid w:val="004E14D2"/>
    <w:rsid w:val="004E39F8"/>
    <w:rsid w:val="004E3BD9"/>
    <w:rsid w:val="004E51D0"/>
    <w:rsid w:val="004E565D"/>
    <w:rsid w:val="004E5B48"/>
    <w:rsid w:val="004F0D89"/>
    <w:rsid w:val="004F27BE"/>
    <w:rsid w:val="005005EC"/>
    <w:rsid w:val="00500886"/>
    <w:rsid w:val="00501D49"/>
    <w:rsid w:val="00501F39"/>
    <w:rsid w:val="00502ABF"/>
    <w:rsid w:val="00507678"/>
    <w:rsid w:val="005145FE"/>
    <w:rsid w:val="005157C2"/>
    <w:rsid w:val="00515A7C"/>
    <w:rsid w:val="00515AD0"/>
    <w:rsid w:val="005166A3"/>
    <w:rsid w:val="0051724E"/>
    <w:rsid w:val="00521600"/>
    <w:rsid w:val="00522E95"/>
    <w:rsid w:val="00524E6E"/>
    <w:rsid w:val="005256E6"/>
    <w:rsid w:val="005279EA"/>
    <w:rsid w:val="00531D14"/>
    <w:rsid w:val="00532C3C"/>
    <w:rsid w:val="005373A4"/>
    <w:rsid w:val="00546693"/>
    <w:rsid w:val="00551FD9"/>
    <w:rsid w:val="00554D42"/>
    <w:rsid w:val="00555D45"/>
    <w:rsid w:val="00564755"/>
    <w:rsid w:val="005658F0"/>
    <w:rsid w:val="0056590D"/>
    <w:rsid w:val="0056627F"/>
    <w:rsid w:val="00567A1C"/>
    <w:rsid w:val="00573ADA"/>
    <w:rsid w:val="00576CA8"/>
    <w:rsid w:val="00577CEC"/>
    <w:rsid w:val="00580BAC"/>
    <w:rsid w:val="00590596"/>
    <w:rsid w:val="00591933"/>
    <w:rsid w:val="0059299E"/>
    <w:rsid w:val="00592AB1"/>
    <w:rsid w:val="0059365F"/>
    <w:rsid w:val="0059386A"/>
    <w:rsid w:val="00593BED"/>
    <w:rsid w:val="005940E4"/>
    <w:rsid w:val="00596BDF"/>
    <w:rsid w:val="00597118"/>
    <w:rsid w:val="00597781"/>
    <w:rsid w:val="005A30DB"/>
    <w:rsid w:val="005A3BF3"/>
    <w:rsid w:val="005A3D44"/>
    <w:rsid w:val="005B05A8"/>
    <w:rsid w:val="005B102D"/>
    <w:rsid w:val="005B1B3F"/>
    <w:rsid w:val="005B236E"/>
    <w:rsid w:val="005B2694"/>
    <w:rsid w:val="005B58FA"/>
    <w:rsid w:val="005C1701"/>
    <w:rsid w:val="005C1B4B"/>
    <w:rsid w:val="005C33B4"/>
    <w:rsid w:val="005C430E"/>
    <w:rsid w:val="005C4C62"/>
    <w:rsid w:val="005C58B5"/>
    <w:rsid w:val="005C617E"/>
    <w:rsid w:val="005C6EEE"/>
    <w:rsid w:val="005C789C"/>
    <w:rsid w:val="005D0664"/>
    <w:rsid w:val="005D0F6E"/>
    <w:rsid w:val="005D5515"/>
    <w:rsid w:val="005D6DF6"/>
    <w:rsid w:val="005E02FB"/>
    <w:rsid w:val="005E0539"/>
    <w:rsid w:val="005E5A2A"/>
    <w:rsid w:val="005E7E19"/>
    <w:rsid w:val="005F06E8"/>
    <w:rsid w:val="005F077B"/>
    <w:rsid w:val="005F5966"/>
    <w:rsid w:val="005F66F0"/>
    <w:rsid w:val="00602798"/>
    <w:rsid w:val="00602B56"/>
    <w:rsid w:val="0060402C"/>
    <w:rsid w:val="00605468"/>
    <w:rsid w:val="00612EE1"/>
    <w:rsid w:val="006139A0"/>
    <w:rsid w:val="006139BF"/>
    <w:rsid w:val="006144D0"/>
    <w:rsid w:val="0061545E"/>
    <w:rsid w:val="0061568D"/>
    <w:rsid w:val="00617AA0"/>
    <w:rsid w:val="00622424"/>
    <w:rsid w:val="00623DD5"/>
    <w:rsid w:val="0062527C"/>
    <w:rsid w:val="00630C6D"/>
    <w:rsid w:val="00631D94"/>
    <w:rsid w:val="00634A13"/>
    <w:rsid w:val="00636D4A"/>
    <w:rsid w:val="00636FA0"/>
    <w:rsid w:val="006412C5"/>
    <w:rsid w:val="006416F4"/>
    <w:rsid w:val="006417F5"/>
    <w:rsid w:val="00643592"/>
    <w:rsid w:val="0064641C"/>
    <w:rsid w:val="00647F0E"/>
    <w:rsid w:val="00651213"/>
    <w:rsid w:val="00655BA9"/>
    <w:rsid w:val="00656F4B"/>
    <w:rsid w:val="00660017"/>
    <w:rsid w:val="006627D4"/>
    <w:rsid w:val="006632A3"/>
    <w:rsid w:val="00665748"/>
    <w:rsid w:val="00666C20"/>
    <w:rsid w:val="00672D3E"/>
    <w:rsid w:val="0068101F"/>
    <w:rsid w:val="00681053"/>
    <w:rsid w:val="006810A5"/>
    <w:rsid w:val="006831B9"/>
    <w:rsid w:val="0068518D"/>
    <w:rsid w:val="00686AC3"/>
    <w:rsid w:val="00691E9B"/>
    <w:rsid w:val="00694B50"/>
    <w:rsid w:val="00694DC8"/>
    <w:rsid w:val="00695C65"/>
    <w:rsid w:val="006976FB"/>
    <w:rsid w:val="006A0388"/>
    <w:rsid w:val="006A0F3A"/>
    <w:rsid w:val="006A33C9"/>
    <w:rsid w:val="006A60E5"/>
    <w:rsid w:val="006B436A"/>
    <w:rsid w:val="006B6A10"/>
    <w:rsid w:val="006C50CB"/>
    <w:rsid w:val="006C6B91"/>
    <w:rsid w:val="006D000F"/>
    <w:rsid w:val="006D3AB5"/>
    <w:rsid w:val="006D5C1D"/>
    <w:rsid w:val="006D788E"/>
    <w:rsid w:val="006E12F5"/>
    <w:rsid w:val="006E5420"/>
    <w:rsid w:val="006F0145"/>
    <w:rsid w:val="006F1596"/>
    <w:rsid w:val="006F1EA6"/>
    <w:rsid w:val="006F1F2A"/>
    <w:rsid w:val="00702689"/>
    <w:rsid w:val="00710264"/>
    <w:rsid w:val="00712ED7"/>
    <w:rsid w:val="007150F2"/>
    <w:rsid w:val="00715296"/>
    <w:rsid w:val="00720B31"/>
    <w:rsid w:val="007246BD"/>
    <w:rsid w:val="007267B7"/>
    <w:rsid w:val="007273C7"/>
    <w:rsid w:val="00730703"/>
    <w:rsid w:val="00731CB8"/>
    <w:rsid w:val="00732733"/>
    <w:rsid w:val="00735389"/>
    <w:rsid w:val="007364F5"/>
    <w:rsid w:val="00740E40"/>
    <w:rsid w:val="0074163D"/>
    <w:rsid w:val="007459C2"/>
    <w:rsid w:val="0074694A"/>
    <w:rsid w:val="0074768C"/>
    <w:rsid w:val="00753787"/>
    <w:rsid w:val="007552B7"/>
    <w:rsid w:val="00761D02"/>
    <w:rsid w:val="00762B0D"/>
    <w:rsid w:val="00765DB2"/>
    <w:rsid w:val="00765DE1"/>
    <w:rsid w:val="00782572"/>
    <w:rsid w:val="00782FA7"/>
    <w:rsid w:val="00785D60"/>
    <w:rsid w:val="00786BBF"/>
    <w:rsid w:val="00790DAD"/>
    <w:rsid w:val="00791432"/>
    <w:rsid w:val="00791D0D"/>
    <w:rsid w:val="00793D12"/>
    <w:rsid w:val="007943DC"/>
    <w:rsid w:val="0079543B"/>
    <w:rsid w:val="00797253"/>
    <w:rsid w:val="007A0C39"/>
    <w:rsid w:val="007A0D5F"/>
    <w:rsid w:val="007A519D"/>
    <w:rsid w:val="007B1BB4"/>
    <w:rsid w:val="007B5E08"/>
    <w:rsid w:val="007B5FB7"/>
    <w:rsid w:val="007B6486"/>
    <w:rsid w:val="007C2E7F"/>
    <w:rsid w:val="007C4245"/>
    <w:rsid w:val="007C537C"/>
    <w:rsid w:val="007C684D"/>
    <w:rsid w:val="007D5748"/>
    <w:rsid w:val="007D61B5"/>
    <w:rsid w:val="007E33A6"/>
    <w:rsid w:val="007E778A"/>
    <w:rsid w:val="007F15F4"/>
    <w:rsid w:val="007F1C56"/>
    <w:rsid w:val="007F21A0"/>
    <w:rsid w:val="007F3D14"/>
    <w:rsid w:val="007F511F"/>
    <w:rsid w:val="007F5F23"/>
    <w:rsid w:val="007F72FB"/>
    <w:rsid w:val="008015DE"/>
    <w:rsid w:val="008046D8"/>
    <w:rsid w:val="008050F8"/>
    <w:rsid w:val="00805DE1"/>
    <w:rsid w:val="008132A4"/>
    <w:rsid w:val="008144ED"/>
    <w:rsid w:val="008147F9"/>
    <w:rsid w:val="008159DF"/>
    <w:rsid w:val="00820087"/>
    <w:rsid w:val="0082106A"/>
    <w:rsid w:val="008210BD"/>
    <w:rsid w:val="008218D2"/>
    <w:rsid w:val="008230DC"/>
    <w:rsid w:val="00825F73"/>
    <w:rsid w:val="0083222F"/>
    <w:rsid w:val="0083333A"/>
    <w:rsid w:val="00835637"/>
    <w:rsid w:val="00837B07"/>
    <w:rsid w:val="008408ED"/>
    <w:rsid w:val="008418DA"/>
    <w:rsid w:val="008426F2"/>
    <w:rsid w:val="00843E52"/>
    <w:rsid w:val="008459FC"/>
    <w:rsid w:val="00846EFD"/>
    <w:rsid w:val="0085097D"/>
    <w:rsid w:val="008514FB"/>
    <w:rsid w:val="00853413"/>
    <w:rsid w:val="00853959"/>
    <w:rsid w:val="008545D4"/>
    <w:rsid w:val="00857D73"/>
    <w:rsid w:val="00861800"/>
    <w:rsid w:val="00864BAA"/>
    <w:rsid w:val="00866554"/>
    <w:rsid w:val="00866FE4"/>
    <w:rsid w:val="008672BE"/>
    <w:rsid w:val="00870931"/>
    <w:rsid w:val="00872995"/>
    <w:rsid w:val="00873368"/>
    <w:rsid w:val="0087431E"/>
    <w:rsid w:val="0089092F"/>
    <w:rsid w:val="00890F15"/>
    <w:rsid w:val="00891B6D"/>
    <w:rsid w:val="00893B84"/>
    <w:rsid w:val="008945CB"/>
    <w:rsid w:val="00897C4C"/>
    <w:rsid w:val="008A0426"/>
    <w:rsid w:val="008A088D"/>
    <w:rsid w:val="008A1967"/>
    <w:rsid w:val="008A1FB3"/>
    <w:rsid w:val="008A7763"/>
    <w:rsid w:val="008B0449"/>
    <w:rsid w:val="008B2AD4"/>
    <w:rsid w:val="008B46D4"/>
    <w:rsid w:val="008B541B"/>
    <w:rsid w:val="008B5A58"/>
    <w:rsid w:val="008B66F5"/>
    <w:rsid w:val="008B6A9F"/>
    <w:rsid w:val="008B7D2A"/>
    <w:rsid w:val="008C4DA5"/>
    <w:rsid w:val="008C6B12"/>
    <w:rsid w:val="008D0181"/>
    <w:rsid w:val="008D0DF3"/>
    <w:rsid w:val="008D0FD6"/>
    <w:rsid w:val="008D2801"/>
    <w:rsid w:val="008D339D"/>
    <w:rsid w:val="008D660F"/>
    <w:rsid w:val="008D6EA1"/>
    <w:rsid w:val="008E15DA"/>
    <w:rsid w:val="008E2736"/>
    <w:rsid w:val="008E59EB"/>
    <w:rsid w:val="008E5C3D"/>
    <w:rsid w:val="008E6C99"/>
    <w:rsid w:val="008E784D"/>
    <w:rsid w:val="008E7C7C"/>
    <w:rsid w:val="008F49A8"/>
    <w:rsid w:val="008F7EFB"/>
    <w:rsid w:val="009012CD"/>
    <w:rsid w:val="00902080"/>
    <w:rsid w:val="009028C0"/>
    <w:rsid w:val="00903CE5"/>
    <w:rsid w:val="009040BA"/>
    <w:rsid w:val="009070F0"/>
    <w:rsid w:val="0091065A"/>
    <w:rsid w:val="00910764"/>
    <w:rsid w:val="009121E5"/>
    <w:rsid w:val="00913F1D"/>
    <w:rsid w:val="00914BE9"/>
    <w:rsid w:val="00915E7E"/>
    <w:rsid w:val="00916C00"/>
    <w:rsid w:val="00920524"/>
    <w:rsid w:val="009235E1"/>
    <w:rsid w:val="00923BB5"/>
    <w:rsid w:val="009253F0"/>
    <w:rsid w:val="00926679"/>
    <w:rsid w:val="00926D47"/>
    <w:rsid w:val="00927665"/>
    <w:rsid w:val="00941828"/>
    <w:rsid w:val="00942C13"/>
    <w:rsid w:val="00950DC8"/>
    <w:rsid w:val="009562BB"/>
    <w:rsid w:val="00956D20"/>
    <w:rsid w:val="00957161"/>
    <w:rsid w:val="009619CF"/>
    <w:rsid w:val="00964E1F"/>
    <w:rsid w:val="00967FAC"/>
    <w:rsid w:val="009706A2"/>
    <w:rsid w:val="009706B7"/>
    <w:rsid w:val="00970775"/>
    <w:rsid w:val="00974854"/>
    <w:rsid w:val="00977913"/>
    <w:rsid w:val="0098095C"/>
    <w:rsid w:val="00981B3A"/>
    <w:rsid w:val="00982FC2"/>
    <w:rsid w:val="00987F10"/>
    <w:rsid w:val="009935DA"/>
    <w:rsid w:val="00995C98"/>
    <w:rsid w:val="00997490"/>
    <w:rsid w:val="009A021F"/>
    <w:rsid w:val="009A17C7"/>
    <w:rsid w:val="009A17EA"/>
    <w:rsid w:val="009A5258"/>
    <w:rsid w:val="009A5A3C"/>
    <w:rsid w:val="009A78DA"/>
    <w:rsid w:val="009B23F9"/>
    <w:rsid w:val="009B355C"/>
    <w:rsid w:val="009B39B2"/>
    <w:rsid w:val="009B3D08"/>
    <w:rsid w:val="009B3F00"/>
    <w:rsid w:val="009B5C19"/>
    <w:rsid w:val="009C44BB"/>
    <w:rsid w:val="009C458D"/>
    <w:rsid w:val="009C4678"/>
    <w:rsid w:val="009C4F9A"/>
    <w:rsid w:val="009C576C"/>
    <w:rsid w:val="009C5EF3"/>
    <w:rsid w:val="009C6B26"/>
    <w:rsid w:val="009D34C3"/>
    <w:rsid w:val="009D3C04"/>
    <w:rsid w:val="009E089E"/>
    <w:rsid w:val="009E16F9"/>
    <w:rsid w:val="009E1E31"/>
    <w:rsid w:val="009E2092"/>
    <w:rsid w:val="009E4F02"/>
    <w:rsid w:val="009E50A5"/>
    <w:rsid w:val="009E7615"/>
    <w:rsid w:val="009F5E85"/>
    <w:rsid w:val="009F645D"/>
    <w:rsid w:val="00A037D0"/>
    <w:rsid w:val="00A04DD5"/>
    <w:rsid w:val="00A05BD8"/>
    <w:rsid w:val="00A10009"/>
    <w:rsid w:val="00A1056A"/>
    <w:rsid w:val="00A10C62"/>
    <w:rsid w:val="00A15D2A"/>
    <w:rsid w:val="00A24B84"/>
    <w:rsid w:val="00A26A3F"/>
    <w:rsid w:val="00A26D50"/>
    <w:rsid w:val="00A32642"/>
    <w:rsid w:val="00A356E9"/>
    <w:rsid w:val="00A37599"/>
    <w:rsid w:val="00A40433"/>
    <w:rsid w:val="00A42E80"/>
    <w:rsid w:val="00A45FE2"/>
    <w:rsid w:val="00A50EDC"/>
    <w:rsid w:val="00A51B73"/>
    <w:rsid w:val="00A55131"/>
    <w:rsid w:val="00A61B91"/>
    <w:rsid w:val="00A7161B"/>
    <w:rsid w:val="00A71762"/>
    <w:rsid w:val="00A76AEB"/>
    <w:rsid w:val="00A801AD"/>
    <w:rsid w:val="00A8123C"/>
    <w:rsid w:val="00A8316C"/>
    <w:rsid w:val="00A83CB6"/>
    <w:rsid w:val="00A84A0E"/>
    <w:rsid w:val="00A878DE"/>
    <w:rsid w:val="00A90FAC"/>
    <w:rsid w:val="00A93AB7"/>
    <w:rsid w:val="00A94938"/>
    <w:rsid w:val="00A949EA"/>
    <w:rsid w:val="00A95711"/>
    <w:rsid w:val="00A97366"/>
    <w:rsid w:val="00AA1009"/>
    <w:rsid w:val="00AA525F"/>
    <w:rsid w:val="00AA5876"/>
    <w:rsid w:val="00AB3C25"/>
    <w:rsid w:val="00AB656A"/>
    <w:rsid w:val="00AC2FC5"/>
    <w:rsid w:val="00AC3971"/>
    <w:rsid w:val="00AC5D7B"/>
    <w:rsid w:val="00AC7B0A"/>
    <w:rsid w:val="00AD2874"/>
    <w:rsid w:val="00AD68A9"/>
    <w:rsid w:val="00AD6A93"/>
    <w:rsid w:val="00AD7A6C"/>
    <w:rsid w:val="00AE0791"/>
    <w:rsid w:val="00AE15E2"/>
    <w:rsid w:val="00AE1609"/>
    <w:rsid w:val="00AE56C8"/>
    <w:rsid w:val="00AF5464"/>
    <w:rsid w:val="00B00162"/>
    <w:rsid w:val="00B00DFA"/>
    <w:rsid w:val="00B01F02"/>
    <w:rsid w:val="00B02CB5"/>
    <w:rsid w:val="00B03EF7"/>
    <w:rsid w:val="00B058A4"/>
    <w:rsid w:val="00B109F2"/>
    <w:rsid w:val="00B1724B"/>
    <w:rsid w:val="00B20067"/>
    <w:rsid w:val="00B2048C"/>
    <w:rsid w:val="00B21D41"/>
    <w:rsid w:val="00B25DDE"/>
    <w:rsid w:val="00B260BE"/>
    <w:rsid w:val="00B328BC"/>
    <w:rsid w:val="00B36B33"/>
    <w:rsid w:val="00B37D06"/>
    <w:rsid w:val="00B41D28"/>
    <w:rsid w:val="00B42274"/>
    <w:rsid w:val="00B43725"/>
    <w:rsid w:val="00B44897"/>
    <w:rsid w:val="00B45419"/>
    <w:rsid w:val="00B45F5B"/>
    <w:rsid w:val="00B51A21"/>
    <w:rsid w:val="00B523CA"/>
    <w:rsid w:val="00B52D80"/>
    <w:rsid w:val="00B5535C"/>
    <w:rsid w:val="00B5556A"/>
    <w:rsid w:val="00B56ACD"/>
    <w:rsid w:val="00B5771B"/>
    <w:rsid w:val="00B604D3"/>
    <w:rsid w:val="00B639D7"/>
    <w:rsid w:val="00B63B10"/>
    <w:rsid w:val="00B65274"/>
    <w:rsid w:val="00B67325"/>
    <w:rsid w:val="00B74471"/>
    <w:rsid w:val="00B7738C"/>
    <w:rsid w:val="00B801F3"/>
    <w:rsid w:val="00B80AC2"/>
    <w:rsid w:val="00B8137F"/>
    <w:rsid w:val="00B8447B"/>
    <w:rsid w:val="00B86229"/>
    <w:rsid w:val="00B87F25"/>
    <w:rsid w:val="00B90F24"/>
    <w:rsid w:val="00B910BB"/>
    <w:rsid w:val="00B92B88"/>
    <w:rsid w:val="00B941D3"/>
    <w:rsid w:val="00B9629A"/>
    <w:rsid w:val="00BA0784"/>
    <w:rsid w:val="00BA22D7"/>
    <w:rsid w:val="00BA2AFD"/>
    <w:rsid w:val="00BA3E7B"/>
    <w:rsid w:val="00BA5575"/>
    <w:rsid w:val="00BA7754"/>
    <w:rsid w:val="00BB1DFF"/>
    <w:rsid w:val="00BB2B49"/>
    <w:rsid w:val="00BB455C"/>
    <w:rsid w:val="00BB7827"/>
    <w:rsid w:val="00BB7F52"/>
    <w:rsid w:val="00BC10D8"/>
    <w:rsid w:val="00BC2935"/>
    <w:rsid w:val="00BC6431"/>
    <w:rsid w:val="00BC79E7"/>
    <w:rsid w:val="00BD00EA"/>
    <w:rsid w:val="00BD05AE"/>
    <w:rsid w:val="00BD097A"/>
    <w:rsid w:val="00BD1F13"/>
    <w:rsid w:val="00BD3422"/>
    <w:rsid w:val="00BD6E96"/>
    <w:rsid w:val="00BD7444"/>
    <w:rsid w:val="00BE1B6D"/>
    <w:rsid w:val="00BE1F89"/>
    <w:rsid w:val="00BF441E"/>
    <w:rsid w:val="00C010A2"/>
    <w:rsid w:val="00C016A5"/>
    <w:rsid w:val="00C06CA5"/>
    <w:rsid w:val="00C14CAE"/>
    <w:rsid w:val="00C14DCC"/>
    <w:rsid w:val="00C15212"/>
    <w:rsid w:val="00C21A4A"/>
    <w:rsid w:val="00C22F3F"/>
    <w:rsid w:val="00C23460"/>
    <w:rsid w:val="00C2384C"/>
    <w:rsid w:val="00C268CD"/>
    <w:rsid w:val="00C26F60"/>
    <w:rsid w:val="00C303B5"/>
    <w:rsid w:val="00C331FA"/>
    <w:rsid w:val="00C36008"/>
    <w:rsid w:val="00C42A15"/>
    <w:rsid w:val="00C45868"/>
    <w:rsid w:val="00C45A01"/>
    <w:rsid w:val="00C46629"/>
    <w:rsid w:val="00C47831"/>
    <w:rsid w:val="00C51274"/>
    <w:rsid w:val="00C51A40"/>
    <w:rsid w:val="00C51FD4"/>
    <w:rsid w:val="00C529EF"/>
    <w:rsid w:val="00C5582A"/>
    <w:rsid w:val="00C5650A"/>
    <w:rsid w:val="00C61844"/>
    <w:rsid w:val="00C6201D"/>
    <w:rsid w:val="00C62C02"/>
    <w:rsid w:val="00C65C1F"/>
    <w:rsid w:val="00C66E8A"/>
    <w:rsid w:val="00C70956"/>
    <w:rsid w:val="00C7140D"/>
    <w:rsid w:val="00C834B4"/>
    <w:rsid w:val="00C85A2C"/>
    <w:rsid w:val="00C9399B"/>
    <w:rsid w:val="00C96236"/>
    <w:rsid w:val="00CA052C"/>
    <w:rsid w:val="00CA0683"/>
    <w:rsid w:val="00CA09D8"/>
    <w:rsid w:val="00CA0E25"/>
    <w:rsid w:val="00CA1DC8"/>
    <w:rsid w:val="00CA20AC"/>
    <w:rsid w:val="00CA4FA5"/>
    <w:rsid w:val="00CA63E6"/>
    <w:rsid w:val="00CA73EF"/>
    <w:rsid w:val="00CB0644"/>
    <w:rsid w:val="00CB0781"/>
    <w:rsid w:val="00CB1C78"/>
    <w:rsid w:val="00CB2DB6"/>
    <w:rsid w:val="00CB3623"/>
    <w:rsid w:val="00CB5D7B"/>
    <w:rsid w:val="00CB6A72"/>
    <w:rsid w:val="00CB750F"/>
    <w:rsid w:val="00CC29EE"/>
    <w:rsid w:val="00CC2B42"/>
    <w:rsid w:val="00CC30F8"/>
    <w:rsid w:val="00CC772B"/>
    <w:rsid w:val="00CC7A4B"/>
    <w:rsid w:val="00CD0060"/>
    <w:rsid w:val="00CD2466"/>
    <w:rsid w:val="00CD4629"/>
    <w:rsid w:val="00CD5602"/>
    <w:rsid w:val="00CD64F2"/>
    <w:rsid w:val="00CD7BD5"/>
    <w:rsid w:val="00CE156C"/>
    <w:rsid w:val="00CE299A"/>
    <w:rsid w:val="00CE7664"/>
    <w:rsid w:val="00CF049B"/>
    <w:rsid w:val="00CF1CE5"/>
    <w:rsid w:val="00CF4703"/>
    <w:rsid w:val="00CF5A55"/>
    <w:rsid w:val="00D01605"/>
    <w:rsid w:val="00D016C1"/>
    <w:rsid w:val="00D018A5"/>
    <w:rsid w:val="00D0337A"/>
    <w:rsid w:val="00D03701"/>
    <w:rsid w:val="00D0407A"/>
    <w:rsid w:val="00D0485E"/>
    <w:rsid w:val="00D05783"/>
    <w:rsid w:val="00D12056"/>
    <w:rsid w:val="00D121C5"/>
    <w:rsid w:val="00D150ED"/>
    <w:rsid w:val="00D1539A"/>
    <w:rsid w:val="00D16710"/>
    <w:rsid w:val="00D215D1"/>
    <w:rsid w:val="00D21AA1"/>
    <w:rsid w:val="00D25C88"/>
    <w:rsid w:val="00D275C8"/>
    <w:rsid w:val="00D2773E"/>
    <w:rsid w:val="00D3283A"/>
    <w:rsid w:val="00D42070"/>
    <w:rsid w:val="00D43F66"/>
    <w:rsid w:val="00D440A5"/>
    <w:rsid w:val="00D46D23"/>
    <w:rsid w:val="00D565B9"/>
    <w:rsid w:val="00D56EB2"/>
    <w:rsid w:val="00D57052"/>
    <w:rsid w:val="00D57829"/>
    <w:rsid w:val="00D57F7E"/>
    <w:rsid w:val="00D61AAD"/>
    <w:rsid w:val="00D71DD4"/>
    <w:rsid w:val="00D746E7"/>
    <w:rsid w:val="00D76073"/>
    <w:rsid w:val="00D76D8F"/>
    <w:rsid w:val="00D80712"/>
    <w:rsid w:val="00D92598"/>
    <w:rsid w:val="00D92D77"/>
    <w:rsid w:val="00DB0DC0"/>
    <w:rsid w:val="00DB1C7D"/>
    <w:rsid w:val="00DB3A11"/>
    <w:rsid w:val="00DB4E90"/>
    <w:rsid w:val="00DB6F7E"/>
    <w:rsid w:val="00DC0505"/>
    <w:rsid w:val="00DC3D83"/>
    <w:rsid w:val="00DC4170"/>
    <w:rsid w:val="00DC5470"/>
    <w:rsid w:val="00DC675E"/>
    <w:rsid w:val="00DC6DAE"/>
    <w:rsid w:val="00DD2769"/>
    <w:rsid w:val="00DD2805"/>
    <w:rsid w:val="00DD79A1"/>
    <w:rsid w:val="00DE1CF1"/>
    <w:rsid w:val="00DE392D"/>
    <w:rsid w:val="00DE5BF1"/>
    <w:rsid w:val="00DF1D5B"/>
    <w:rsid w:val="00DF2466"/>
    <w:rsid w:val="00DF688B"/>
    <w:rsid w:val="00E02760"/>
    <w:rsid w:val="00E028F9"/>
    <w:rsid w:val="00E03938"/>
    <w:rsid w:val="00E03BE7"/>
    <w:rsid w:val="00E05595"/>
    <w:rsid w:val="00E07CE9"/>
    <w:rsid w:val="00E14014"/>
    <w:rsid w:val="00E16871"/>
    <w:rsid w:val="00E20D39"/>
    <w:rsid w:val="00E21461"/>
    <w:rsid w:val="00E2311B"/>
    <w:rsid w:val="00E235F8"/>
    <w:rsid w:val="00E26305"/>
    <w:rsid w:val="00E26D23"/>
    <w:rsid w:val="00E340DD"/>
    <w:rsid w:val="00E3657F"/>
    <w:rsid w:val="00E410A7"/>
    <w:rsid w:val="00E41370"/>
    <w:rsid w:val="00E41670"/>
    <w:rsid w:val="00E444BE"/>
    <w:rsid w:val="00E45F02"/>
    <w:rsid w:val="00E46F16"/>
    <w:rsid w:val="00E53873"/>
    <w:rsid w:val="00E54194"/>
    <w:rsid w:val="00E57EEA"/>
    <w:rsid w:val="00E6083B"/>
    <w:rsid w:val="00E62409"/>
    <w:rsid w:val="00E63BF2"/>
    <w:rsid w:val="00E63EF2"/>
    <w:rsid w:val="00E64A7D"/>
    <w:rsid w:val="00E65750"/>
    <w:rsid w:val="00E724CF"/>
    <w:rsid w:val="00E73EB1"/>
    <w:rsid w:val="00E775DF"/>
    <w:rsid w:val="00E80F34"/>
    <w:rsid w:val="00E81B3A"/>
    <w:rsid w:val="00E90840"/>
    <w:rsid w:val="00E90C63"/>
    <w:rsid w:val="00E9239A"/>
    <w:rsid w:val="00E929E1"/>
    <w:rsid w:val="00E9528C"/>
    <w:rsid w:val="00E963A3"/>
    <w:rsid w:val="00EA1596"/>
    <w:rsid w:val="00EA1E90"/>
    <w:rsid w:val="00EA2EE3"/>
    <w:rsid w:val="00EA33E3"/>
    <w:rsid w:val="00EA4ABA"/>
    <w:rsid w:val="00EA54B7"/>
    <w:rsid w:val="00EA569D"/>
    <w:rsid w:val="00EB0800"/>
    <w:rsid w:val="00EB188F"/>
    <w:rsid w:val="00EB59C8"/>
    <w:rsid w:val="00EB67AC"/>
    <w:rsid w:val="00EC3664"/>
    <w:rsid w:val="00EC59C8"/>
    <w:rsid w:val="00EC7E4C"/>
    <w:rsid w:val="00ED0E39"/>
    <w:rsid w:val="00ED5451"/>
    <w:rsid w:val="00EE04E8"/>
    <w:rsid w:val="00EE17BB"/>
    <w:rsid w:val="00EE1A67"/>
    <w:rsid w:val="00EE776C"/>
    <w:rsid w:val="00EF4BB2"/>
    <w:rsid w:val="00EF4D62"/>
    <w:rsid w:val="00EF4D78"/>
    <w:rsid w:val="00EF58F5"/>
    <w:rsid w:val="00F007D0"/>
    <w:rsid w:val="00F02D9F"/>
    <w:rsid w:val="00F037C9"/>
    <w:rsid w:val="00F05B78"/>
    <w:rsid w:val="00F07630"/>
    <w:rsid w:val="00F07B42"/>
    <w:rsid w:val="00F12602"/>
    <w:rsid w:val="00F13D7D"/>
    <w:rsid w:val="00F14687"/>
    <w:rsid w:val="00F23342"/>
    <w:rsid w:val="00F253D0"/>
    <w:rsid w:val="00F26881"/>
    <w:rsid w:val="00F26D86"/>
    <w:rsid w:val="00F33299"/>
    <w:rsid w:val="00F337DF"/>
    <w:rsid w:val="00F350C3"/>
    <w:rsid w:val="00F352FB"/>
    <w:rsid w:val="00F35DD6"/>
    <w:rsid w:val="00F40136"/>
    <w:rsid w:val="00F46B32"/>
    <w:rsid w:val="00F51A5C"/>
    <w:rsid w:val="00F526F6"/>
    <w:rsid w:val="00F5330B"/>
    <w:rsid w:val="00F53CFA"/>
    <w:rsid w:val="00F611CE"/>
    <w:rsid w:val="00F615D8"/>
    <w:rsid w:val="00F61C90"/>
    <w:rsid w:val="00F6488A"/>
    <w:rsid w:val="00F67072"/>
    <w:rsid w:val="00F67319"/>
    <w:rsid w:val="00F71DCB"/>
    <w:rsid w:val="00F751CC"/>
    <w:rsid w:val="00F757ED"/>
    <w:rsid w:val="00F77641"/>
    <w:rsid w:val="00F83159"/>
    <w:rsid w:val="00F838ED"/>
    <w:rsid w:val="00F910E6"/>
    <w:rsid w:val="00F97ABD"/>
    <w:rsid w:val="00F97DAF"/>
    <w:rsid w:val="00FA4FB8"/>
    <w:rsid w:val="00FA601A"/>
    <w:rsid w:val="00FA68ED"/>
    <w:rsid w:val="00FA6AE4"/>
    <w:rsid w:val="00FA6E17"/>
    <w:rsid w:val="00FA7BF2"/>
    <w:rsid w:val="00FB0211"/>
    <w:rsid w:val="00FB0827"/>
    <w:rsid w:val="00FB0F68"/>
    <w:rsid w:val="00FB1EF2"/>
    <w:rsid w:val="00FB2E28"/>
    <w:rsid w:val="00FB5424"/>
    <w:rsid w:val="00FC2E87"/>
    <w:rsid w:val="00FC5EC4"/>
    <w:rsid w:val="00FD0692"/>
    <w:rsid w:val="00FD2240"/>
    <w:rsid w:val="00FD3D16"/>
    <w:rsid w:val="00FD4BAF"/>
    <w:rsid w:val="00FD6DCE"/>
    <w:rsid w:val="00FD7059"/>
    <w:rsid w:val="00FE0BE9"/>
    <w:rsid w:val="00FE1945"/>
    <w:rsid w:val="00FE3959"/>
    <w:rsid w:val="00FE3A12"/>
    <w:rsid w:val="00FE4E18"/>
    <w:rsid w:val="00FE50E6"/>
    <w:rsid w:val="00FE7FA4"/>
    <w:rsid w:val="00FF004B"/>
    <w:rsid w:val="00FF0EBD"/>
    <w:rsid w:val="00FF12B1"/>
    <w:rsid w:val="00FF4C38"/>
    <w:rsid w:val="00FF5422"/>
    <w:rsid w:val="00FF73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4558B"/>
  <w14:defaultImageDpi w14:val="0"/>
  <w15:docId w15:val="{2AE3F595-E69C-4A62-8630-D374048A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Odsekzoznamu">
    <w:name w:val="List Paragraph"/>
    <w:aliases w:val="body,Odsek zoznamu2,Odsek,Odsek zoznamu1,List Paragraph,List Paragraph1"/>
    <w:basedOn w:val="Normlny"/>
    <w:link w:val="OdsekzoznamuChar"/>
    <w:uiPriority w:val="34"/>
    <w:qFormat/>
    <w:rsid w:val="00866554"/>
    <w:pPr>
      <w:ind w:left="720"/>
      <w:contextualSpacing/>
    </w:pPr>
    <w:rPr>
      <w:rFonts w:ascii="Calibri" w:hAnsi="Calibri"/>
      <w:lang w:val="en-US"/>
    </w:rPr>
  </w:style>
  <w:style w:type="paragraph" w:styleId="Textpoznmkypodiarou">
    <w:name w:val="footnote text"/>
    <w:basedOn w:val="Normlny"/>
    <w:link w:val="TextpoznmkypodiarouChar"/>
    <w:uiPriority w:val="99"/>
    <w:semiHidden/>
    <w:unhideWhenUsed/>
    <w:rsid w:val="001C7640"/>
    <w:pPr>
      <w:spacing w:after="0" w:line="240" w:lineRule="auto"/>
    </w:pPr>
    <w:rPr>
      <w:rFonts w:ascii="Calibri" w:hAnsi="Calibri"/>
      <w:sz w:val="20"/>
      <w:szCs w:val="20"/>
      <w:lang w:val="en-US"/>
    </w:rPr>
  </w:style>
  <w:style w:type="character" w:customStyle="1" w:styleId="TextpoznmkypodiarouChar">
    <w:name w:val="Text poznámky pod čiarou Char"/>
    <w:basedOn w:val="Predvolenpsmoodseku"/>
    <w:link w:val="Textpoznmkypodiarou"/>
    <w:uiPriority w:val="99"/>
    <w:semiHidden/>
    <w:locked/>
    <w:rsid w:val="001C7640"/>
    <w:rPr>
      <w:rFonts w:ascii="Calibri" w:hAnsi="Calibri" w:cs="Times New Roman"/>
      <w:sz w:val="20"/>
      <w:szCs w:val="20"/>
      <w:lang w:val="en-US" w:eastAsia="x-none"/>
    </w:rPr>
  </w:style>
  <w:style w:type="character" w:styleId="Odkaznapoznmkupodiarou">
    <w:name w:val="footnote reference"/>
    <w:basedOn w:val="Predvolenpsmoodseku"/>
    <w:uiPriority w:val="99"/>
    <w:semiHidden/>
    <w:unhideWhenUsed/>
    <w:rsid w:val="001C7640"/>
    <w:rPr>
      <w:rFonts w:cs="Times New Roman"/>
      <w:vertAlign w:val="superscript"/>
    </w:rPr>
  </w:style>
  <w:style w:type="character" w:styleId="Hypertextovprepojenie">
    <w:name w:val="Hyperlink"/>
    <w:basedOn w:val="Predvolenpsmoodseku"/>
    <w:uiPriority w:val="99"/>
    <w:unhideWhenUsed/>
    <w:rsid w:val="001C7640"/>
    <w:rPr>
      <w:rFonts w:cs="Times New Roman"/>
      <w:color w:val="0000FF" w:themeColor="hyperlink"/>
      <w:u w:val="single"/>
    </w:rPr>
  </w:style>
  <w:style w:type="character" w:styleId="Odkaznakomentr">
    <w:name w:val="annotation reference"/>
    <w:basedOn w:val="Predvolenpsmoodseku"/>
    <w:uiPriority w:val="99"/>
    <w:semiHidden/>
    <w:unhideWhenUsed/>
    <w:rsid w:val="00390633"/>
    <w:rPr>
      <w:rFonts w:cs="Times New Roman"/>
      <w:sz w:val="16"/>
      <w:szCs w:val="16"/>
    </w:rPr>
  </w:style>
  <w:style w:type="paragraph" w:styleId="Textkomentra">
    <w:name w:val="annotation text"/>
    <w:basedOn w:val="Normlny"/>
    <w:link w:val="TextkomentraChar"/>
    <w:uiPriority w:val="99"/>
    <w:unhideWhenUsed/>
    <w:rsid w:val="00390633"/>
    <w:pPr>
      <w:spacing w:line="240" w:lineRule="auto"/>
    </w:pPr>
    <w:rPr>
      <w:sz w:val="20"/>
      <w:szCs w:val="20"/>
    </w:rPr>
  </w:style>
  <w:style w:type="character" w:customStyle="1" w:styleId="TextkomentraChar">
    <w:name w:val="Text komentára Char"/>
    <w:basedOn w:val="Predvolenpsmoodseku"/>
    <w:link w:val="Textkomentra"/>
    <w:uiPriority w:val="99"/>
    <w:locked/>
    <w:rsid w:val="00390633"/>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390633"/>
    <w:rPr>
      <w:b/>
      <w:bCs/>
    </w:rPr>
  </w:style>
  <w:style w:type="character" w:customStyle="1" w:styleId="PredmetkomentraChar">
    <w:name w:val="Predmet komentára Char"/>
    <w:basedOn w:val="TextkomentraChar"/>
    <w:link w:val="Predmetkomentra"/>
    <w:uiPriority w:val="99"/>
    <w:semiHidden/>
    <w:locked/>
    <w:rsid w:val="00390633"/>
    <w:rPr>
      <w:rFonts w:cs="Times New Roman"/>
      <w:b/>
      <w:bCs/>
      <w:sz w:val="20"/>
      <w:szCs w:val="20"/>
    </w:rPr>
  </w:style>
  <w:style w:type="character" w:customStyle="1" w:styleId="OdsekzoznamuChar">
    <w:name w:val="Odsek zoznamu Char"/>
    <w:aliases w:val="body Char,Odsek zoznamu2 Char,Odsek Char,Odsek zoznamu1 Char,List Paragraph Char,List Paragraph1 Char"/>
    <w:link w:val="Odsekzoznamu"/>
    <w:qFormat/>
    <w:locked/>
    <w:rsid w:val="00656F4B"/>
    <w:rPr>
      <w:rFonts w:ascii="Calibri" w:hAnsi="Calibri" w:cs="Times New Roman"/>
      <w:lang w:val="en-US"/>
    </w:rPr>
  </w:style>
  <w:style w:type="paragraph" w:styleId="Normlnywebov">
    <w:name w:val="Normal (Web)"/>
    <w:basedOn w:val="Normlny"/>
    <w:uiPriority w:val="99"/>
    <w:rsid w:val="002D7EF7"/>
    <w:pPr>
      <w:spacing w:before="100" w:beforeAutospacing="1" w:after="100" w:afterAutospacing="1" w:line="240" w:lineRule="auto"/>
    </w:pPr>
    <w:rPr>
      <w:rFonts w:ascii="Times New Roman" w:hAnsi="Times New Roman"/>
      <w:sz w:val="24"/>
      <w:szCs w:val="24"/>
      <w:lang w:eastAsia="sk-SK"/>
    </w:rPr>
  </w:style>
  <w:style w:type="paragraph" w:customStyle="1" w:styleId="TableContents">
    <w:name w:val="Table Contents"/>
    <w:basedOn w:val="Normlny"/>
    <w:rsid w:val="003B1714"/>
    <w:pPr>
      <w:suppressLineNumbers/>
      <w:suppressAutoHyphens/>
      <w:spacing w:after="0" w:line="240" w:lineRule="auto"/>
    </w:pPr>
    <w:rPr>
      <w:rFonts w:ascii="Liberation Serif" w:eastAsia="SimSun" w:hAnsi="Liberation Serif" w:cs="Arial"/>
      <w:kern w:val="1"/>
      <w:sz w:val="24"/>
      <w:szCs w:val="24"/>
      <w:lang w:val="en-US" w:eastAsia="zh-CN" w:bidi="hi-IN"/>
    </w:rPr>
  </w:style>
  <w:style w:type="paragraph" w:styleId="Bezriadkovania">
    <w:name w:val="No Spacing"/>
    <w:uiPriority w:val="1"/>
    <w:qFormat/>
    <w:rsid w:val="003B1714"/>
    <w:pPr>
      <w:spacing w:after="0" w:line="240" w:lineRule="auto"/>
    </w:pPr>
    <w:rPr>
      <w:rFonts w:eastAsiaTheme="minorEastAsia" w:cs="Times New Roman"/>
      <w:lang w:eastAsia="sk-SK"/>
    </w:rPr>
  </w:style>
  <w:style w:type="table" w:styleId="Mriekatabuky">
    <w:name w:val="Table Grid"/>
    <w:basedOn w:val="Normlnatabuka"/>
    <w:uiPriority w:val="59"/>
    <w:rsid w:val="002C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2705">
      <w:bodyDiv w:val="1"/>
      <w:marLeft w:val="0"/>
      <w:marRight w:val="0"/>
      <w:marTop w:val="0"/>
      <w:marBottom w:val="0"/>
      <w:divBdr>
        <w:top w:val="none" w:sz="0" w:space="0" w:color="auto"/>
        <w:left w:val="none" w:sz="0" w:space="0" w:color="auto"/>
        <w:bottom w:val="none" w:sz="0" w:space="0" w:color="auto"/>
        <w:right w:val="none" w:sz="0" w:space="0" w:color="auto"/>
      </w:divBdr>
    </w:div>
    <w:div w:id="41103488">
      <w:bodyDiv w:val="1"/>
      <w:marLeft w:val="0"/>
      <w:marRight w:val="0"/>
      <w:marTop w:val="0"/>
      <w:marBottom w:val="0"/>
      <w:divBdr>
        <w:top w:val="none" w:sz="0" w:space="0" w:color="auto"/>
        <w:left w:val="none" w:sz="0" w:space="0" w:color="auto"/>
        <w:bottom w:val="none" w:sz="0" w:space="0" w:color="auto"/>
        <w:right w:val="none" w:sz="0" w:space="0" w:color="auto"/>
      </w:divBdr>
    </w:div>
    <w:div w:id="65810499">
      <w:bodyDiv w:val="1"/>
      <w:marLeft w:val="0"/>
      <w:marRight w:val="0"/>
      <w:marTop w:val="0"/>
      <w:marBottom w:val="0"/>
      <w:divBdr>
        <w:top w:val="none" w:sz="0" w:space="0" w:color="auto"/>
        <w:left w:val="none" w:sz="0" w:space="0" w:color="auto"/>
        <w:bottom w:val="none" w:sz="0" w:space="0" w:color="auto"/>
        <w:right w:val="none" w:sz="0" w:space="0" w:color="auto"/>
      </w:divBdr>
    </w:div>
    <w:div w:id="80372271">
      <w:bodyDiv w:val="1"/>
      <w:marLeft w:val="0"/>
      <w:marRight w:val="0"/>
      <w:marTop w:val="0"/>
      <w:marBottom w:val="0"/>
      <w:divBdr>
        <w:top w:val="none" w:sz="0" w:space="0" w:color="auto"/>
        <w:left w:val="none" w:sz="0" w:space="0" w:color="auto"/>
        <w:bottom w:val="none" w:sz="0" w:space="0" w:color="auto"/>
        <w:right w:val="none" w:sz="0" w:space="0" w:color="auto"/>
      </w:divBdr>
    </w:div>
    <w:div w:id="95684950">
      <w:bodyDiv w:val="1"/>
      <w:marLeft w:val="0"/>
      <w:marRight w:val="0"/>
      <w:marTop w:val="0"/>
      <w:marBottom w:val="0"/>
      <w:divBdr>
        <w:top w:val="none" w:sz="0" w:space="0" w:color="auto"/>
        <w:left w:val="none" w:sz="0" w:space="0" w:color="auto"/>
        <w:bottom w:val="none" w:sz="0" w:space="0" w:color="auto"/>
        <w:right w:val="none" w:sz="0" w:space="0" w:color="auto"/>
      </w:divBdr>
    </w:div>
    <w:div w:id="97795796">
      <w:bodyDiv w:val="1"/>
      <w:marLeft w:val="0"/>
      <w:marRight w:val="0"/>
      <w:marTop w:val="0"/>
      <w:marBottom w:val="0"/>
      <w:divBdr>
        <w:top w:val="none" w:sz="0" w:space="0" w:color="auto"/>
        <w:left w:val="none" w:sz="0" w:space="0" w:color="auto"/>
        <w:bottom w:val="none" w:sz="0" w:space="0" w:color="auto"/>
        <w:right w:val="none" w:sz="0" w:space="0" w:color="auto"/>
      </w:divBdr>
    </w:div>
    <w:div w:id="114181829">
      <w:bodyDiv w:val="1"/>
      <w:marLeft w:val="0"/>
      <w:marRight w:val="0"/>
      <w:marTop w:val="0"/>
      <w:marBottom w:val="0"/>
      <w:divBdr>
        <w:top w:val="none" w:sz="0" w:space="0" w:color="auto"/>
        <w:left w:val="none" w:sz="0" w:space="0" w:color="auto"/>
        <w:bottom w:val="none" w:sz="0" w:space="0" w:color="auto"/>
        <w:right w:val="none" w:sz="0" w:space="0" w:color="auto"/>
      </w:divBdr>
    </w:div>
    <w:div w:id="140001064">
      <w:bodyDiv w:val="1"/>
      <w:marLeft w:val="0"/>
      <w:marRight w:val="0"/>
      <w:marTop w:val="0"/>
      <w:marBottom w:val="0"/>
      <w:divBdr>
        <w:top w:val="none" w:sz="0" w:space="0" w:color="auto"/>
        <w:left w:val="none" w:sz="0" w:space="0" w:color="auto"/>
        <w:bottom w:val="none" w:sz="0" w:space="0" w:color="auto"/>
        <w:right w:val="none" w:sz="0" w:space="0" w:color="auto"/>
      </w:divBdr>
    </w:div>
    <w:div w:id="181625383">
      <w:bodyDiv w:val="1"/>
      <w:marLeft w:val="0"/>
      <w:marRight w:val="0"/>
      <w:marTop w:val="0"/>
      <w:marBottom w:val="0"/>
      <w:divBdr>
        <w:top w:val="none" w:sz="0" w:space="0" w:color="auto"/>
        <w:left w:val="none" w:sz="0" w:space="0" w:color="auto"/>
        <w:bottom w:val="none" w:sz="0" w:space="0" w:color="auto"/>
        <w:right w:val="none" w:sz="0" w:space="0" w:color="auto"/>
      </w:divBdr>
    </w:div>
    <w:div w:id="196284717">
      <w:bodyDiv w:val="1"/>
      <w:marLeft w:val="0"/>
      <w:marRight w:val="0"/>
      <w:marTop w:val="0"/>
      <w:marBottom w:val="0"/>
      <w:divBdr>
        <w:top w:val="none" w:sz="0" w:space="0" w:color="auto"/>
        <w:left w:val="none" w:sz="0" w:space="0" w:color="auto"/>
        <w:bottom w:val="none" w:sz="0" w:space="0" w:color="auto"/>
        <w:right w:val="none" w:sz="0" w:space="0" w:color="auto"/>
      </w:divBdr>
    </w:div>
    <w:div w:id="202982817">
      <w:bodyDiv w:val="1"/>
      <w:marLeft w:val="0"/>
      <w:marRight w:val="0"/>
      <w:marTop w:val="0"/>
      <w:marBottom w:val="0"/>
      <w:divBdr>
        <w:top w:val="none" w:sz="0" w:space="0" w:color="auto"/>
        <w:left w:val="none" w:sz="0" w:space="0" w:color="auto"/>
        <w:bottom w:val="none" w:sz="0" w:space="0" w:color="auto"/>
        <w:right w:val="none" w:sz="0" w:space="0" w:color="auto"/>
      </w:divBdr>
    </w:div>
    <w:div w:id="205411515">
      <w:bodyDiv w:val="1"/>
      <w:marLeft w:val="0"/>
      <w:marRight w:val="0"/>
      <w:marTop w:val="0"/>
      <w:marBottom w:val="0"/>
      <w:divBdr>
        <w:top w:val="none" w:sz="0" w:space="0" w:color="auto"/>
        <w:left w:val="none" w:sz="0" w:space="0" w:color="auto"/>
        <w:bottom w:val="none" w:sz="0" w:space="0" w:color="auto"/>
        <w:right w:val="none" w:sz="0" w:space="0" w:color="auto"/>
      </w:divBdr>
    </w:div>
    <w:div w:id="249049877">
      <w:bodyDiv w:val="1"/>
      <w:marLeft w:val="0"/>
      <w:marRight w:val="0"/>
      <w:marTop w:val="0"/>
      <w:marBottom w:val="0"/>
      <w:divBdr>
        <w:top w:val="none" w:sz="0" w:space="0" w:color="auto"/>
        <w:left w:val="none" w:sz="0" w:space="0" w:color="auto"/>
        <w:bottom w:val="none" w:sz="0" w:space="0" w:color="auto"/>
        <w:right w:val="none" w:sz="0" w:space="0" w:color="auto"/>
      </w:divBdr>
    </w:div>
    <w:div w:id="272132382">
      <w:bodyDiv w:val="1"/>
      <w:marLeft w:val="0"/>
      <w:marRight w:val="0"/>
      <w:marTop w:val="0"/>
      <w:marBottom w:val="0"/>
      <w:divBdr>
        <w:top w:val="none" w:sz="0" w:space="0" w:color="auto"/>
        <w:left w:val="none" w:sz="0" w:space="0" w:color="auto"/>
        <w:bottom w:val="none" w:sz="0" w:space="0" w:color="auto"/>
        <w:right w:val="none" w:sz="0" w:space="0" w:color="auto"/>
      </w:divBdr>
    </w:div>
    <w:div w:id="279604125">
      <w:bodyDiv w:val="1"/>
      <w:marLeft w:val="0"/>
      <w:marRight w:val="0"/>
      <w:marTop w:val="0"/>
      <w:marBottom w:val="0"/>
      <w:divBdr>
        <w:top w:val="none" w:sz="0" w:space="0" w:color="auto"/>
        <w:left w:val="none" w:sz="0" w:space="0" w:color="auto"/>
        <w:bottom w:val="none" w:sz="0" w:space="0" w:color="auto"/>
        <w:right w:val="none" w:sz="0" w:space="0" w:color="auto"/>
      </w:divBdr>
    </w:div>
    <w:div w:id="508839521">
      <w:bodyDiv w:val="1"/>
      <w:marLeft w:val="0"/>
      <w:marRight w:val="0"/>
      <w:marTop w:val="0"/>
      <w:marBottom w:val="0"/>
      <w:divBdr>
        <w:top w:val="none" w:sz="0" w:space="0" w:color="auto"/>
        <w:left w:val="none" w:sz="0" w:space="0" w:color="auto"/>
        <w:bottom w:val="none" w:sz="0" w:space="0" w:color="auto"/>
        <w:right w:val="none" w:sz="0" w:space="0" w:color="auto"/>
      </w:divBdr>
    </w:div>
    <w:div w:id="509218583">
      <w:bodyDiv w:val="1"/>
      <w:marLeft w:val="0"/>
      <w:marRight w:val="0"/>
      <w:marTop w:val="0"/>
      <w:marBottom w:val="0"/>
      <w:divBdr>
        <w:top w:val="none" w:sz="0" w:space="0" w:color="auto"/>
        <w:left w:val="none" w:sz="0" w:space="0" w:color="auto"/>
        <w:bottom w:val="none" w:sz="0" w:space="0" w:color="auto"/>
        <w:right w:val="none" w:sz="0" w:space="0" w:color="auto"/>
      </w:divBdr>
    </w:div>
    <w:div w:id="613245839">
      <w:bodyDiv w:val="1"/>
      <w:marLeft w:val="0"/>
      <w:marRight w:val="0"/>
      <w:marTop w:val="0"/>
      <w:marBottom w:val="0"/>
      <w:divBdr>
        <w:top w:val="none" w:sz="0" w:space="0" w:color="auto"/>
        <w:left w:val="none" w:sz="0" w:space="0" w:color="auto"/>
        <w:bottom w:val="none" w:sz="0" w:space="0" w:color="auto"/>
        <w:right w:val="none" w:sz="0" w:space="0" w:color="auto"/>
      </w:divBdr>
    </w:div>
    <w:div w:id="614141067">
      <w:bodyDiv w:val="1"/>
      <w:marLeft w:val="0"/>
      <w:marRight w:val="0"/>
      <w:marTop w:val="0"/>
      <w:marBottom w:val="0"/>
      <w:divBdr>
        <w:top w:val="none" w:sz="0" w:space="0" w:color="auto"/>
        <w:left w:val="none" w:sz="0" w:space="0" w:color="auto"/>
        <w:bottom w:val="none" w:sz="0" w:space="0" w:color="auto"/>
        <w:right w:val="none" w:sz="0" w:space="0" w:color="auto"/>
      </w:divBdr>
    </w:div>
    <w:div w:id="635527230">
      <w:bodyDiv w:val="1"/>
      <w:marLeft w:val="0"/>
      <w:marRight w:val="0"/>
      <w:marTop w:val="0"/>
      <w:marBottom w:val="0"/>
      <w:divBdr>
        <w:top w:val="none" w:sz="0" w:space="0" w:color="auto"/>
        <w:left w:val="none" w:sz="0" w:space="0" w:color="auto"/>
        <w:bottom w:val="none" w:sz="0" w:space="0" w:color="auto"/>
        <w:right w:val="none" w:sz="0" w:space="0" w:color="auto"/>
      </w:divBdr>
    </w:div>
    <w:div w:id="654335073">
      <w:bodyDiv w:val="1"/>
      <w:marLeft w:val="0"/>
      <w:marRight w:val="0"/>
      <w:marTop w:val="0"/>
      <w:marBottom w:val="0"/>
      <w:divBdr>
        <w:top w:val="none" w:sz="0" w:space="0" w:color="auto"/>
        <w:left w:val="none" w:sz="0" w:space="0" w:color="auto"/>
        <w:bottom w:val="none" w:sz="0" w:space="0" w:color="auto"/>
        <w:right w:val="none" w:sz="0" w:space="0" w:color="auto"/>
      </w:divBdr>
    </w:div>
    <w:div w:id="725491741">
      <w:bodyDiv w:val="1"/>
      <w:marLeft w:val="0"/>
      <w:marRight w:val="0"/>
      <w:marTop w:val="0"/>
      <w:marBottom w:val="0"/>
      <w:divBdr>
        <w:top w:val="none" w:sz="0" w:space="0" w:color="auto"/>
        <w:left w:val="none" w:sz="0" w:space="0" w:color="auto"/>
        <w:bottom w:val="none" w:sz="0" w:space="0" w:color="auto"/>
        <w:right w:val="none" w:sz="0" w:space="0" w:color="auto"/>
      </w:divBdr>
    </w:div>
    <w:div w:id="778916037">
      <w:bodyDiv w:val="1"/>
      <w:marLeft w:val="0"/>
      <w:marRight w:val="0"/>
      <w:marTop w:val="0"/>
      <w:marBottom w:val="0"/>
      <w:divBdr>
        <w:top w:val="none" w:sz="0" w:space="0" w:color="auto"/>
        <w:left w:val="none" w:sz="0" w:space="0" w:color="auto"/>
        <w:bottom w:val="none" w:sz="0" w:space="0" w:color="auto"/>
        <w:right w:val="none" w:sz="0" w:space="0" w:color="auto"/>
      </w:divBdr>
    </w:div>
    <w:div w:id="809177343">
      <w:bodyDiv w:val="1"/>
      <w:marLeft w:val="0"/>
      <w:marRight w:val="0"/>
      <w:marTop w:val="0"/>
      <w:marBottom w:val="0"/>
      <w:divBdr>
        <w:top w:val="none" w:sz="0" w:space="0" w:color="auto"/>
        <w:left w:val="none" w:sz="0" w:space="0" w:color="auto"/>
        <w:bottom w:val="none" w:sz="0" w:space="0" w:color="auto"/>
        <w:right w:val="none" w:sz="0" w:space="0" w:color="auto"/>
      </w:divBdr>
    </w:div>
    <w:div w:id="809664057">
      <w:bodyDiv w:val="1"/>
      <w:marLeft w:val="0"/>
      <w:marRight w:val="0"/>
      <w:marTop w:val="0"/>
      <w:marBottom w:val="0"/>
      <w:divBdr>
        <w:top w:val="none" w:sz="0" w:space="0" w:color="auto"/>
        <w:left w:val="none" w:sz="0" w:space="0" w:color="auto"/>
        <w:bottom w:val="none" w:sz="0" w:space="0" w:color="auto"/>
        <w:right w:val="none" w:sz="0" w:space="0" w:color="auto"/>
      </w:divBdr>
    </w:div>
    <w:div w:id="818573359">
      <w:bodyDiv w:val="1"/>
      <w:marLeft w:val="0"/>
      <w:marRight w:val="0"/>
      <w:marTop w:val="0"/>
      <w:marBottom w:val="0"/>
      <w:divBdr>
        <w:top w:val="none" w:sz="0" w:space="0" w:color="auto"/>
        <w:left w:val="none" w:sz="0" w:space="0" w:color="auto"/>
        <w:bottom w:val="none" w:sz="0" w:space="0" w:color="auto"/>
        <w:right w:val="none" w:sz="0" w:space="0" w:color="auto"/>
      </w:divBdr>
    </w:div>
    <w:div w:id="824588539">
      <w:bodyDiv w:val="1"/>
      <w:marLeft w:val="0"/>
      <w:marRight w:val="0"/>
      <w:marTop w:val="0"/>
      <w:marBottom w:val="0"/>
      <w:divBdr>
        <w:top w:val="none" w:sz="0" w:space="0" w:color="auto"/>
        <w:left w:val="none" w:sz="0" w:space="0" w:color="auto"/>
        <w:bottom w:val="none" w:sz="0" w:space="0" w:color="auto"/>
        <w:right w:val="none" w:sz="0" w:space="0" w:color="auto"/>
      </w:divBdr>
    </w:div>
    <w:div w:id="828599217">
      <w:bodyDiv w:val="1"/>
      <w:marLeft w:val="0"/>
      <w:marRight w:val="0"/>
      <w:marTop w:val="0"/>
      <w:marBottom w:val="0"/>
      <w:divBdr>
        <w:top w:val="none" w:sz="0" w:space="0" w:color="auto"/>
        <w:left w:val="none" w:sz="0" w:space="0" w:color="auto"/>
        <w:bottom w:val="none" w:sz="0" w:space="0" w:color="auto"/>
        <w:right w:val="none" w:sz="0" w:space="0" w:color="auto"/>
      </w:divBdr>
    </w:div>
    <w:div w:id="973096460">
      <w:bodyDiv w:val="1"/>
      <w:marLeft w:val="0"/>
      <w:marRight w:val="0"/>
      <w:marTop w:val="0"/>
      <w:marBottom w:val="0"/>
      <w:divBdr>
        <w:top w:val="none" w:sz="0" w:space="0" w:color="auto"/>
        <w:left w:val="none" w:sz="0" w:space="0" w:color="auto"/>
        <w:bottom w:val="none" w:sz="0" w:space="0" w:color="auto"/>
        <w:right w:val="none" w:sz="0" w:space="0" w:color="auto"/>
      </w:divBdr>
    </w:div>
    <w:div w:id="976296801">
      <w:bodyDiv w:val="1"/>
      <w:marLeft w:val="0"/>
      <w:marRight w:val="0"/>
      <w:marTop w:val="0"/>
      <w:marBottom w:val="0"/>
      <w:divBdr>
        <w:top w:val="none" w:sz="0" w:space="0" w:color="auto"/>
        <w:left w:val="none" w:sz="0" w:space="0" w:color="auto"/>
        <w:bottom w:val="none" w:sz="0" w:space="0" w:color="auto"/>
        <w:right w:val="none" w:sz="0" w:space="0" w:color="auto"/>
      </w:divBdr>
    </w:div>
    <w:div w:id="985814412">
      <w:bodyDiv w:val="1"/>
      <w:marLeft w:val="0"/>
      <w:marRight w:val="0"/>
      <w:marTop w:val="0"/>
      <w:marBottom w:val="0"/>
      <w:divBdr>
        <w:top w:val="none" w:sz="0" w:space="0" w:color="auto"/>
        <w:left w:val="none" w:sz="0" w:space="0" w:color="auto"/>
        <w:bottom w:val="none" w:sz="0" w:space="0" w:color="auto"/>
        <w:right w:val="none" w:sz="0" w:space="0" w:color="auto"/>
      </w:divBdr>
    </w:div>
    <w:div w:id="1022784677">
      <w:bodyDiv w:val="1"/>
      <w:marLeft w:val="0"/>
      <w:marRight w:val="0"/>
      <w:marTop w:val="0"/>
      <w:marBottom w:val="0"/>
      <w:divBdr>
        <w:top w:val="none" w:sz="0" w:space="0" w:color="auto"/>
        <w:left w:val="none" w:sz="0" w:space="0" w:color="auto"/>
        <w:bottom w:val="none" w:sz="0" w:space="0" w:color="auto"/>
        <w:right w:val="none" w:sz="0" w:space="0" w:color="auto"/>
      </w:divBdr>
    </w:div>
    <w:div w:id="1101335918">
      <w:bodyDiv w:val="1"/>
      <w:marLeft w:val="0"/>
      <w:marRight w:val="0"/>
      <w:marTop w:val="0"/>
      <w:marBottom w:val="0"/>
      <w:divBdr>
        <w:top w:val="none" w:sz="0" w:space="0" w:color="auto"/>
        <w:left w:val="none" w:sz="0" w:space="0" w:color="auto"/>
        <w:bottom w:val="none" w:sz="0" w:space="0" w:color="auto"/>
        <w:right w:val="none" w:sz="0" w:space="0" w:color="auto"/>
      </w:divBdr>
    </w:div>
    <w:div w:id="1172914841">
      <w:bodyDiv w:val="1"/>
      <w:marLeft w:val="0"/>
      <w:marRight w:val="0"/>
      <w:marTop w:val="0"/>
      <w:marBottom w:val="0"/>
      <w:divBdr>
        <w:top w:val="none" w:sz="0" w:space="0" w:color="auto"/>
        <w:left w:val="none" w:sz="0" w:space="0" w:color="auto"/>
        <w:bottom w:val="none" w:sz="0" w:space="0" w:color="auto"/>
        <w:right w:val="none" w:sz="0" w:space="0" w:color="auto"/>
      </w:divBdr>
    </w:div>
    <w:div w:id="1187596794">
      <w:bodyDiv w:val="1"/>
      <w:marLeft w:val="0"/>
      <w:marRight w:val="0"/>
      <w:marTop w:val="0"/>
      <w:marBottom w:val="0"/>
      <w:divBdr>
        <w:top w:val="none" w:sz="0" w:space="0" w:color="auto"/>
        <w:left w:val="none" w:sz="0" w:space="0" w:color="auto"/>
        <w:bottom w:val="none" w:sz="0" w:space="0" w:color="auto"/>
        <w:right w:val="none" w:sz="0" w:space="0" w:color="auto"/>
      </w:divBdr>
    </w:div>
    <w:div w:id="1210023668">
      <w:bodyDiv w:val="1"/>
      <w:marLeft w:val="0"/>
      <w:marRight w:val="0"/>
      <w:marTop w:val="0"/>
      <w:marBottom w:val="0"/>
      <w:divBdr>
        <w:top w:val="none" w:sz="0" w:space="0" w:color="auto"/>
        <w:left w:val="none" w:sz="0" w:space="0" w:color="auto"/>
        <w:bottom w:val="none" w:sz="0" w:space="0" w:color="auto"/>
        <w:right w:val="none" w:sz="0" w:space="0" w:color="auto"/>
      </w:divBdr>
    </w:div>
    <w:div w:id="1217354863">
      <w:bodyDiv w:val="1"/>
      <w:marLeft w:val="0"/>
      <w:marRight w:val="0"/>
      <w:marTop w:val="0"/>
      <w:marBottom w:val="0"/>
      <w:divBdr>
        <w:top w:val="none" w:sz="0" w:space="0" w:color="auto"/>
        <w:left w:val="none" w:sz="0" w:space="0" w:color="auto"/>
        <w:bottom w:val="none" w:sz="0" w:space="0" w:color="auto"/>
        <w:right w:val="none" w:sz="0" w:space="0" w:color="auto"/>
      </w:divBdr>
    </w:div>
    <w:div w:id="1223905264">
      <w:bodyDiv w:val="1"/>
      <w:marLeft w:val="0"/>
      <w:marRight w:val="0"/>
      <w:marTop w:val="0"/>
      <w:marBottom w:val="0"/>
      <w:divBdr>
        <w:top w:val="none" w:sz="0" w:space="0" w:color="auto"/>
        <w:left w:val="none" w:sz="0" w:space="0" w:color="auto"/>
        <w:bottom w:val="none" w:sz="0" w:space="0" w:color="auto"/>
        <w:right w:val="none" w:sz="0" w:space="0" w:color="auto"/>
      </w:divBdr>
    </w:div>
    <w:div w:id="1232157004">
      <w:bodyDiv w:val="1"/>
      <w:marLeft w:val="0"/>
      <w:marRight w:val="0"/>
      <w:marTop w:val="0"/>
      <w:marBottom w:val="0"/>
      <w:divBdr>
        <w:top w:val="none" w:sz="0" w:space="0" w:color="auto"/>
        <w:left w:val="none" w:sz="0" w:space="0" w:color="auto"/>
        <w:bottom w:val="none" w:sz="0" w:space="0" w:color="auto"/>
        <w:right w:val="none" w:sz="0" w:space="0" w:color="auto"/>
      </w:divBdr>
    </w:div>
    <w:div w:id="1237326371">
      <w:bodyDiv w:val="1"/>
      <w:marLeft w:val="0"/>
      <w:marRight w:val="0"/>
      <w:marTop w:val="0"/>
      <w:marBottom w:val="0"/>
      <w:divBdr>
        <w:top w:val="none" w:sz="0" w:space="0" w:color="auto"/>
        <w:left w:val="none" w:sz="0" w:space="0" w:color="auto"/>
        <w:bottom w:val="none" w:sz="0" w:space="0" w:color="auto"/>
        <w:right w:val="none" w:sz="0" w:space="0" w:color="auto"/>
      </w:divBdr>
    </w:div>
    <w:div w:id="1272514737">
      <w:bodyDiv w:val="1"/>
      <w:marLeft w:val="0"/>
      <w:marRight w:val="0"/>
      <w:marTop w:val="0"/>
      <w:marBottom w:val="0"/>
      <w:divBdr>
        <w:top w:val="none" w:sz="0" w:space="0" w:color="auto"/>
        <w:left w:val="none" w:sz="0" w:space="0" w:color="auto"/>
        <w:bottom w:val="none" w:sz="0" w:space="0" w:color="auto"/>
        <w:right w:val="none" w:sz="0" w:space="0" w:color="auto"/>
      </w:divBdr>
    </w:div>
    <w:div w:id="1331641015">
      <w:bodyDiv w:val="1"/>
      <w:marLeft w:val="0"/>
      <w:marRight w:val="0"/>
      <w:marTop w:val="0"/>
      <w:marBottom w:val="0"/>
      <w:divBdr>
        <w:top w:val="none" w:sz="0" w:space="0" w:color="auto"/>
        <w:left w:val="none" w:sz="0" w:space="0" w:color="auto"/>
        <w:bottom w:val="none" w:sz="0" w:space="0" w:color="auto"/>
        <w:right w:val="none" w:sz="0" w:space="0" w:color="auto"/>
      </w:divBdr>
    </w:div>
    <w:div w:id="1389526527">
      <w:bodyDiv w:val="1"/>
      <w:marLeft w:val="0"/>
      <w:marRight w:val="0"/>
      <w:marTop w:val="0"/>
      <w:marBottom w:val="0"/>
      <w:divBdr>
        <w:top w:val="none" w:sz="0" w:space="0" w:color="auto"/>
        <w:left w:val="none" w:sz="0" w:space="0" w:color="auto"/>
        <w:bottom w:val="none" w:sz="0" w:space="0" w:color="auto"/>
        <w:right w:val="none" w:sz="0" w:space="0" w:color="auto"/>
      </w:divBdr>
    </w:div>
    <w:div w:id="1443651793">
      <w:bodyDiv w:val="1"/>
      <w:marLeft w:val="0"/>
      <w:marRight w:val="0"/>
      <w:marTop w:val="0"/>
      <w:marBottom w:val="0"/>
      <w:divBdr>
        <w:top w:val="none" w:sz="0" w:space="0" w:color="auto"/>
        <w:left w:val="none" w:sz="0" w:space="0" w:color="auto"/>
        <w:bottom w:val="none" w:sz="0" w:space="0" w:color="auto"/>
        <w:right w:val="none" w:sz="0" w:space="0" w:color="auto"/>
      </w:divBdr>
    </w:div>
    <w:div w:id="1472480589">
      <w:bodyDiv w:val="1"/>
      <w:marLeft w:val="0"/>
      <w:marRight w:val="0"/>
      <w:marTop w:val="0"/>
      <w:marBottom w:val="0"/>
      <w:divBdr>
        <w:top w:val="none" w:sz="0" w:space="0" w:color="auto"/>
        <w:left w:val="none" w:sz="0" w:space="0" w:color="auto"/>
        <w:bottom w:val="none" w:sz="0" w:space="0" w:color="auto"/>
        <w:right w:val="none" w:sz="0" w:space="0" w:color="auto"/>
      </w:divBdr>
    </w:div>
    <w:div w:id="1492286107">
      <w:bodyDiv w:val="1"/>
      <w:marLeft w:val="0"/>
      <w:marRight w:val="0"/>
      <w:marTop w:val="0"/>
      <w:marBottom w:val="0"/>
      <w:divBdr>
        <w:top w:val="none" w:sz="0" w:space="0" w:color="auto"/>
        <w:left w:val="none" w:sz="0" w:space="0" w:color="auto"/>
        <w:bottom w:val="none" w:sz="0" w:space="0" w:color="auto"/>
        <w:right w:val="none" w:sz="0" w:space="0" w:color="auto"/>
      </w:divBdr>
    </w:div>
    <w:div w:id="1498110382">
      <w:bodyDiv w:val="1"/>
      <w:marLeft w:val="0"/>
      <w:marRight w:val="0"/>
      <w:marTop w:val="0"/>
      <w:marBottom w:val="0"/>
      <w:divBdr>
        <w:top w:val="none" w:sz="0" w:space="0" w:color="auto"/>
        <w:left w:val="none" w:sz="0" w:space="0" w:color="auto"/>
        <w:bottom w:val="none" w:sz="0" w:space="0" w:color="auto"/>
        <w:right w:val="none" w:sz="0" w:space="0" w:color="auto"/>
      </w:divBdr>
    </w:div>
    <w:div w:id="1498956899">
      <w:bodyDiv w:val="1"/>
      <w:marLeft w:val="0"/>
      <w:marRight w:val="0"/>
      <w:marTop w:val="0"/>
      <w:marBottom w:val="0"/>
      <w:divBdr>
        <w:top w:val="none" w:sz="0" w:space="0" w:color="auto"/>
        <w:left w:val="none" w:sz="0" w:space="0" w:color="auto"/>
        <w:bottom w:val="none" w:sz="0" w:space="0" w:color="auto"/>
        <w:right w:val="none" w:sz="0" w:space="0" w:color="auto"/>
      </w:divBdr>
    </w:div>
    <w:div w:id="1504199060">
      <w:bodyDiv w:val="1"/>
      <w:marLeft w:val="0"/>
      <w:marRight w:val="0"/>
      <w:marTop w:val="0"/>
      <w:marBottom w:val="0"/>
      <w:divBdr>
        <w:top w:val="none" w:sz="0" w:space="0" w:color="auto"/>
        <w:left w:val="none" w:sz="0" w:space="0" w:color="auto"/>
        <w:bottom w:val="none" w:sz="0" w:space="0" w:color="auto"/>
        <w:right w:val="none" w:sz="0" w:space="0" w:color="auto"/>
      </w:divBdr>
    </w:div>
    <w:div w:id="1516261736">
      <w:bodyDiv w:val="1"/>
      <w:marLeft w:val="0"/>
      <w:marRight w:val="0"/>
      <w:marTop w:val="0"/>
      <w:marBottom w:val="0"/>
      <w:divBdr>
        <w:top w:val="none" w:sz="0" w:space="0" w:color="auto"/>
        <w:left w:val="none" w:sz="0" w:space="0" w:color="auto"/>
        <w:bottom w:val="none" w:sz="0" w:space="0" w:color="auto"/>
        <w:right w:val="none" w:sz="0" w:space="0" w:color="auto"/>
      </w:divBdr>
    </w:div>
    <w:div w:id="1517426877">
      <w:bodyDiv w:val="1"/>
      <w:marLeft w:val="0"/>
      <w:marRight w:val="0"/>
      <w:marTop w:val="0"/>
      <w:marBottom w:val="0"/>
      <w:divBdr>
        <w:top w:val="none" w:sz="0" w:space="0" w:color="auto"/>
        <w:left w:val="none" w:sz="0" w:space="0" w:color="auto"/>
        <w:bottom w:val="none" w:sz="0" w:space="0" w:color="auto"/>
        <w:right w:val="none" w:sz="0" w:space="0" w:color="auto"/>
      </w:divBdr>
    </w:div>
    <w:div w:id="1518814877">
      <w:bodyDiv w:val="1"/>
      <w:marLeft w:val="0"/>
      <w:marRight w:val="0"/>
      <w:marTop w:val="0"/>
      <w:marBottom w:val="0"/>
      <w:divBdr>
        <w:top w:val="none" w:sz="0" w:space="0" w:color="auto"/>
        <w:left w:val="none" w:sz="0" w:space="0" w:color="auto"/>
        <w:bottom w:val="none" w:sz="0" w:space="0" w:color="auto"/>
        <w:right w:val="none" w:sz="0" w:space="0" w:color="auto"/>
      </w:divBdr>
    </w:div>
    <w:div w:id="1562247398">
      <w:bodyDiv w:val="1"/>
      <w:marLeft w:val="0"/>
      <w:marRight w:val="0"/>
      <w:marTop w:val="0"/>
      <w:marBottom w:val="0"/>
      <w:divBdr>
        <w:top w:val="none" w:sz="0" w:space="0" w:color="auto"/>
        <w:left w:val="none" w:sz="0" w:space="0" w:color="auto"/>
        <w:bottom w:val="none" w:sz="0" w:space="0" w:color="auto"/>
        <w:right w:val="none" w:sz="0" w:space="0" w:color="auto"/>
      </w:divBdr>
    </w:div>
    <w:div w:id="1580166058">
      <w:bodyDiv w:val="1"/>
      <w:marLeft w:val="0"/>
      <w:marRight w:val="0"/>
      <w:marTop w:val="0"/>
      <w:marBottom w:val="0"/>
      <w:divBdr>
        <w:top w:val="none" w:sz="0" w:space="0" w:color="auto"/>
        <w:left w:val="none" w:sz="0" w:space="0" w:color="auto"/>
        <w:bottom w:val="none" w:sz="0" w:space="0" w:color="auto"/>
        <w:right w:val="none" w:sz="0" w:space="0" w:color="auto"/>
      </w:divBdr>
    </w:div>
    <w:div w:id="1613589516">
      <w:bodyDiv w:val="1"/>
      <w:marLeft w:val="0"/>
      <w:marRight w:val="0"/>
      <w:marTop w:val="0"/>
      <w:marBottom w:val="0"/>
      <w:divBdr>
        <w:top w:val="none" w:sz="0" w:space="0" w:color="auto"/>
        <w:left w:val="none" w:sz="0" w:space="0" w:color="auto"/>
        <w:bottom w:val="none" w:sz="0" w:space="0" w:color="auto"/>
        <w:right w:val="none" w:sz="0" w:space="0" w:color="auto"/>
      </w:divBdr>
    </w:div>
    <w:div w:id="1626890461">
      <w:bodyDiv w:val="1"/>
      <w:marLeft w:val="0"/>
      <w:marRight w:val="0"/>
      <w:marTop w:val="0"/>
      <w:marBottom w:val="0"/>
      <w:divBdr>
        <w:top w:val="none" w:sz="0" w:space="0" w:color="auto"/>
        <w:left w:val="none" w:sz="0" w:space="0" w:color="auto"/>
        <w:bottom w:val="none" w:sz="0" w:space="0" w:color="auto"/>
        <w:right w:val="none" w:sz="0" w:space="0" w:color="auto"/>
      </w:divBdr>
    </w:div>
    <w:div w:id="1633292764">
      <w:bodyDiv w:val="1"/>
      <w:marLeft w:val="0"/>
      <w:marRight w:val="0"/>
      <w:marTop w:val="0"/>
      <w:marBottom w:val="0"/>
      <w:divBdr>
        <w:top w:val="none" w:sz="0" w:space="0" w:color="auto"/>
        <w:left w:val="none" w:sz="0" w:space="0" w:color="auto"/>
        <w:bottom w:val="none" w:sz="0" w:space="0" w:color="auto"/>
        <w:right w:val="none" w:sz="0" w:space="0" w:color="auto"/>
      </w:divBdr>
    </w:div>
    <w:div w:id="1636712521">
      <w:bodyDiv w:val="1"/>
      <w:marLeft w:val="0"/>
      <w:marRight w:val="0"/>
      <w:marTop w:val="0"/>
      <w:marBottom w:val="0"/>
      <w:divBdr>
        <w:top w:val="none" w:sz="0" w:space="0" w:color="auto"/>
        <w:left w:val="none" w:sz="0" w:space="0" w:color="auto"/>
        <w:bottom w:val="none" w:sz="0" w:space="0" w:color="auto"/>
        <w:right w:val="none" w:sz="0" w:space="0" w:color="auto"/>
      </w:divBdr>
    </w:div>
    <w:div w:id="1658612101">
      <w:bodyDiv w:val="1"/>
      <w:marLeft w:val="0"/>
      <w:marRight w:val="0"/>
      <w:marTop w:val="0"/>
      <w:marBottom w:val="0"/>
      <w:divBdr>
        <w:top w:val="none" w:sz="0" w:space="0" w:color="auto"/>
        <w:left w:val="none" w:sz="0" w:space="0" w:color="auto"/>
        <w:bottom w:val="none" w:sz="0" w:space="0" w:color="auto"/>
        <w:right w:val="none" w:sz="0" w:space="0" w:color="auto"/>
      </w:divBdr>
    </w:div>
    <w:div w:id="1663309166">
      <w:bodyDiv w:val="1"/>
      <w:marLeft w:val="0"/>
      <w:marRight w:val="0"/>
      <w:marTop w:val="0"/>
      <w:marBottom w:val="0"/>
      <w:divBdr>
        <w:top w:val="none" w:sz="0" w:space="0" w:color="auto"/>
        <w:left w:val="none" w:sz="0" w:space="0" w:color="auto"/>
        <w:bottom w:val="none" w:sz="0" w:space="0" w:color="auto"/>
        <w:right w:val="none" w:sz="0" w:space="0" w:color="auto"/>
      </w:divBdr>
    </w:div>
    <w:div w:id="1739016027">
      <w:bodyDiv w:val="1"/>
      <w:marLeft w:val="0"/>
      <w:marRight w:val="0"/>
      <w:marTop w:val="0"/>
      <w:marBottom w:val="0"/>
      <w:divBdr>
        <w:top w:val="none" w:sz="0" w:space="0" w:color="auto"/>
        <w:left w:val="none" w:sz="0" w:space="0" w:color="auto"/>
        <w:bottom w:val="none" w:sz="0" w:space="0" w:color="auto"/>
        <w:right w:val="none" w:sz="0" w:space="0" w:color="auto"/>
      </w:divBdr>
    </w:div>
    <w:div w:id="1847087601">
      <w:bodyDiv w:val="1"/>
      <w:marLeft w:val="0"/>
      <w:marRight w:val="0"/>
      <w:marTop w:val="0"/>
      <w:marBottom w:val="0"/>
      <w:divBdr>
        <w:top w:val="none" w:sz="0" w:space="0" w:color="auto"/>
        <w:left w:val="none" w:sz="0" w:space="0" w:color="auto"/>
        <w:bottom w:val="none" w:sz="0" w:space="0" w:color="auto"/>
        <w:right w:val="none" w:sz="0" w:space="0" w:color="auto"/>
      </w:divBdr>
    </w:div>
    <w:div w:id="1919901215">
      <w:bodyDiv w:val="1"/>
      <w:marLeft w:val="0"/>
      <w:marRight w:val="0"/>
      <w:marTop w:val="0"/>
      <w:marBottom w:val="0"/>
      <w:divBdr>
        <w:top w:val="none" w:sz="0" w:space="0" w:color="auto"/>
        <w:left w:val="none" w:sz="0" w:space="0" w:color="auto"/>
        <w:bottom w:val="none" w:sz="0" w:space="0" w:color="auto"/>
        <w:right w:val="none" w:sz="0" w:space="0" w:color="auto"/>
      </w:divBdr>
    </w:div>
    <w:div w:id="1929776626">
      <w:bodyDiv w:val="1"/>
      <w:marLeft w:val="0"/>
      <w:marRight w:val="0"/>
      <w:marTop w:val="0"/>
      <w:marBottom w:val="0"/>
      <w:divBdr>
        <w:top w:val="none" w:sz="0" w:space="0" w:color="auto"/>
        <w:left w:val="none" w:sz="0" w:space="0" w:color="auto"/>
        <w:bottom w:val="none" w:sz="0" w:space="0" w:color="auto"/>
        <w:right w:val="none" w:sz="0" w:space="0" w:color="auto"/>
      </w:divBdr>
    </w:div>
    <w:div w:id="1981303655">
      <w:bodyDiv w:val="1"/>
      <w:marLeft w:val="0"/>
      <w:marRight w:val="0"/>
      <w:marTop w:val="0"/>
      <w:marBottom w:val="0"/>
      <w:divBdr>
        <w:top w:val="none" w:sz="0" w:space="0" w:color="auto"/>
        <w:left w:val="none" w:sz="0" w:space="0" w:color="auto"/>
        <w:bottom w:val="none" w:sz="0" w:space="0" w:color="auto"/>
        <w:right w:val="none" w:sz="0" w:space="0" w:color="auto"/>
      </w:divBdr>
    </w:div>
    <w:div w:id="2043355845">
      <w:bodyDiv w:val="1"/>
      <w:marLeft w:val="0"/>
      <w:marRight w:val="0"/>
      <w:marTop w:val="0"/>
      <w:marBottom w:val="0"/>
      <w:divBdr>
        <w:top w:val="none" w:sz="0" w:space="0" w:color="auto"/>
        <w:left w:val="none" w:sz="0" w:space="0" w:color="auto"/>
        <w:bottom w:val="none" w:sz="0" w:space="0" w:color="auto"/>
        <w:right w:val="none" w:sz="0" w:space="0" w:color="auto"/>
      </w:divBdr>
    </w:div>
    <w:div w:id="2083403972">
      <w:marLeft w:val="0"/>
      <w:marRight w:val="0"/>
      <w:marTop w:val="0"/>
      <w:marBottom w:val="0"/>
      <w:divBdr>
        <w:top w:val="none" w:sz="0" w:space="0" w:color="auto"/>
        <w:left w:val="none" w:sz="0" w:space="0" w:color="auto"/>
        <w:bottom w:val="none" w:sz="0" w:space="0" w:color="auto"/>
        <w:right w:val="none" w:sz="0" w:space="0" w:color="auto"/>
      </w:divBdr>
    </w:div>
    <w:div w:id="2083403973">
      <w:marLeft w:val="0"/>
      <w:marRight w:val="0"/>
      <w:marTop w:val="0"/>
      <w:marBottom w:val="0"/>
      <w:divBdr>
        <w:top w:val="none" w:sz="0" w:space="0" w:color="auto"/>
        <w:left w:val="none" w:sz="0" w:space="0" w:color="auto"/>
        <w:bottom w:val="none" w:sz="0" w:space="0" w:color="auto"/>
        <w:right w:val="none" w:sz="0" w:space="0" w:color="auto"/>
      </w:divBdr>
    </w:div>
    <w:div w:id="2083403974">
      <w:marLeft w:val="0"/>
      <w:marRight w:val="0"/>
      <w:marTop w:val="0"/>
      <w:marBottom w:val="0"/>
      <w:divBdr>
        <w:top w:val="none" w:sz="0" w:space="0" w:color="auto"/>
        <w:left w:val="none" w:sz="0" w:space="0" w:color="auto"/>
        <w:bottom w:val="none" w:sz="0" w:space="0" w:color="auto"/>
        <w:right w:val="none" w:sz="0" w:space="0" w:color="auto"/>
      </w:divBdr>
    </w:div>
    <w:div w:id="2083403975">
      <w:marLeft w:val="0"/>
      <w:marRight w:val="0"/>
      <w:marTop w:val="0"/>
      <w:marBottom w:val="0"/>
      <w:divBdr>
        <w:top w:val="none" w:sz="0" w:space="0" w:color="auto"/>
        <w:left w:val="none" w:sz="0" w:space="0" w:color="auto"/>
        <w:bottom w:val="none" w:sz="0" w:space="0" w:color="auto"/>
        <w:right w:val="none" w:sz="0" w:space="0" w:color="auto"/>
      </w:divBdr>
    </w:div>
    <w:div w:id="2083403976">
      <w:marLeft w:val="0"/>
      <w:marRight w:val="0"/>
      <w:marTop w:val="0"/>
      <w:marBottom w:val="0"/>
      <w:divBdr>
        <w:top w:val="none" w:sz="0" w:space="0" w:color="auto"/>
        <w:left w:val="none" w:sz="0" w:space="0" w:color="auto"/>
        <w:bottom w:val="none" w:sz="0" w:space="0" w:color="auto"/>
        <w:right w:val="none" w:sz="0" w:space="0" w:color="auto"/>
      </w:divBdr>
    </w:div>
    <w:div w:id="2083403977">
      <w:marLeft w:val="0"/>
      <w:marRight w:val="0"/>
      <w:marTop w:val="0"/>
      <w:marBottom w:val="0"/>
      <w:divBdr>
        <w:top w:val="none" w:sz="0" w:space="0" w:color="auto"/>
        <w:left w:val="none" w:sz="0" w:space="0" w:color="auto"/>
        <w:bottom w:val="none" w:sz="0" w:space="0" w:color="auto"/>
        <w:right w:val="none" w:sz="0" w:space="0" w:color="auto"/>
      </w:divBdr>
    </w:div>
    <w:div w:id="2083403978">
      <w:marLeft w:val="0"/>
      <w:marRight w:val="0"/>
      <w:marTop w:val="0"/>
      <w:marBottom w:val="0"/>
      <w:divBdr>
        <w:top w:val="none" w:sz="0" w:space="0" w:color="auto"/>
        <w:left w:val="none" w:sz="0" w:space="0" w:color="auto"/>
        <w:bottom w:val="none" w:sz="0" w:space="0" w:color="auto"/>
        <w:right w:val="none" w:sz="0" w:space="0" w:color="auto"/>
      </w:divBdr>
    </w:div>
    <w:div w:id="2083403979">
      <w:marLeft w:val="0"/>
      <w:marRight w:val="0"/>
      <w:marTop w:val="0"/>
      <w:marBottom w:val="0"/>
      <w:divBdr>
        <w:top w:val="none" w:sz="0" w:space="0" w:color="auto"/>
        <w:left w:val="none" w:sz="0" w:space="0" w:color="auto"/>
        <w:bottom w:val="none" w:sz="0" w:space="0" w:color="auto"/>
        <w:right w:val="none" w:sz="0" w:space="0" w:color="auto"/>
      </w:divBdr>
    </w:div>
    <w:div w:id="2083403980">
      <w:marLeft w:val="0"/>
      <w:marRight w:val="0"/>
      <w:marTop w:val="0"/>
      <w:marBottom w:val="0"/>
      <w:divBdr>
        <w:top w:val="none" w:sz="0" w:space="0" w:color="auto"/>
        <w:left w:val="none" w:sz="0" w:space="0" w:color="auto"/>
        <w:bottom w:val="none" w:sz="0" w:space="0" w:color="auto"/>
        <w:right w:val="none" w:sz="0" w:space="0" w:color="auto"/>
      </w:divBdr>
    </w:div>
    <w:div w:id="2083403981">
      <w:marLeft w:val="0"/>
      <w:marRight w:val="0"/>
      <w:marTop w:val="0"/>
      <w:marBottom w:val="0"/>
      <w:divBdr>
        <w:top w:val="none" w:sz="0" w:space="0" w:color="auto"/>
        <w:left w:val="none" w:sz="0" w:space="0" w:color="auto"/>
        <w:bottom w:val="none" w:sz="0" w:space="0" w:color="auto"/>
        <w:right w:val="none" w:sz="0" w:space="0" w:color="auto"/>
      </w:divBdr>
    </w:div>
    <w:div w:id="2083403982">
      <w:marLeft w:val="0"/>
      <w:marRight w:val="0"/>
      <w:marTop w:val="0"/>
      <w:marBottom w:val="0"/>
      <w:divBdr>
        <w:top w:val="none" w:sz="0" w:space="0" w:color="auto"/>
        <w:left w:val="none" w:sz="0" w:space="0" w:color="auto"/>
        <w:bottom w:val="none" w:sz="0" w:space="0" w:color="auto"/>
        <w:right w:val="none" w:sz="0" w:space="0" w:color="auto"/>
      </w:divBdr>
    </w:div>
    <w:div w:id="2083403983">
      <w:marLeft w:val="0"/>
      <w:marRight w:val="0"/>
      <w:marTop w:val="0"/>
      <w:marBottom w:val="0"/>
      <w:divBdr>
        <w:top w:val="none" w:sz="0" w:space="0" w:color="auto"/>
        <w:left w:val="none" w:sz="0" w:space="0" w:color="auto"/>
        <w:bottom w:val="none" w:sz="0" w:space="0" w:color="auto"/>
        <w:right w:val="none" w:sz="0" w:space="0" w:color="auto"/>
      </w:divBdr>
    </w:div>
    <w:div w:id="2083403984">
      <w:marLeft w:val="0"/>
      <w:marRight w:val="0"/>
      <w:marTop w:val="0"/>
      <w:marBottom w:val="0"/>
      <w:divBdr>
        <w:top w:val="none" w:sz="0" w:space="0" w:color="auto"/>
        <w:left w:val="none" w:sz="0" w:space="0" w:color="auto"/>
        <w:bottom w:val="none" w:sz="0" w:space="0" w:color="auto"/>
        <w:right w:val="none" w:sz="0" w:space="0" w:color="auto"/>
      </w:divBdr>
    </w:div>
    <w:div w:id="2083403985">
      <w:marLeft w:val="0"/>
      <w:marRight w:val="0"/>
      <w:marTop w:val="0"/>
      <w:marBottom w:val="0"/>
      <w:divBdr>
        <w:top w:val="none" w:sz="0" w:space="0" w:color="auto"/>
        <w:left w:val="none" w:sz="0" w:space="0" w:color="auto"/>
        <w:bottom w:val="none" w:sz="0" w:space="0" w:color="auto"/>
        <w:right w:val="none" w:sz="0" w:space="0" w:color="auto"/>
      </w:divBdr>
    </w:div>
    <w:div w:id="2083403986">
      <w:marLeft w:val="0"/>
      <w:marRight w:val="0"/>
      <w:marTop w:val="0"/>
      <w:marBottom w:val="0"/>
      <w:divBdr>
        <w:top w:val="none" w:sz="0" w:space="0" w:color="auto"/>
        <w:left w:val="none" w:sz="0" w:space="0" w:color="auto"/>
        <w:bottom w:val="none" w:sz="0" w:space="0" w:color="auto"/>
        <w:right w:val="none" w:sz="0" w:space="0" w:color="auto"/>
      </w:divBdr>
    </w:div>
    <w:div w:id="2083403987">
      <w:marLeft w:val="0"/>
      <w:marRight w:val="0"/>
      <w:marTop w:val="0"/>
      <w:marBottom w:val="0"/>
      <w:divBdr>
        <w:top w:val="none" w:sz="0" w:space="0" w:color="auto"/>
        <w:left w:val="none" w:sz="0" w:space="0" w:color="auto"/>
        <w:bottom w:val="none" w:sz="0" w:space="0" w:color="auto"/>
        <w:right w:val="none" w:sz="0" w:space="0" w:color="auto"/>
      </w:divBdr>
    </w:div>
    <w:div w:id="2083403988">
      <w:marLeft w:val="0"/>
      <w:marRight w:val="0"/>
      <w:marTop w:val="0"/>
      <w:marBottom w:val="0"/>
      <w:divBdr>
        <w:top w:val="none" w:sz="0" w:space="0" w:color="auto"/>
        <w:left w:val="none" w:sz="0" w:space="0" w:color="auto"/>
        <w:bottom w:val="none" w:sz="0" w:space="0" w:color="auto"/>
        <w:right w:val="none" w:sz="0" w:space="0" w:color="auto"/>
      </w:divBdr>
    </w:div>
    <w:div w:id="2083403989">
      <w:marLeft w:val="0"/>
      <w:marRight w:val="0"/>
      <w:marTop w:val="0"/>
      <w:marBottom w:val="0"/>
      <w:divBdr>
        <w:top w:val="none" w:sz="0" w:space="0" w:color="auto"/>
        <w:left w:val="none" w:sz="0" w:space="0" w:color="auto"/>
        <w:bottom w:val="none" w:sz="0" w:space="0" w:color="auto"/>
        <w:right w:val="none" w:sz="0" w:space="0" w:color="auto"/>
      </w:divBdr>
    </w:div>
    <w:div w:id="2083403990">
      <w:marLeft w:val="0"/>
      <w:marRight w:val="0"/>
      <w:marTop w:val="0"/>
      <w:marBottom w:val="0"/>
      <w:divBdr>
        <w:top w:val="none" w:sz="0" w:space="0" w:color="auto"/>
        <w:left w:val="none" w:sz="0" w:space="0" w:color="auto"/>
        <w:bottom w:val="none" w:sz="0" w:space="0" w:color="auto"/>
        <w:right w:val="none" w:sz="0" w:space="0" w:color="auto"/>
      </w:divBdr>
    </w:div>
    <w:div w:id="2083403991">
      <w:marLeft w:val="0"/>
      <w:marRight w:val="0"/>
      <w:marTop w:val="0"/>
      <w:marBottom w:val="0"/>
      <w:divBdr>
        <w:top w:val="none" w:sz="0" w:space="0" w:color="auto"/>
        <w:left w:val="none" w:sz="0" w:space="0" w:color="auto"/>
        <w:bottom w:val="none" w:sz="0" w:space="0" w:color="auto"/>
        <w:right w:val="none" w:sz="0" w:space="0" w:color="auto"/>
      </w:divBdr>
    </w:div>
    <w:div w:id="2083403992">
      <w:marLeft w:val="0"/>
      <w:marRight w:val="0"/>
      <w:marTop w:val="0"/>
      <w:marBottom w:val="0"/>
      <w:divBdr>
        <w:top w:val="none" w:sz="0" w:space="0" w:color="auto"/>
        <w:left w:val="none" w:sz="0" w:space="0" w:color="auto"/>
        <w:bottom w:val="none" w:sz="0" w:space="0" w:color="auto"/>
        <w:right w:val="none" w:sz="0" w:space="0" w:color="auto"/>
      </w:divBdr>
    </w:div>
    <w:div w:id="2083403993">
      <w:marLeft w:val="0"/>
      <w:marRight w:val="0"/>
      <w:marTop w:val="0"/>
      <w:marBottom w:val="0"/>
      <w:divBdr>
        <w:top w:val="none" w:sz="0" w:space="0" w:color="auto"/>
        <w:left w:val="none" w:sz="0" w:space="0" w:color="auto"/>
        <w:bottom w:val="none" w:sz="0" w:space="0" w:color="auto"/>
        <w:right w:val="none" w:sz="0" w:space="0" w:color="auto"/>
      </w:divBdr>
    </w:div>
    <w:div w:id="2083403994">
      <w:marLeft w:val="0"/>
      <w:marRight w:val="0"/>
      <w:marTop w:val="0"/>
      <w:marBottom w:val="0"/>
      <w:divBdr>
        <w:top w:val="none" w:sz="0" w:space="0" w:color="auto"/>
        <w:left w:val="none" w:sz="0" w:space="0" w:color="auto"/>
        <w:bottom w:val="none" w:sz="0" w:space="0" w:color="auto"/>
        <w:right w:val="none" w:sz="0" w:space="0" w:color="auto"/>
      </w:divBdr>
    </w:div>
    <w:div w:id="2083403995">
      <w:marLeft w:val="0"/>
      <w:marRight w:val="0"/>
      <w:marTop w:val="0"/>
      <w:marBottom w:val="0"/>
      <w:divBdr>
        <w:top w:val="none" w:sz="0" w:space="0" w:color="auto"/>
        <w:left w:val="none" w:sz="0" w:space="0" w:color="auto"/>
        <w:bottom w:val="none" w:sz="0" w:space="0" w:color="auto"/>
        <w:right w:val="none" w:sz="0" w:space="0" w:color="auto"/>
      </w:divBdr>
    </w:div>
    <w:div w:id="2083403996">
      <w:marLeft w:val="0"/>
      <w:marRight w:val="0"/>
      <w:marTop w:val="0"/>
      <w:marBottom w:val="0"/>
      <w:divBdr>
        <w:top w:val="none" w:sz="0" w:space="0" w:color="auto"/>
        <w:left w:val="none" w:sz="0" w:space="0" w:color="auto"/>
        <w:bottom w:val="none" w:sz="0" w:space="0" w:color="auto"/>
        <w:right w:val="none" w:sz="0" w:space="0" w:color="auto"/>
      </w:divBdr>
    </w:div>
    <w:div w:id="2083403997">
      <w:marLeft w:val="0"/>
      <w:marRight w:val="0"/>
      <w:marTop w:val="0"/>
      <w:marBottom w:val="0"/>
      <w:divBdr>
        <w:top w:val="none" w:sz="0" w:space="0" w:color="auto"/>
        <w:left w:val="none" w:sz="0" w:space="0" w:color="auto"/>
        <w:bottom w:val="none" w:sz="0" w:space="0" w:color="auto"/>
        <w:right w:val="none" w:sz="0" w:space="0" w:color="auto"/>
      </w:divBdr>
    </w:div>
    <w:div w:id="2083403998">
      <w:marLeft w:val="0"/>
      <w:marRight w:val="0"/>
      <w:marTop w:val="0"/>
      <w:marBottom w:val="0"/>
      <w:divBdr>
        <w:top w:val="none" w:sz="0" w:space="0" w:color="auto"/>
        <w:left w:val="none" w:sz="0" w:space="0" w:color="auto"/>
        <w:bottom w:val="none" w:sz="0" w:space="0" w:color="auto"/>
        <w:right w:val="none" w:sz="0" w:space="0" w:color="auto"/>
      </w:divBdr>
    </w:div>
    <w:div w:id="2083403999">
      <w:marLeft w:val="0"/>
      <w:marRight w:val="0"/>
      <w:marTop w:val="0"/>
      <w:marBottom w:val="0"/>
      <w:divBdr>
        <w:top w:val="none" w:sz="0" w:space="0" w:color="auto"/>
        <w:left w:val="none" w:sz="0" w:space="0" w:color="auto"/>
        <w:bottom w:val="none" w:sz="0" w:space="0" w:color="auto"/>
        <w:right w:val="none" w:sz="0" w:space="0" w:color="auto"/>
      </w:divBdr>
    </w:div>
    <w:div w:id="2083404000">
      <w:marLeft w:val="0"/>
      <w:marRight w:val="0"/>
      <w:marTop w:val="0"/>
      <w:marBottom w:val="0"/>
      <w:divBdr>
        <w:top w:val="none" w:sz="0" w:space="0" w:color="auto"/>
        <w:left w:val="none" w:sz="0" w:space="0" w:color="auto"/>
        <w:bottom w:val="none" w:sz="0" w:space="0" w:color="auto"/>
        <w:right w:val="none" w:sz="0" w:space="0" w:color="auto"/>
      </w:divBdr>
    </w:div>
    <w:div w:id="2083404001">
      <w:marLeft w:val="0"/>
      <w:marRight w:val="0"/>
      <w:marTop w:val="0"/>
      <w:marBottom w:val="0"/>
      <w:divBdr>
        <w:top w:val="none" w:sz="0" w:space="0" w:color="auto"/>
        <w:left w:val="none" w:sz="0" w:space="0" w:color="auto"/>
        <w:bottom w:val="none" w:sz="0" w:space="0" w:color="auto"/>
        <w:right w:val="none" w:sz="0" w:space="0" w:color="auto"/>
      </w:divBdr>
    </w:div>
    <w:div w:id="2083404002">
      <w:marLeft w:val="0"/>
      <w:marRight w:val="0"/>
      <w:marTop w:val="0"/>
      <w:marBottom w:val="0"/>
      <w:divBdr>
        <w:top w:val="none" w:sz="0" w:space="0" w:color="auto"/>
        <w:left w:val="none" w:sz="0" w:space="0" w:color="auto"/>
        <w:bottom w:val="none" w:sz="0" w:space="0" w:color="auto"/>
        <w:right w:val="none" w:sz="0" w:space="0" w:color="auto"/>
      </w:divBdr>
    </w:div>
    <w:div w:id="2083404003">
      <w:marLeft w:val="0"/>
      <w:marRight w:val="0"/>
      <w:marTop w:val="0"/>
      <w:marBottom w:val="0"/>
      <w:divBdr>
        <w:top w:val="none" w:sz="0" w:space="0" w:color="auto"/>
        <w:left w:val="none" w:sz="0" w:space="0" w:color="auto"/>
        <w:bottom w:val="none" w:sz="0" w:space="0" w:color="auto"/>
        <w:right w:val="none" w:sz="0" w:space="0" w:color="auto"/>
      </w:divBdr>
    </w:div>
    <w:div w:id="2083404004">
      <w:marLeft w:val="0"/>
      <w:marRight w:val="0"/>
      <w:marTop w:val="0"/>
      <w:marBottom w:val="0"/>
      <w:divBdr>
        <w:top w:val="none" w:sz="0" w:space="0" w:color="auto"/>
        <w:left w:val="none" w:sz="0" w:space="0" w:color="auto"/>
        <w:bottom w:val="none" w:sz="0" w:space="0" w:color="auto"/>
        <w:right w:val="none" w:sz="0" w:space="0" w:color="auto"/>
      </w:divBdr>
    </w:div>
    <w:div w:id="2083404005">
      <w:marLeft w:val="0"/>
      <w:marRight w:val="0"/>
      <w:marTop w:val="0"/>
      <w:marBottom w:val="0"/>
      <w:divBdr>
        <w:top w:val="none" w:sz="0" w:space="0" w:color="auto"/>
        <w:left w:val="none" w:sz="0" w:space="0" w:color="auto"/>
        <w:bottom w:val="none" w:sz="0" w:space="0" w:color="auto"/>
        <w:right w:val="none" w:sz="0" w:space="0" w:color="auto"/>
      </w:divBdr>
    </w:div>
    <w:div w:id="2083404006">
      <w:marLeft w:val="0"/>
      <w:marRight w:val="0"/>
      <w:marTop w:val="0"/>
      <w:marBottom w:val="0"/>
      <w:divBdr>
        <w:top w:val="none" w:sz="0" w:space="0" w:color="auto"/>
        <w:left w:val="none" w:sz="0" w:space="0" w:color="auto"/>
        <w:bottom w:val="none" w:sz="0" w:space="0" w:color="auto"/>
        <w:right w:val="none" w:sz="0" w:space="0" w:color="auto"/>
      </w:divBdr>
    </w:div>
    <w:div w:id="2083404007">
      <w:marLeft w:val="0"/>
      <w:marRight w:val="0"/>
      <w:marTop w:val="0"/>
      <w:marBottom w:val="0"/>
      <w:divBdr>
        <w:top w:val="none" w:sz="0" w:space="0" w:color="auto"/>
        <w:left w:val="none" w:sz="0" w:space="0" w:color="auto"/>
        <w:bottom w:val="none" w:sz="0" w:space="0" w:color="auto"/>
        <w:right w:val="none" w:sz="0" w:space="0" w:color="auto"/>
      </w:divBdr>
    </w:div>
    <w:div w:id="2083404008">
      <w:marLeft w:val="0"/>
      <w:marRight w:val="0"/>
      <w:marTop w:val="0"/>
      <w:marBottom w:val="0"/>
      <w:divBdr>
        <w:top w:val="none" w:sz="0" w:space="0" w:color="auto"/>
        <w:left w:val="none" w:sz="0" w:space="0" w:color="auto"/>
        <w:bottom w:val="none" w:sz="0" w:space="0" w:color="auto"/>
        <w:right w:val="none" w:sz="0" w:space="0" w:color="auto"/>
      </w:divBdr>
    </w:div>
    <w:div w:id="2083404009">
      <w:marLeft w:val="0"/>
      <w:marRight w:val="0"/>
      <w:marTop w:val="0"/>
      <w:marBottom w:val="0"/>
      <w:divBdr>
        <w:top w:val="none" w:sz="0" w:space="0" w:color="auto"/>
        <w:left w:val="none" w:sz="0" w:space="0" w:color="auto"/>
        <w:bottom w:val="none" w:sz="0" w:space="0" w:color="auto"/>
        <w:right w:val="none" w:sz="0" w:space="0" w:color="auto"/>
      </w:divBdr>
    </w:div>
    <w:div w:id="2083404010">
      <w:marLeft w:val="0"/>
      <w:marRight w:val="0"/>
      <w:marTop w:val="0"/>
      <w:marBottom w:val="0"/>
      <w:divBdr>
        <w:top w:val="none" w:sz="0" w:space="0" w:color="auto"/>
        <w:left w:val="none" w:sz="0" w:space="0" w:color="auto"/>
        <w:bottom w:val="none" w:sz="0" w:space="0" w:color="auto"/>
        <w:right w:val="none" w:sz="0" w:space="0" w:color="auto"/>
      </w:divBdr>
    </w:div>
    <w:div w:id="2083404011">
      <w:marLeft w:val="0"/>
      <w:marRight w:val="0"/>
      <w:marTop w:val="0"/>
      <w:marBottom w:val="0"/>
      <w:divBdr>
        <w:top w:val="none" w:sz="0" w:space="0" w:color="auto"/>
        <w:left w:val="none" w:sz="0" w:space="0" w:color="auto"/>
        <w:bottom w:val="none" w:sz="0" w:space="0" w:color="auto"/>
        <w:right w:val="none" w:sz="0" w:space="0" w:color="auto"/>
      </w:divBdr>
    </w:div>
    <w:div w:id="2083404012">
      <w:marLeft w:val="0"/>
      <w:marRight w:val="0"/>
      <w:marTop w:val="0"/>
      <w:marBottom w:val="0"/>
      <w:divBdr>
        <w:top w:val="none" w:sz="0" w:space="0" w:color="auto"/>
        <w:left w:val="none" w:sz="0" w:space="0" w:color="auto"/>
        <w:bottom w:val="none" w:sz="0" w:space="0" w:color="auto"/>
        <w:right w:val="none" w:sz="0" w:space="0" w:color="auto"/>
      </w:divBdr>
    </w:div>
    <w:div w:id="2083404013">
      <w:marLeft w:val="0"/>
      <w:marRight w:val="0"/>
      <w:marTop w:val="0"/>
      <w:marBottom w:val="0"/>
      <w:divBdr>
        <w:top w:val="none" w:sz="0" w:space="0" w:color="auto"/>
        <w:left w:val="none" w:sz="0" w:space="0" w:color="auto"/>
        <w:bottom w:val="none" w:sz="0" w:space="0" w:color="auto"/>
        <w:right w:val="none" w:sz="0" w:space="0" w:color="auto"/>
      </w:divBdr>
    </w:div>
    <w:div w:id="2083404014">
      <w:marLeft w:val="0"/>
      <w:marRight w:val="0"/>
      <w:marTop w:val="0"/>
      <w:marBottom w:val="0"/>
      <w:divBdr>
        <w:top w:val="none" w:sz="0" w:space="0" w:color="auto"/>
        <w:left w:val="none" w:sz="0" w:space="0" w:color="auto"/>
        <w:bottom w:val="none" w:sz="0" w:space="0" w:color="auto"/>
        <w:right w:val="none" w:sz="0" w:space="0" w:color="auto"/>
      </w:divBdr>
    </w:div>
    <w:div w:id="2083404015">
      <w:marLeft w:val="0"/>
      <w:marRight w:val="0"/>
      <w:marTop w:val="0"/>
      <w:marBottom w:val="0"/>
      <w:divBdr>
        <w:top w:val="none" w:sz="0" w:space="0" w:color="auto"/>
        <w:left w:val="none" w:sz="0" w:space="0" w:color="auto"/>
        <w:bottom w:val="none" w:sz="0" w:space="0" w:color="auto"/>
        <w:right w:val="none" w:sz="0" w:space="0" w:color="auto"/>
      </w:divBdr>
    </w:div>
    <w:div w:id="2083404016">
      <w:marLeft w:val="0"/>
      <w:marRight w:val="0"/>
      <w:marTop w:val="0"/>
      <w:marBottom w:val="0"/>
      <w:divBdr>
        <w:top w:val="none" w:sz="0" w:space="0" w:color="auto"/>
        <w:left w:val="none" w:sz="0" w:space="0" w:color="auto"/>
        <w:bottom w:val="none" w:sz="0" w:space="0" w:color="auto"/>
        <w:right w:val="none" w:sz="0" w:space="0" w:color="auto"/>
      </w:divBdr>
    </w:div>
    <w:div w:id="2083404017">
      <w:marLeft w:val="0"/>
      <w:marRight w:val="0"/>
      <w:marTop w:val="0"/>
      <w:marBottom w:val="0"/>
      <w:divBdr>
        <w:top w:val="none" w:sz="0" w:space="0" w:color="auto"/>
        <w:left w:val="none" w:sz="0" w:space="0" w:color="auto"/>
        <w:bottom w:val="none" w:sz="0" w:space="0" w:color="auto"/>
        <w:right w:val="none" w:sz="0" w:space="0" w:color="auto"/>
      </w:divBdr>
    </w:div>
    <w:div w:id="2083404018">
      <w:marLeft w:val="0"/>
      <w:marRight w:val="0"/>
      <w:marTop w:val="0"/>
      <w:marBottom w:val="0"/>
      <w:divBdr>
        <w:top w:val="none" w:sz="0" w:space="0" w:color="auto"/>
        <w:left w:val="none" w:sz="0" w:space="0" w:color="auto"/>
        <w:bottom w:val="none" w:sz="0" w:space="0" w:color="auto"/>
        <w:right w:val="none" w:sz="0" w:space="0" w:color="auto"/>
      </w:divBdr>
    </w:div>
    <w:div w:id="2083404019">
      <w:marLeft w:val="0"/>
      <w:marRight w:val="0"/>
      <w:marTop w:val="0"/>
      <w:marBottom w:val="0"/>
      <w:divBdr>
        <w:top w:val="none" w:sz="0" w:space="0" w:color="auto"/>
        <w:left w:val="none" w:sz="0" w:space="0" w:color="auto"/>
        <w:bottom w:val="none" w:sz="0" w:space="0" w:color="auto"/>
        <w:right w:val="none" w:sz="0" w:space="0" w:color="auto"/>
      </w:divBdr>
    </w:div>
    <w:div w:id="2083404020">
      <w:marLeft w:val="0"/>
      <w:marRight w:val="0"/>
      <w:marTop w:val="0"/>
      <w:marBottom w:val="0"/>
      <w:divBdr>
        <w:top w:val="none" w:sz="0" w:space="0" w:color="auto"/>
        <w:left w:val="none" w:sz="0" w:space="0" w:color="auto"/>
        <w:bottom w:val="none" w:sz="0" w:space="0" w:color="auto"/>
        <w:right w:val="none" w:sz="0" w:space="0" w:color="auto"/>
      </w:divBdr>
    </w:div>
    <w:div w:id="2083404021">
      <w:marLeft w:val="0"/>
      <w:marRight w:val="0"/>
      <w:marTop w:val="0"/>
      <w:marBottom w:val="0"/>
      <w:divBdr>
        <w:top w:val="none" w:sz="0" w:space="0" w:color="auto"/>
        <w:left w:val="none" w:sz="0" w:space="0" w:color="auto"/>
        <w:bottom w:val="none" w:sz="0" w:space="0" w:color="auto"/>
        <w:right w:val="none" w:sz="0" w:space="0" w:color="auto"/>
      </w:divBdr>
    </w:div>
    <w:div w:id="2083404022">
      <w:marLeft w:val="0"/>
      <w:marRight w:val="0"/>
      <w:marTop w:val="0"/>
      <w:marBottom w:val="0"/>
      <w:divBdr>
        <w:top w:val="none" w:sz="0" w:space="0" w:color="auto"/>
        <w:left w:val="none" w:sz="0" w:space="0" w:color="auto"/>
        <w:bottom w:val="none" w:sz="0" w:space="0" w:color="auto"/>
        <w:right w:val="none" w:sz="0" w:space="0" w:color="auto"/>
      </w:divBdr>
    </w:div>
    <w:div w:id="2083404023">
      <w:marLeft w:val="0"/>
      <w:marRight w:val="0"/>
      <w:marTop w:val="0"/>
      <w:marBottom w:val="0"/>
      <w:divBdr>
        <w:top w:val="none" w:sz="0" w:space="0" w:color="auto"/>
        <w:left w:val="none" w:sz="0" w:space="0" w:color="auto"/>
        <w:bottom w:val="none" w:sz="0" w:space="0" w:color="auto"/>
        <w:right w:val="none" w:sz="0" w:space="0" w:color="auto"/>
      </w:divBdr>
    </w:div>
    <w:div w:id="2083404024">
      <w:marLeft w:val="0"/>
      <w:marRight w:val="0"/>
      <w:marTop w:val="0"/>
      <w:marBottom w:val="0"/>
      <w:divBdr>
        <w:top w:val="none" w:sz="0" w:space="0" w:color="auto"/>
        <w:left w:val="none" w:sz="0" w:space="0" w:color="auto"/>
        <w:bottom w:val="none" w:sz="0" w:space="0" w:color="auto"/>
        <w:right w:val="none" w:sz="0" w:space="0" w:color="auto"/>
      </w:divBdr>
    </w:div>
    <w:div w:id="2083404025">
      <w:marLeft w:val="0"/>
      <w:marRight w:val="0"/>
      <w:marTop w:val="0"/>
      <w:marBottom w:val="0"/>
      <w:divBdr>
        <w:top w:val="none" w:sz="0" w:space="0" w:color="auto"/>
        <w:left w:val="none" w:sz="0" w:space="0" w:color="auto"/>
        <w:bottom w:val="none" w:sz="0" w:space="0" w:color="auto"/>
        <w:right w:val="none" w:sz="0" w:space="0" w:color="auto"/>
      </w:divBdr>
    </w:div>
    <w:div w:id="2083404026">
      <w:marLeft w:val="0"/>
      <w:marRight w:val="0"/>
      <w:marTop w:val="0"/>
      <w:marBottom w:val="0"/>
      <w:divBdr>
        <w:top w:val="none" w:sz="0" w:space="0" w:color="auto"/>
        <w:left w:val="none" w:sz="0" w:space="0" w:color="auto"/>
        <w:bottom w:val="none" w:sz="0" w:space="0" w:color="auto"/>
        <w:right w:val="none" w:sz="0" w:space="0" w:color="auto"/>
      </w:divBdr>
    </w:div>
    <w:div w:id="2083404027">
      <w:marLeft w:val="0"/>
      <w:marRight w:val="0"/>
      <w:marTop w:val="0"/>
      <w:marBottom w:val="0"/>
      <w:divBdr>
        <w:top w:val="none" w:sz="0" w:space="0" w:color="auto"/>
        <w:left w:val="none" w:sz="0" w:space="0" w:color="auto"/>
        <w:bottom w:val="none" w:sz="0" w:space="0" w:color="auto"/>
        <w:right w:val="none" w:sz="0" w:space="0" w:color="auto"/>
      </w:divBdr>
    </w:div>
    <w:div w:id="2083404028">
      <w:marLeft w:val="0"/>
      <w:marRight w:val="0"/>
      <w:marTop w:val="0"/>
      <w:marBottom w:val="0"/>
      <w:divBdr>
        <w:top w:val="none" w:sz="0" w:space="0" w:color="auto"/>
        <w:left w:val="none" w:sz="0" w:space="0" w:color="auto"/>
        <w:bottom w:val="none" w:sz="0" w:space="0" w:color="auto"/>
        <w:right w:val="none" w:sz="0" w:space="0" w:color="auto"/>
      </w:divBdr>
    </w:div>
    <w:div w:id="2083404029">
      <w:marLeft w:val="0"/>
      <w:marRight w:val="0"/>
      <w:marTop w:val="0"/>
      <w:marBottom w:val="0"/>
      <w:divBdr>
        <w:top w:val="none" w:sz="0" w:space="0" w:color="auto"/>
        <w:left w:val="none" w:sz="0" w:space="0" w:color="auto"/>
        <w:bottom w:val="none" w:sz="0" w:space="0" w:color="auto"/>
        <w:right w:val="none" w:sz="0" w:space="0" w:color="auto"/>
      </w:divBdr>
    </w:div>
    <w:div w:id="2083404030">
      <w:marLeft w:val="0"/>
      <w:marRight w:val="0"/>
      <w:marTop w:val="0"/>
      <w:marBottom w:val="0"/>
      <w:divBdr>
        <w:top w:val="none" w:sz="0" w:space="0" w:color="auto"/>
        <w:left w:val="none" w:sz="0" w:space="0" w:color="auto"/>
        <w:bottom w:val="none" w:sz="0" w:space="0" w:color="auto"/>
        <w:right w:val="none" w:sz="0" w:space="0" w:color="auto"/>
      </w:divBdr>
    </w:div>
    <w:div w:id="2083404031">
      <w:marLeft w:val="0"/>
      <w:marRight w:val="0"/>
      <w:marTop w:val="0"/>
      <w:marBottom w:val="0"/>
      <w:divBdr>
        <w:top w:val="none" w:sz="0" w:space="0" w:color="auto"/>
        <w:left w:val="none" w:sz="0" w:space="0" w:color="auto"/>
        <w:bottom w:val="none" w:sz="0" w:space="0" w:color="auto"/>
        <w:right w:val="none" w:sz="0" w:space="0" w:color="auto"/>
      </w:divBdr>
    </w:div>
    <w:div w:id="2083404032">
      <w:marLeft w:val="0"/>
      <w:marRight w:val="0"/>
      <w:marTop w:val="0"/>
      <w:marBottom w:val="0"/>
      <w:divBdr>
        <w:top w:val="none" w:sz="0" w:space="0" w:color="auto"/>
        <w:left w:val="none" w:sz="0" w:space="0" w:color="auto"/>
        <w:bottom w:val="none" w:sz="0" w:space="0" w:color="auto"/>
        <w:right w:val="none" w:sz="0" w:space="0" w:color="auto"/>
      </w:divBdr>
    </w:div>
    <w:div w:id="2083404033">
      <w:marLeft w:val="0"/>
      <w:marRight w:val="0"/>
      <w:marTop w:val="0"/>
      <w:marBottom w:val="0"/>
      <w:divBdr>
        <w:top w:val="none" w:sz="0" w:space="0" w:color="auto"/>
        <w:left w:val="none" w:sz="0" w:space="0" w:color="auto"/>
        <w:bottom w:val="none" w:sz="0" w:space="0" w:color="auto"/>
        <w:right w:val="none" w:sz="0" w:space="0" w:color="auto"/>
      </w:divBdr>
    </w:div>
    <w:div w:id="2083404034">
      <w:marLeft w:val="0"/>
      <w:marRight w:val="0"/>
      <w:marTop w:val="0"/>
      <w:marBottom w:val="0"/>
      <w:divBdr>
        <w:top w:val="none" w:sz="0" w:space="0" w:color="auto"/>
        <w:left w:val="none" w:sz="0" w:space="0" w:color="auto"/>
        <w:bottom w:val="none" w:sz="0" w:space="0" w:color="auto"/>
        <w:right w:val="none" w:sz="0" w:space="0" w:color="auto"/>
      </w:divBdr>
    </w:div>
    <w:div w:id="2083404035">
      <w:marLeft w:val="0"/>
      <w:marRight w:val="0"/>
      <w:marTop w:val="0"/>
      <w:marBottom w:val="0"/>
      <w:divBdr>
        <w:top w:val="none" w:sz="0" w:space="0" w:color="auto"/>
        <w:left w:val="none" w:sz="0" w:space="0" w:color="auto"/>
        <w:bottom w:val="none" w:sz="0" w:space="0" w:color="auto"/>
        <w:right w:val="none" w:sz="0" w:space="0" w:color="auto"/>
      </w:divBdr>
    </w:div>
    <w:div w:id="2083404036">
      <w:marLeft w:val="0"/>
      <w:marRight w:val="0"/>
      <w:marTop w:val="0"/>
      <w:marBottom w:val="0"/>
      <w:divBdr>
        <w:top w:val="none" w:sz="0" w:space="0" w:color="auto"/>
        <w:left w:val="none" w:sz="0" w:space="0" w:color="auto"/>
        <w:bottom w:val="none" w:sz="0" w:space="0" w:color="auto"/>
        <w:right w:val="none" w:sz="0" w:space="0" w:color="auto"/>
      </w:divBdr>
    </w:div>
    <w:div w:id="2083404037">
      <w:marLeft w:val="0"/>
      <w:marRight w:val="0"/>
      <w:marTop w:val="0"/>
      <w:marBottom w:val="0"/>
      <w:divBdr>
        <w:top w:val="none" w:sz="0" w:space="0" w:color="auto"/>
        <w:left w:val="none" w:sz="0" w:space="0" w:color="auto"/>
        <w:bottom w:val="none" w:sz="0" w:space="0" w:color="auto"/>
        <w:right w:val="none" w:sz="0" w:space="0" w:color="auto"/>
      </w:divBdr>
    </w:div>
    <w:div w:id="2083404038">
      <w:marLeft w:val="0"/>
      <w:marRight w:val="0"/>
      <w:marTop w:val="0"/>
      <w:marBottom w:val="0"/>
      <w:divBdr>
        <w:top w:val="none" w:sz="0" w:space="0" w:color="auto"/>
        <w:left w:val="none" w:sz="0" w:space="0" w:color="auto"/>
        <w:bottom w:val="none" w:sz="0" w:space="0" w:color="auto"/>
        <w:right w:val="none" w:sz="0" w:space="0" w:color="auto"/>
      </w:divBdr>
    </w:div>
    <w:div w:id="2083404039">
      <w:marLeft w:val="0"/>
      <w:marRight w:val="0"/>
      <w:marTop w:val="0"/>
      <w:marBottom w:val="0"/>
      <w:divBdr>
        <w:top w:val="none" w:sz="0" w:space="0" w:color="auto"/>
        <w:left w:val="none" w:sz="0" w:space="0" w:color="auto"/>
        <w:bottom w:val="none" w:sz="0" w:space="0" w:color="auto"/>
        <w:right w:val="none" w:sz="0" w:space="0" w:color="auto"/>
      </w:divBdr>
    </w:div>
    <w:div w:id="2083404040">
      <w:marLeft w:val="0"/>
      <w:marRight w:val="0"/>
      <w:marTop w:val="0"/>
      <w:marBottom w:val="0"/>
      <w:divBdr>
        <w:top w:val="none" w:sz="0" w:space="0" w:color="auto"/>
        <w:left w:val="none" w:sz="0" w:space="0" w:color="auto"/>
        <w:bottom w:val="none" w:sz="0" w:space="0" w:color="auto"/>
        <w:right w:val="none" w:sz="0" w:space="0" w:color="auto"/>
      </w:divBdr>
    </w:div>
    <w:div w:id="2083404041">
      <w:marLeft w:val="0"/>
      <w:marRight w:val="0"/>
      <w:marTop w:val="0"/>
      <w:marBottom w:val="0"/>
      <w:divBdr>
        <w:top w:val="none" w:sz="0" w:space="0" w:color="auto"/>
        <w:left w:val="none" w:sz="0" w:space="0" w:color="auto"/>
        <w:bottom w:val="none" w:sz="0" w:space="0" w:color="auto"/>
        <w:right w:val="none" w:sz="0" w:space="0" w:color="auto"/>
      </w:divBdr>
    </w:div>
    <w:div w:id="2083404042">
      <w:marLeft w:val="0"/>
      <w:marRight w:val="0"/>
      <w:marTop w:val="0"/>
      <w:marBottom w:val="0"/>
      <w:divBdr>
        <w:top w:val="none" w:sz="0" w:space="0" w:color="auto"/>
        <w:left w:val="none" w:sz="0" w:space="0" w:color="auto"/>
        <w:bottom w:val="none" w:sz="0" w:space="0" w:color="auto"/>
        <w:right w:val="none" w:sz="0" w:space="0" w:color="auto"/>
      </w:divBdr>
    </w:div>
    <w:div w:id="2083404043">
      <w:marLeft w:val="0"/>
      <w:marRight w:val="0"/>
      <w:marTop w:val="0"/>
      <w:marBottom w:val="0"/>
      <w:divBdr>
        <w:top w:val="none" w:sz="0" w:space="0" w:color="auto"/>
        <w:left w:val="none" w:sz="0" w:space="0" w:color="auto"/>
        <w:bottom w:val="none" w:sz="0" w:space="0" w:color="auto"/>
        <w:right w:val="none" w:sz="0" w:space="0" w:color="auto"/>
      </w:divBdr>
    </w:div>
    <w:div w:id="2083404044">
      <w:marLeft w:val="0"/>
      <w:marRight w:val="0"/>
      <w:marTop w:val="0"/>
      <w:marBottom w:val="0"/>
      <w:divBdr>
        <w:top w:val="none" w:sz="0" w:space="0" w:color="auto"/>
        <w:left w:val="none" w:sz="0" w:space="0" w:color="auto"/>
        <w:bottom w:val="none" w:sz="0" w:space="0" w:color="auto"/>
        <w:right w:val="none" w:sz="0" w:space="0" w:color="auto"/>
      </w:divBdr>
    </w:div>
    <w:div w:id="2083404045">
      <w:marLeft w:val="0"/>
      <w:marRight w:val="0"/>
      <w:marTop w:val="0"/>
      <w:marBottom w:val="0"/>
      <w:divBdr>
        <w:top w:val="none" w:sz="0" w:space="0" w:color="auto"/>
        <w:left w:val="none" w:sz="0" w:space="0" w:color="auto"/>
        <w:bottom w:val="none" w:sz="0" w:space="0" w:color="auto"/>
        <w:right w:val="none" w:sz="0" w:space="0" w:color="auto"/>
      </w:divBdr>
    </w:div>
    <w:div w:id="2083404046">
      <w:marLeft w:val="0"/>
      <w:marRight w:val="0"/>
      <w:marTop w:val="0"/>
      <w:marBottom w:val="0"/>
      <w:divBdr>
        <w:top w:val="none" w:sz="0" w:space="0" w:color="auto"/>
        <w:left w:val="none" w:sz="0" w:space="0" w:color="auto"/>
        <w:bottom w:val="none" w:sz="0" w:space="0" w:color="auto"/>
        <w:right w:val="none" w:sz="0" w:space="0" w:color="auto"/>
      </w:divBdr>
    </w:div>
    <w:div w:id="2083404047">
      <w:marLeft w:val="0"/>
      <w:marRight w:val="0"/>
      <w:marTop w:val="0"/>
      <w:marBottom w:val="0"/>
      <w:divBdr>
        <w:top w:val="none" w:sz="0" w:space="0" w:color="auto"/>
        <w:left w:val="none" w:sz="0" w:space="0" w:color="auto"/>
        <w:bottom w:val="none" w:sz="0" w:space="0" w:color="auto"/>
        <w:right w:val="none" w:sz="0" w:space="0" w:color="auto"/>
      </w:divBdr>
    </w:div>
    <w:div w:id="2083404048">
      <w:marLeft w:val="0"/>
      <w:marRight w:val="0"/>
      <w:marTop w:val="0"/>
      <w:marBottom w:val="0"/>
      <w:divBdr>
        <w:top w:val="none" w:sz="0" w:space="0" w:color="auto"/>
        <w:left w:val="none" w:sz="0" w:space="0" w:color="auto"/>
        <w:bottom w:val="none" w:sz="0" w:space="0" w:color="auto"/>
        <w:right w:val="none" w:sz="0" w:space="0" w:color="auto"/>
      </w:divBdr>
    </w:div>
    <w:div w:id="2083404049">
      <w:marLeft w:val="0"/>
      <w:marRight w:val="0"/>
      <w:marTop w:val="0"/>
      <w:marBottom w:val="0"/>
      <w:divBdr>
        <w:top w:val="none" w:sz="0" w:space="0" w:color="auto"/>
        <w:left w:val="none" w:sz="0" w:space="0" w:color="auto"/>
        <w:bottom w:val="none" w:sz="0" w:space="0" w:color="auto"/>
        <w:right w:val="none" w:sz="0" w:space="0" w:color="auto"/>
      </w:divBdr>
    </w:div>
    <w:div w:id="2083404050">
      <w:marLeft w:val="0"/>
      <w:marRight w:val="0"/>
      <w:marTop w:val="0"/>
      <w:marBottom w:val="0"/>
      <w:divBdr>
        <w:top w:val="none" w:sz="0" w:space="0" w:color="auto"/>
        <w:left w:val="none" w:sz="0" w:space="0" w:color="auto"/>
        <w:bottom w:val="none" w:sz="0" w:space="0" w:color="auto"/>
        <w:right w:val="none" w:sz="0" w:space="0" w:color="auto"/>
      </w:divBdr>
    </w:div>
    <w:div w:id="2083404051">
      <w:marLeft w:val="0"/>
      <w:marRight w:val="0"/>
      <w:marTop w:val="0"/>
      <w:marBottom w:val="0"/>
      <w:divBdr>
        <w:top w:val="none" w:sz="0" w:space="0" w:color="auto"/>
        <w:left w:val="none" w:sz="0" w:space="0" w:color="auto"/>
        <w:bottom w:val="none" w:sz="0" w:space="0" w:color="auto"/>
        <w:right w:val="none" w:sz="0" w:space="0" w:color="auto"/>
      </w:divBdr>
    </w:div>
    <w:div w:id="2083404052">
      <w:marLeft w:val="0"/>
      <w:marRight w:val="0"/>
      <w:marTop w:val="0"/>
      <w:marBottom w:val="0"/>
      <w:divBdr>
        <w:top w:val="none" w:sz="0" w:space="0" w:color="auto"/>
        <w:left w:val="none" w:sz="0" w:space="0" w:color="auto"/>
        <w:bottom w:val="none" w:sz="0" w:space="0" w:color="auto"/>
        <w:right w:val="none" w:sz="0" w:space="0" w:color="auto"/>
      </w:divBdr>
    </w:div>
    <w:div w:id="2083404053">
      <w:marLeft w:val="0"/>
      <w:marRight w:val="0"/>
      <w:marTop w:val="0"/>
      <w:marBottom w:val="0"/>
      <w:divBdr>
        <w:top w:val="none" w:sz="0" w:space="0" w:color="auto"/>
        <w:left w:val="none" w:sz="0" w:space="0" w:color="auto"/>
        <w:bottom w:val="none" w:sz="0" w:space="0" w:color="auto"/>
        <w:right w:val="none" w:sz="0" w:space="0" w:color="auto"/>
      </w:divBdr>
    </w:div>
    <w:div w:id="2083404054">
      <w:marLeft w:val="0"/>
      <w:marRight w:val="0"/>
      <w:marTop w:val="0"/>
      <w:marBottom w:val="0"/>
      <w:divBdr>
        <w:top w:val="none" w:sz="0" w:space="0" w:color="auto"/>
        <w:left w:val="none" w:sz="0" w:space="0" w:color="auto"/>
        <w:bottom w:val="none" w:sz="0" w:space="0" w:color="auto"/>
        <w:right w:val="none" w:sz="0" w:space="0" w:color="auto"/>
      </w:divBdr>
    </w:div>
    <w:div w:id="2083404055">
      <w:marLeft w:val="0"/>
      <w:marRight w:val="0"/>
      <w:marTop w:val="0"/>
      <w:marBottom w:val="0"/>
      <w:divBdr>
        <w:top w:val="none" w:sz="0" w:space="0" w:color="auto"/>
        <w:left w:val="none" w:sz="0" w:space="0" w:color="auto"/>
        <w:bottom w:val="none" w:sz="0" w:space="0" w:color="auto"/>
        <w:right w:val="none" w:sz="0" w:space="0" w:color="auto"/>
      </w:divBdr>
    </w:div>
    <w:div w:id="2083404056">
      <w:marLeft w:val="0"/>
      <w:marRight w:val="0"/>
      <w:marTop w:val="0"/>
      <w:marBottom w:val="0"/>
      <w:divBdr>
        <w:top w:val="none" w:sz="0" w:space="0" w:color="auto"/>
        <w:left w:val="none" w:sz="0" w:space="0" w:color="auto"/>
        <w:bottom w:val="none" w:sz="0" w:space="0" w:color="auto"/>
        <w:right w:val="none" w:sz="0" w:space="0" w:color="auto"/>
      </w:divBdr>
    </w:div>
    <w:div w:id="2083404057">
      <w:marLeft w:val="0"/>
      <w:marRight w:val="0"/>
      <w:marTop w:val="0"/>
      <w:marBottom w:val="0"/>
      <w:divBdr>
        <w:top w:val="none" w:sz="0" w:space="0" w:color="auto"/>
        <w:left w:val="none" w:sz="0" w:space="0" w:color="auto"/>
        <w:bottom w:val="none" w:sz="0" w:space="0" w:color="auto"/>
        <w:right w:val="none" w:sz="0" w:space="0" w:color="auto"/>
      </w:divBdr>
    </w:div>
    <w:div w:id="2083404058">
      <w:marLeft w:val="0"/>
      <w:marRight w:val="0"/>
      <w:marTop w:val="0"/>
      <w:marBottom w:val="0"/>
      <w:divBdr>
        <w:top w:val="none" w:sz="0" w:space="0" w:color="auto"/>
        <w:left w:val="none" w:sz="0" w:space="0" w:color="auto"/>
        <w:bottom w:val="none" w:sz="0" w:space="0" w:color="auto"/>
        <w:right w:val="none" w:sz="0" w:space="0" w:color="auto"/>
      </w:divBdr>
    </w:div>
    <w:div w:id="2083404059">
      <w:marLeft w:val="0"/>
      <w:marRight w:val="0"/>
      <w:marTop w:val="0"/>
      <w:marBottom w:val="0"/>
      <w:divBdr>
        <w:top w:val="none" w:sz="0" w:space="0" w:color="auto"/>
        <w:left w:val="none" w:sz="0" w:space="0" w:color="auto"/>
        <w:bottom w:val="none" w:sz="0" w:space="0" w:color="auto"/>
        <w:right w:val="none" w:sz="0" w:space="0" w:color="auto"/>
      </w:divBdr>
    </w:div>
    <w:div w:id="2083404060">
      <w:marLeft w:val="0"/>
      <w:marRight w:val="0"/>
      <w:marTop w:val="0"/>
      <w:marBottom w:val="0"/>
      <w:divBdr>
        <w:top w:val="none" w:sz="0" w:space="0" w:color="auto"/>
        <w:left w:val="none" w:sz="0" w:space="0" w:color="auto"/>
        <w:bottom w:val="none" w:sz="0" w:space="0" w:color="auto"/>
        <w:right w:val="none" w:sz="0" w:space="0" w:color="auto"/>
      </w:divBdr>
    </w:div>
    <w:div w:id="2083404061">
      <w:marLeft w:val="0"/>
      <w:marRight w:val="0"/>
      <w:marTop w:val="0"/>
      <w:marBottom w:val="0"/>
      <w:divBdr>
        <w:top w:val="none" w:sz="0" w:space="0" w:color="auto"/>
        <w:left w:val="none" w:sz="0" w:space="0" w:color="auto"/>
        <w:bottom w:val="none" w:sz="0" w:space="0" w:color="auto"/>
        <w:right w:val="none" w:sz="0" w:space="0" w:color="auto"/>
      </w:divBdr>
    </w:div>
    <w:div w:id="2083404062">
      <w:marLeft w:val="0"/>
      <w:marRight w:val="0"/>
      <w:marTop w:val="0"/>
      <w:marBottom w:val="0"/>
      <w:divBdr>
        <w:top w:val="none" w:sz="0" w:space="0" w:color="auto"/>
        <w:left w:val="none" w:sz="0" w:space="0" w:color="auto"/>
        <w:bottom w:val="none" w:sz="0" w:space="0" w:color="auto"/>
        <w:right w:val="none" w:sz="0" w:space="0" w:color="auto"/>
      </w:divBdr>
    </w:div>
    <w:div w:id="2083404063">
      <w:marLeft w:val="0"/>
      <w:marRight w:val="0"/>
      <w:marTop w:val="0"/>
      <w:marBottom w:val="0"/>
      <w:divBdr>
        <w:top w:val="none" w:sz="0" w:space="0" w:color="auto"/>
        <w:left w:val="none" w:sz="0" w:space="0" w:color="auto"/>
        <w:bottom w:val="none" w:sz="0" w:space="0" w:color="auto"/>
        <w:right w:val="none" w:sz="0" w:space="0" w:color="auto"/>
      </w:divBdr>
    </w:div>
    <w:div w:id="2083404064">
      <w:marLeft w:val="0"/>
      <w:marRight w:val="0"/>
      <w:marTop w:val="0"/>
      <w:marBottom w:val="0"/>
      <w:divBdr>
        <w:top w:val="none" w:sz="0" w:space="0" w:color="auto"/>
        <w:left w:val="none" w:sz="0" w:space="0" w:color="auto"/>
        <w:bottom w:val="none" w:sz="0" w:space="0" w:color="auto"/>
        <w:right w:val="none" w:sz="0" w:space="0" w:color="auto"/>
      </w:divBdr>
    </w:div>
    <w:div w:id="2083404065">
      <w:marLeft w:val="0"/>
      <w:marRight w:val="0"/>
      <w:marTop w:val="0"/>
      <w:marBottom w:val="0"/>
      <w:divBdr>
        <w:top w:val="none" w:sz="0" w:space="0" w:color="auto"/>
        <w:left w:val="none" w:sz="0" w:space="0" w:color="auto"/>
        <w:bottom w:val="none" w:sz="0" w:space="0" w:color="auto"/>
        <w:right w:val="none" w:sz="0" w:space="0" w:color="auto"/>
      </w:divBdr>
    </w:div>
    <w:div w:id="2083404066">
      <w:marLeft w:val="0"/>
      <w:marRight w:val="0"/>
      <w:marTop w:val="0"/>
      <w:marBottom w:val="0"/>
      <w:divBdr>
        <w:top w:val="none" w:sz="0" w:space="0" w:color="auto"/>
        <w:left w:val="none" w:sz="0" w:space="0" w:color="auto"/>
        <w:bottom w:val="none" w:sz="0" w:space="0" w:color="auto"/>
        <w:right w:val="none" w:sz="0" w:space="0" w:color="auto"/>
      </w:divBdr>
    </w:div>
    <w:div w:id="2083404067">
      <w:marLeft w:val="0"/>
      <w:marRight w:val="0"/>
      <w:marTop w:val="0"/>
      <w:marBottom w:val="0"/>
      <w:divBdr>
        <w:top w:val="none" w:sz="0" w:space="0" w:color="auto"/>
        <w:left w:val="none" w:sz="0" w:space="0" w:color="auto"/>
        <w:bottom w:val="none" w:sz="0" w:space="0" w:color="auto"/>
        <w:right w:val="none" w:sz="0" w:space="0" w:color="auto"/>
      </w:divBdr>
    </w:div>
    <w:div w:id="2083404068">
      <w:marLeft w:val="0"/>
      <w:marRight w:val="0"/>
      <w:marTop w:val="0"/>
      <w:marBottom w:val="0"/>
      <w:divBdr>
        <w:top w:val="none" w:sz="0" w:space="0" w:color="auto"/>
        <w:left w:val="none" w:sz="0" w:space="0" w:color="auto"/>
        <w:bottom w:val="none" w:sz="0" w:space="0" w:color="auto"/>
        <w:right w:val="none" w:sz="0" w:space="0" w:color="auto"/>
      </w:divBdr>
    </w:div>
    <w:div w:id="2083404069">
      <w:marLeft w:val="0"/>
      <w:marRight w:val="0"/>
      <w:marTop w:val="0"/>
      <w:marBottom w:val="0"/>
      <w:divBdr>
        <w:top w:val="none" w:sz="0" w:space="0" w:color="auto"/>
        <w:left w:val="none" w:sz="0" w:space="0" w:color="auto"/>
        <w:bottom w:val="none" w:sz="0" w:space="0" w:color="auto"/>
        <w:right w:val="none" w:sz="0" w:space="0" w:color="auto"/>
      </w:divBdr>
    </w:div>
    <w:div w:id="2083404070">
      <w:marLeft w:val="0"/>
      <w:marRight w:val="0"/>
      <w:marTop w:val="0"/>
      <w:marBottom w:val="0"/>
      <w:divBdr>
        <w:top w:val="none" w:sz="0" w:space="0" w:color="auto"/>
        <w:left w:val="none" w:sz="0" w:space="0" w:color="auto"/>
        <w:bottom w:val="none" w:sz="0" w:space="0" w:color="auto"/>
        <w:right w:val="none" w:sz="0" w:space="0" w:color="auto"/>
      </w:divBdr>
    </w:div>
    <w:div w:id="2083404071">
      <w:marLeft w:val="0"/>
      <w:marRight w:val="0"/>
      <w:marTop w:val="0"/>
      <w:marBottom w:val="0"/>
      <w:divBdr>
        <w:top w:val="none" w:sz="0" w:space="0" w:color="auto"/>
        <w:left w:val="none" w:sz="0" w:space="0" w:color="auto"/>
        <w:bottom w:val="none" w:sz="0" w:space="0" w:color="auto"/>
        <w:right w:val="none" w:sz="0" w:space="0" w:color="auto"/>
      </w:divBdr>
    </w:div>
    <w:div w:id="2083404072">
      <w:marLeft w:val="0"/>
      <w:marRight w:val="0"/>
      <w:marTop w:val="0"/>
      <w:marBottom w:val="0"/>
      <w:divBdr>
        <w:top w:val="none" w:sz="0" w:space="0" w:color="auto"/>
        <w:left w:val="none" w:sz="0" w:space="0" w:color="auto"/>
        <w:bottom w:val="none" w:sz="0" w:space="0" w:color="auto"/>
        <w:right w:val="none" w:sz="0" w:space="0" w:color="auto"/>
      </w:divBdr>
    </w:div>
    <w:div w:id="2083404073">
      <w:marLeft w:val="0"/>
      <w:marRight w:val="0"/>
      <w:marTop w:val="0"/>
      <w:marBottom w:val="0"/>
      <w:divBdr>
        <w:top w:val="none" w:sz="0" w:space="0" w:color="auto"/>
        <w:left w:val="none" w:sz="0" w:space="0" w:color="auto"/>
        <w:bottom w:val="none" w:sz="0" w:space="0" w:color="auto"/>
        <w:right w:val="none" w:sz="0" w:space="0" w:color="auto"/>
      </w:divBdr>
    </w:div>
    <w:div w:id="2083404074">
      <w:marLeft w:val="0"/>
      <w:marRight w:val="0"/>
      <w:marTop w:val="0"/>
      <w:marBottom w:val="0"/>
      <w:divBdr>
        <w:top w:val="none" w:sz="0" w:space="0" w:color="auto"/>
        <w:left w:val="none" w:sz="0" w:space="0" w:color="auto"/>
        <w:bottom w:val="none" w:sz="0" w:space="0" w:color="auto"/>
        <w:right w:val="none" w:sz="0" w:space="0" w:color="auto"/>
      </w:divBdr>
    </w:div>
    <w:div w:id="2083404075">
      <w:marLeft w:val="0"/>
      <w:marRight w:val="0"/>
      <w:marTop w:val="0"/>
      <w:marBottom w:val="0"/>
      <w:divBdr>
        <w:top w:val="none" w:sz="0" w:space="0" w:color="auto"/>
        <w:left w:val="none" w:sz="0" w:space="0" w:color="auto"/>
        <w:bottom w:val="none" w:sz="0" w:space="0" w:color="auto"/>
        <w:right w:val="none" w:sz="0" w:space="0" w:color="auto"/>
      </w:divBdr>
    </w:div>
    <w:div w:id="2083404076">
      <w:marLeft w:val="0"/>
      <w:marRight w:val="0"/>
      <w:marTop w:val="0"/>
      <w:marBottom w:val="0"/>
      <w:divBdr>
        <w:top w:val="none" w:sz="0" w:space="0" w:color="auto"/>
        <w:left w:val="none" w:sz="0" w:space="0" w:color="auto"/>
        <w:bottom w:val="none" w:sz="0" w:space="0" w:color="auto"/>
        <w:right w:val="none" w:sz="0" w:space="0" w:color="auto"/>
      </w:divBdr>
    </w:div>
    <w:div w:id="2083404077">
      <w:marLeft w:val="0"/>
      <w:marRight w:val="0"/>
      <w:marTop w:val="0"/>
      <w:marBottom w:val="0"/>
      <w:divBdr>
        <w:top w:val="none" w:sz="0" w:space="0" w:color="auto"/>
        <w:left w:val="none" w:sz="0" w:space="0" w:color="auto"/>
        <w:bottom w:val="none" w:sz="0" w:space="0" w:color="auto"/>
        <w:right w:val="none" w:sz="0" w:space="0" w:color="auto"/>
      </w:divBdr>
    </w:div>
    <w:div w:id="2083404078">
      <w:marLeft w:val="0"/>
      <w:marRight w:val="0"/>
      <w:marTop w:val="0"/>
      <w:marBottom w:val="0"/>
      <w:divBdr>
        <w:top w:val="none" w:sz="0" w:space="0" w:color="auto"/>
        <w:left w:val="none" w:sz="0" w:space="0" w:color="auto"/>
        <w:bottom w:val="none" w:sz="0" w:space="0" w:color="auto"/>
        <w:right w:val="none" w:sz="0" w:space="0" w:color="auto"/>
      </w:divBdr>
    </w:div>
    <w:div w:id="2083404079">
      <w:marLeft w:val="0"/>
      <w:marRight w:val="0"/>
      <w:marTop w:val="0"/>
      <w:marBottom w:val="0"/>
      <w:divBdr>
        <w:top w:val="none" w:sz="0" w:space="0" w:color="auto"/>
        <w:left w:val="none" w:sz="0" w:space="0" w:color="auto"/>
        <w:bottom w:val="none" w:sz="0" w:space="0" w:color="auto"/>
        <w:right w:val="none" w:sz="0" w:space="0" w:color="auto"/>
      </w:divBdr>
    </w:div>
    <w:div w:id="2083404080">
      <w:marLeft w:val="0"/>
      <w:marRight w:val="0"/>
      <w:marTop w:val="0"/>
      <w:marBottom w:val="0"/>
      <w:divBdr>
        <w:top w:val="none" w:sz="0" w:space="0" w:color="auto"/>
        <w:left w:val="none" w:sz="0" w:space="0" w:color="auto"/>
        <w:bottom w:val="none" w:sz="0" w:space="0" w:color="auto"/>
        <w:right w:val="none" w:sz="0" w:space="0" w:color="auto"/>
      </w:divBdr>
    </w:div>
    <w:div w:id="2083404081">
      <w:marLeft w:val="0"/>
      <w:marRight w:val="0"/>
      <w:marTop w:val="0"/>
      <w:marBottom w:val="0"/>
      <w:divBdr>
        <w:top w:val="none" w:sz="0" w:space="0" w:color="auto"/>
        <w:left w:val="none" w:sz="0" w:space="0" w:color="auto"/>
        <w:bottom w:val="none" w:sz="0" w:space="0" w:color="auto"/>
        <w:right w:val="none" w:sz="0" w:space="0" w:color="auto"/>
      </w:divBdr>
    </w:div>
    <w:div w:id="2083404082">
      <w:marLeft w:val="0"/>
      <w:marRight w:val="0"/>
      <w:marTop w:val="0"/>
      <w:marBottom w:val="0"/>
      <w:divBdr>
        <w:top w:val="none" w:sz="0" w:space="0" w:color="auto"/>
        <w:left w:val="none" w:sz="0" w:space="0" w:color="auto"/>
        <w:bottom w:val="none" w:sz="0" w:space="0" w:color="auto"/>
        <w:right w:val="none" w:sz="0" w:space="0" w:color="auto"/>
      </w:divBdr>
    </w:div>
    <w:div w:id="2083404083">
      <w:marLeft w:val="0"/>
      <w:marRight w:val="0"/>
      <w:marTop w:val="0"/>
      <w:marBottom w:val="0"/>
      <w:divBdr>
        <w:top w:val="none" w:sz="0" w:space="0" w:color="auto"/>
        <w:left w:val="none" w:sz="0" w:space="0" w:color="auto"/>
        <w:bottom w:val="none" w:sz="0" w:space="0" w:color="auto"/>
        <w:right w:val="none" w:sz="0" w:space="0" w:color="auto"/>
      </w:divBdr>
    </w:div>
    <w:div w:id="2083404084">
      <w:marLeft w:val="0"/>
      <w:marRight w:val="0"/>
      <w:marTop w:val="0"/>
      <w:marBottom w:val="0"/>
      <w:divBdr>
        <w:top w:val="none" w:sz="0" w:space="0" w:color="auto"/>
        <w:left w:val="none" w:sz="0" w:space="0" w:color="auto"/>
        <w:bottom w:val="none" w:sz="0" w:space="0" w:color="auto"/>
        <w:right w:val="none" w:sz="0" w:space="0" w:color="auto"/>
      </w:divBdr>
    </w:div>
    <w:div w:id="2083404085">
      <w:marLeft w:val="0"/>
      <w:marRight w:val="0"/>
      <w:marTop w:val="0"/>
      <w:marBottom w:val="0"/>
      <w:divBdr>
        <w:top w:val="none" w:sz="0" w:space="0" w:color="auto"/>
        <w:left w:val="none" w:sz="0" w:space="0" w:color="auto"/>
        <w:bottom w:val="none" w:sz="0" w:space="0" w:color="auto"/>
        <w:right w:val="none" w:sz="0" w:space="0" w:color="auto"/>
      </w:divBdr>
    </w:div>
    <w:div w:id="2083404086">
      <w:marLeft w:val="0"/>
      <w:marRight w:val="0"/>
      <w:marTop w:val="0"/>
      <w:marBottom w:val="0"/>
      <w:divBdr>
        <w:top w:val="none" w:sz="0" w:space="0" w:color="auto"/>
        <w:left w:val="none" w:sz="0" w:space="0" w:color="auto"/>
        <w:bottom w:val="none" w:sz="0" w:space="0" w:color="auto"/>
        <w:right w:val="none" w:sz="0" w:space="0" w:color="auto"/>
      </w:divBdr>
    </w:div>
    <w:div w:id="2083404087">
      <w:marLeft w:val="0"/>
      <w:marRight w:val="0"/>
      <w:marTop w:val="0"/>
      <w:marBottom w:val="0"/>
      <w:divBdr>
        <w:top w:val="none" w:sz="0" w:space="0" w:color="auto"/>
        <w:left w:val="none" w:sz="0" w:space="0" w:color="auto"/>
        <w:bottom w:val="none" w:sz="0" w:space="0" w:color="auto"/>
        <w:right w:val="none" w:sz="0" w:space="0" w:color="auto"/>
      </w:divBdr>
    </w:div>
    <w:div w:id="2083404088">
      <w:marLeft w:val="0"/>
      <w:marRight w:val="0"/>
      <w:marTop w:val="0"/>
      <w:marBottom w:val="0"/>
      <w:divBdr>
        <w:top w:val="none" w:sz="0" w:space="0" w:color="auto"/>
        <w:left w:val="none" w:sz="0" w:space="0" w:color="auto"/>
        <w:bottom w:val="none" w:sz="0" w:space="0" w:color="auto"/>
        <w:right w:val="none" w:sz="0" w:space="0" w:color="auto"/>
      </w:divBdr>
    </w:div>
    <w:div w:id="2083404089">
      <w:marLeft w:val="0"/>
      <w:marRight w:val="0"/>
      <w:marTop w:val="0"/>
      <w:marBottom w:val="0"/>
      <w:divBdr>
        <w:top w:val="none" w:sz="0" w:space="0" w:color="auto"/>
        <w:left w:val="none" w:sz="0" w:space="0" w:color="auto"/>
        <w:bottom w:val="none" w:sz="0" w:space="0" w:color="auto"/>
        <w:right w:val="none" w:sz="0" w:space="0" w:color="auto"/>
      </w:divBdr>
    </w:div>
    <w:div w:id="2083404090">
      <w:marLeft w:val="0"/>
      <w:marRight w:val="0"/>
      <w:marTop w:val="0"/>
      <w:marBottom w:val="0"/>
      <w:divBdr>
        <w:top w:val="none" w:sz="0" w:space="0" w:color="auto"/>
        <w:left w:val="none" w:sz="0" w:space="0" w:color="auto"/>
        <w:bottom w:val="none" w:sz="0" w:space="0" w:color="auto"/>
        <w:right w:val="none" w:sz="0" w:space="0" w:color="auto"/>
      </w:divBdr>
    </w:div>
    <w:div w:id="2083404091">
      <w:marLeft w:val="0"/>
      <w:marRight w:val="0"/>
      <w:marTop w:val="0"/>
      <w:marBottom w:val="0"/>
      <w:divBdr>
        <w:top w:val="none" w:sz="0" w:space="0" w:color="auto"/>
        <w:left w:val="none" w:sz="0" w:space="0" w:color="auto"/>
        <w:bottom w:val="none" w:sz="0" w:space="0" w:color="auto"/>
        <w:right w:val="none" w:sz="0" w:space="0" w:color="auto"/>
      </w:divBdr>
    </w:div>
    <w:div w:id="2083404092">
      <w:marLeft w:val="0"/>
      <w:marRight w:val="0"/>
      <w:marTop w:val="0"/>
      <w:marBottom w:val="0"/>
      <w:divBdr>
        <w:top w:val="none" w:sz="0" w:space="0" w:color="auto"/>
        <w:left w:val="none" w:sz="0" w:space="0" w:color="auto"/>
        <w:bottom w:val="none" w:sz="0" w:space="0" w:color="auto"/>
        <w:right w:val="none" w:sz="0" w:space="0" w:color="auto"/>
      </w:divBdr>
    </w:div>
    <w:div w:id="2083404093">
      <w:marLeft w:val="0"/>
      <w:marRight w:val="0"/>
      <w:marTop w:val="0"/>
      <w:marBottom w:val="0"/>
      <w:divBdr>
        <w:top w:val="none" w:sz="0" w:space="0" w:color="auto"/>
        <w:left w:val="none" w:sz="0" w:space="0" w:color="auto"/>
        <w:bottom w:val="none" w:sz="0" w:space="0" w:color="auto"/>
        <w:right w:val="none" w:sz="0" w:space="0" w:color="auto"/>
      </w:divBdr>
    </w:div>
    <w:div w:id="2083404094">
      <w:marLeft w:val="0"/>
      <w:marRight w:val="0"/>
      <w:marTop w:val="0"/>
      <w:marBottom w:val="0"/>
      <w:divBdr>
        <w:top w:val="none" w:sz="0" w:space="0" w:color="auto"/>
        <w:left w:val="none" w:sz="0" w:space="0" w:color="auto"/>
        <w:bottom w:val="none" w:sz="0" w:space="0" w:color="auto"/>
        <w:right w:val="none" w:sz="0" w:space="0" w:color="auto"/>
      </w:divBdr>
    </w:div>
    <w:div w:id="2083404095">
      <w:marLeft w:val="0"/>
      <w:marRight w:val="0"/>
      <w:marTop w:val="0"/>
      <w:marBottom w:val="0"/>
      <w:divBdr>
        <w:top w:val="none" w:sz="0" w:space="0" w:color="auto"/>
        <w:left w:val="none" w:sz="0" w:space="0" w:color="auto"/>
        <w:bottom w:val="none" w:sz="0" w:space="0" w:color="auto"/>
        <w:right w:val="none" w:sz="0" w:space="0" w:color="auto"/>
      </w:divBdr>
    </w:div>
    <w:div w:id="2083404096">
      <w:marLeft w:val="0"/>
      <w:marRight w:val="0"/>
      <w:marTop w:val="0"/>
      <w:marBottom w:val="0"/>
      <w:divBdr>
        <w:top w:val="none" w:sz="0" w:space="0" w:color="auto"/>
        <w:left w:val="none" w:sz="0" w:space="0" w:color="auto"/>
        <w:bottom w:val="none" w:sz="0" w:space="0" w:color="auto"/>
        <w:right w:val="none" w:sz="0" w:space="0" w:color="auto"/>
      </w:divBdr>
    </w:div>
    <w:div w:id="2083404097">
      <w:marLeft w:val="0"/>
      <w:marRight w:val="0"/>
      <w:marTop w:val="0"/>
      <w:marBottom w:val="0"/>
      <w:divBdr>
        <w:top w:val="none" w:sz="0" w:space="0" w:color="auto"/>
        <w:left w:val="none" w:sz="0" w:space="0" w:color="auto"/>
        <w:bottom w:val="none" w:sz="0" w:space="0" w:color="auto"/>
        <w:right w:val="none" w:sz="0" w:space="0" w:color="auto"/>
      </w:divBdr>
    </w:div>
    <w:div w:id="2083404098">
      <w:marLeft w:val="0"/>
      <w:marRight w:val="0"/>
      <w:marTop w:val="0"/>
      <w:marBottom w:val="0"/>
      <w:divBdr>
        <w:top w:val="none" w:sz="0" w:space="0" w:color="auto"/>
        <w:left w:val="none" w:sz="0" w:space="0" w:color="auto"/>
        <w:bottom w:val="none" w:sz="0" w:space="0" w:color="auto"/>
        <w:right w:val="none" w:sz="0" w:space="0" w:color="auto"/>
      </w:divBdr>
    </w:div>
    <w:div w:id="2083404099">
      <w:marLeft w:val="0"/>
      <w:marRight w:val="0"/>
      <w:marTop w:val="0"/>
      <w:marBottom w:val="0"/>
      <w:divBdr>
        <w:top w:val="none" w:sz="0" w:space="0" w:color="auto"/>
        <w:left w:val="none" w:sz="0" w:space="0" w:color="auto"/>
        <w:bottom w:val="none" w:sz="0" w:space="0" w:color="auto"/>
        <w:right w:val="none" w:sz="0" w:space="0" w:color="auto"/>
      </w:divBdr>
    </w:div>
    <w:div w:id="2083404100">
      <w:marLeft w:val="0"/>
      <w:marRight w:val="0"/>
      <w:marTop w:val="0"/>
      <w:marBottom w:val="0"/>
      <w:divBdr>
        <w:top w:val="none" w:sz="0" w:space="0" w:color="auto"/>
        <w:left w:val="none" w:sz="0" w:space="0" w:color="auto"/>
        <w:bottom w:val="none" w:sz="0" w:space="0" w:color="auto"/>
        <w:right w:val="none" w:sz="0" w:space="0" w:color="auto"/>
      </w:divBdr>
    </w:div>
    <w:div w:id="2083404101">
      <w:marLeft w:val="0"/>
      <w:marRight w:val="0"/>
      <w:marTop w:val="0"/>
      <w:marBottom w:val="0"/>
      <w:divBdr>
        <w:top w:val="none" w:sz="0" w:space="0" w:color="auto"/>
        <w:left w:val="none" w:sz="0" w:space="0" w:color="auto"/>
        <w:bottom w:val="none" w:sz="0" w:space="0" w:color="auto"/>
        <w:right w:val="none" w:sz="0" w:space="0" w:color="auto"/>
      </w:divBdr>
    </w:div>
    <w:div w:id="2083404102">
      <w:marLeft w:val="0"/>
      <w:marRight w:val="0"/>
      <w:marTop w:val="0"/>
      <w:marBottom w:val="0"/>
      <w:divBdr>
        <w:top w:val="none" w:sz="0" w:space="0" w:color="auto"/>
        <w:left w:val="none" w:sz="0" w:space="0" w:color="auto"/>
        <w:bottom w:val="none" w:sz="0" w:space="0" w:color="auto"/>
        <w:right w:val="none" w:sz="0" w:space="0" w:color="auto"/>
      </w:divBdr>
    </w:div>
    <w:div w:id="2083404103">
      <w:marLeft w:val="0"/>
      <w:marRight w:val="0"/>
      <w:marTop w:val="0"/>
      <w:marBottom w:val="0"/>
      <w:divBdr>
        <w:top w:val="none" w:sz="0" w:space="0" w:color="auto"/>
        <w:left w:val="none" w:sz="0" w:space="0" w:color="auto"/>
        <w:bottom w:val="none" w:sz="0" w:space="0" w:color="auto"/>
        <w:right w:val="none" w:sz="0" w:space="0" w:color="auto"/>
      </w:divBdr>
    </w:div>
    <w:div w:id="2083404104">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404106">
      <w:marLeft w:val="0"/>
      <w:marRight w:val="0"/>
      <w:marTop w:val="0"/>
      <w:marBottom w:val="0"/>
      <w:divBdr>
        <w:top w:val="none" w:sz="0" w:space="0" w:color="auto"/>
        <w:left w:val="none" w:sz="0" w:space="0" w:color="auto"/>
        <w:bottom w:val="none" w:sz="0" w:space="0" w:color="auto"/>
        <w:right w:val="none" w:sz="0" w:space="0" w:color="auto"/>
      </w:divBdr>
    </w:div>
    <w:div w:id="2083404107">
      <w:marLeft w:val="0"/>
      <w:marRight w:val="0"/>
      <w:marTop w:val="0"/>
      <w:marBottom w:val="0"/>
      <w:divBdr>
        <w:top w:val="none" w:sz="0" w:space="0" w:color="auto"/>
        <w:left w:val="none" w:sz="0" w:space="0" w:color="auto"/>
        <w:bottom w:val="none" w:sz="0" w:space="0" w:color="auto"/>
        <w:right w:val="none" w:sz="0" w:space="0" w:color="auto"/>
      </w:divBdr>
    </w:div>
    <w:div w:id="2083404108">
      <w:marLeft w:val="0"/>
      <w:marRight w:val="0"/>
      <w:marTop w:val="0"/>
      <w:marBottom w:val="0"/>
      <w:divBdr>
        <w:top w:val="none" w:sz="0" w:space="0" w:color="auto"/>
        <w:left w:val="none" w:sz="0" w:space="0" w:color="auto"/>
        <w:bottom w:val="none" w:sz="0" w:space="0" w:color="auto"/>
        <w:right w:val="none" w:sz="0" w:space="0" w:color="auto"/>
      </w:divBdr>
    </w:div>
    <w:div w:id="2083404109">
      <w:marLeft w:val="0"/>
      <w:marRight w:val="0"/>
      <w:marTop w:val="0"/>
      <w:marBottom w:val="0"/>
      <w:divBdr>
        <w:top w:val="none" w:sz="0" w:space="0" w:color="auto"/>
        <w:left w:val="none" w:sz="0" w:space="0" w:color="auto"/>
        <w:bottom w:val="none" w:sz="0" w:space="0" w:color="auto"/>
        <w:right w:val="none" w:sz="0" w:space="0" w:color="auto"/>
      </w:divBdr>
    </w:div>
    <w:div w:id="2083404110">
      <w:marLeft w:val="0"/>
      <w:marRight w:val="0"/>
      <w:marTop w:val="0"/>
      <w:marBottom w:val="0"/>
      <w:divBdr>
        <w:top w:val="none" w:sz="0" w:space="0" w:color="auto"/>
        <w:left w:val="none" w:sz="0" w:space="0" w:color="auto"/>
        <w:bottom w:val="none" w:sz="0" w:space="0" w:color="auto"/>
        <w:right w:val="none" w:sz="0" w:space="0" w:color="auto"/>
      </w:divBdr>
    </w:div>
    <w:div w:id="2083404111">
      <w:marLeft w:val="0"/>
      <w:marRight w:val="0"/>
      <w:marTop w:val="0"/>
      <w:marBottom w:val="0"/>
      <w:divBdr>
        <w:top w:val="none" w:sz="0" w:space="0" w:color="auto"/>
        <w:left w:val="none" w:sz="0" w:space="0" w:color="auto"/>
        <w:bottom w:val="none" w:sz="0" w:space="0" w:color="auto"/>
        <w:right w:val="none" w:sz="0" w:space="0" w:color="auto"/>
      </w:divBdr>
    </w:div>
    <w:div w:id="2083404112">
      <w:marLeft w:val="0"/>
      <w:marRight w:val="0"/>
      <w:marTop w:val="0"/>
      <w:marBottom w:val="0"/>
      <w:divBdr>
        <w:top w:val="none" w:sz="0" w:space="0" w:color="auto"/>
        <w:left w:val="none" w:sz="0" w:space="0" w:color="auto"/>
        <w:bottom w:val="none" w:sz="0" w:space="0" w:color="auto"/>
        <w:right w:val="none" w:sz="0" w:space="0" w:color="auto"/>
      </w:divBdr>
    </w:div>
    <w:div w:id="2083404113">
      <w:marLeft w:val="0"/>
      <w:marRight w:val="0"/>
      <w:marTop w:val="0"/>
      <w:marBottom w:val="0"/>
      <w:divBdr>
        <w:top w:val="none" w:sz="0" w:space="0" w:color="auto"/>
        <w:left w:val="none" w:sz="0" w:space="0" w:color="auto"/>
        <w:bottom w:val="none" w:sz="0" w:space="0" w:color="auto"/>
        <w:right w:val="none" w:sz="0" w:space="0" w:color="auto"/>
      </w:divBdr>
    </w:div>
    <w:div w:id="2083404114">
      <w:marLeft w:val="0"/>
      <w:marRight w:val="0"/>
      <w:marTop w:val="0"/>
      <w:marBottom w:val="0"/>
      <w:divBdr>
        <w:top w:val="none" w:sz="0" w:space="0" w:color="auto"/>
        <w:left w:val="none" w:sz="0" w:space="0" w:color="auto"/>
        <w:bottom w:val="none" w:sz="0" w:space="0" w:color="auto"/>
        <w:right w:val="none" w:sz="0" w:space="0" w:color="auto"/>
      </w:divBdr>
    </w:div>
    <w:div w:id="2083404115">
      <w:marLeft w:val="0"/>
      <w:marRight w:val="0"/>
      <w:marTop w:val="0"/>
      <w:marBottom w:val="0"/>
      <w:divBdr>
        <w:top w:val="none" w:sz="0" w:space="0" w:color="auto"/>
        <w:left w:val="none" w:sz="0" w:space="0" w:color="auto"/>
        <w:bottom w:val="none" w:sz="0" w:space="0" w:color="auto"/>
        <w:right w:val="none" w:sz="0" w:space="0" w:color="auto"/>
      </w:divBdr>
    </w:div>
    <w:div w:id="21451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iah.eib.org/publications/attachments/report-health-sector-study-20180322-en.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fields xmlns:f="http://schemas.fabasoft.com/folio/2007/fields">
  <f:record ref="">
    <f:field ref="objname" par="" edit="true" text="analyza_vplyv_na_rozpocet-verejnej-spravy_7_3_19"/>
    <f:field ref="objsubject" par="" edit="true" text=""/>
    <f:field ref="objcreatedby" par="" text="Administrator, System"/>
    <f:field ref="objcreatedat" par="" text="7.3.2019 16:07:52"/>
    <f:field ref="objchangedby" par="" text="Administrator, System"/>
    <f:field ref="objmodifiedat" par="" text="7.3.2019 16:07: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96429C1E-E4D9-473C-904B-E2B5F09CDF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E25673-4666-4A9C-9904-228A6EDE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11749</Words>
  <Characters>66970</Characters>
  <Application>Microsoft Office Word</Application>
  <DocSecurity>0</DocSecurity>
  <Lines>558</Lines>
  <Paragraphs>157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78562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Földesová Motajová Zuzana</cp:lastModifiedBy>
  <cp:revision>2</cp:revision>
  <cp:lastPrinted>2019-02-27T09:24:00Z</cp:lastPrinted>
  <dcterms:created xsi:type="dcterms:W3CDTF">2019-08-15T03:33:00Z</dcterms:created>
  <dcterms:modified xsi:type="dcterms:W3CDTF">2019-08-15T03:33:00Z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Ján Richter</vt:lpwstr>
  </property>
  <property fmtid="{D5CDD505-2E9C-101B-9397-08002B2CF9AE}" pid="14"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5" name="FSC#SKEDITIONSLOVLEX@103.510:nazovpredpis1">
    <vt:lpwstr> dopĺňajú niektoré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_x000d_
na mesiac marec a jún 2018 a na mesiac jún 2019</vt:lpwstr>
  </property>
  <property fmtid="{D5CDD505-2E9C-101B-9397-08002B2CF9AE}" pid="23"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24" name="FSC#SKEDITIONSLOVLEX@103.510:plnynazovpredpis1">
    <vt:lpwstr>nia a dopĺňajú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S02807-2019-OL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LP/2019/154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nie je</vt:lpwstr>
  </property>
  <property fmtid="{D5CDD505-2E9C-101B-9397-08002B2CF9AE}" pid="47" name="FSC#SKEDITIONSLOVLEX@103.510:AttrStrListDocPropSekundarneLegPravoPO">
    <vt:lpwstr>- Smernica Rady 2013/59/Euratom z 5. decembra 2013, ktorou sa stanovujú základné bezpečnostné normy ochrany pred nebezpečenstvami vznikajúcimi v dôsledku ionizujúceho žiarenia, a ktorou sa zrušujú smernice 89/618/Euratom, 90/641/Euratom, 96/29/Euratom, 97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 Smernica prebratá do zákona č. 87/2018 Z. z. o radiačnej ochrane a o zmene a doplnení niektorých zákonov</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nezačalo</vt:lpwstr>
  </property>
  <property fmtid="{D5CDD505-2E9C-101B-9397-08002B2CF9AE}" pid="55" name="FSC#SKEDITIONSLOVLEX@103.510:AttrStrListDocPropInfoUzPreberanePP">
    <vt:lpwstr>- zákon č. 87/2018 Z. z. o radiačnej ochrane a o zmene a doplnení niektorých zákonov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0pt;"&gt;&lt;span style="font-family: &amp;quot;Times New Roman&amp;quot;,serif; font-size: 10pt;"&gt;Návrh zákona predpokladá vplyv na rozpočtovú kapitolu MZ SR, nakoľko klinický audit bude vykonávať MZ SR a&amp;nbsp;na základe jeho písomného povere</vt:lpwstr>
  </property>
  <property fmtid="{D5CDD505-2E9C-101B-9397-08002B2CF9AE}" pid="66" name="FSC#SKEDITIONSLOVLEX@103.510:AttrStrListDocPropAltRiesenia">
    <vt:lpwstr>   Nie sú.Nulový variant: Indikátory kvality sú v súčasne platnej právnej úprave upravené v § 7 ods. 5 až 7 zákona č. 581/2004 Z. z. o zdravotných poisťovniach, dohľade nad zdravotnou starostlivosťou a o zmene a doplnení niektorých zákonov. Inštitút bezpe</vt:lpwstr>
  </property>
  <property fmtid="{D5CDD505-2E9C-101B-9397-08002B2CF9AE}" pid="67" name="FSC#SKEDITIONSLOVLEX@103.510:AttrStrListDocPropStanoviskoGest">
    <vt:lpwstr>&lt;table border="0" cellpadding="0" cellspacing="0"&gt;	&lt;tbody&gt;		&lt;tr&gt;			&lt;td style="width: 283px;"&gt;			&lt;p&gt;&amp;nbsp;&lt;/p&gt;			&lt;/td&gt;			&lt;td style="width: 350px;"&gt;			&lt;p&gt;&amp;nbsp;&amp;nbsp;&amp;nbsp;&amp;nbsp;&amp;nbsp;&amp;nbsp;&amp;nbsp;&amp;nbsp;&amp;nbsp;&amp;nbsp;&amp;nbsp;&amp;nbsp;&amp;nbsp;&amp;nbsp;&amp;nbsp;&amp;nbsp;&amp;nbsp;&amp;</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minister práce, sociálnych vecí a rodiny Slovenskej republiky, </vt:lpwstr>
  </property>
  <property fmtid="{D5CDD505-2E9C-101B-9397-08002B2CF9AE}" pid="145" name="FSC#SKEDITIONSLOVLEX@103.510:funkciaDalsiPredAkuzativ">
    <vt:lpwstr>ministrovi práce, sociálnych vecí a rodiny Slovenskej republiky, </vt:lpwstr>
  </property>
  <property fmtid="{D5CDD505-2E9C-101B-9397-08002B2CF9AE}" pid="146" name="FSC#SKEDITIONSLOVLEX@103.510:funkciaDalsiPredDativ">
    <vt:lpwstr>ministra práce, sociálnych vecí a rodiny Slovenskej republiky, </vt:lpwstr>
  </property>
  <property fmtid="{D5CDD505-2E9C-101B-9397-08002B2CF9AE}" pid="147" name="FSC#SKEDITIONSLOVLEX@103.510:predkladateliaObalSD">
    <vt:lpwstr>doc. MUDr. Andrea Kalavská_x000d_
Ministerka zdravotníctva_x000d_
Ján Richter_x000d_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a&amp;nbsp;Ministerstvo práce, sociálnych vecí&amp;nbsp; a&amp;nbsp;rodiny Slovenskej republiky predkladajú návrh zákona, ktorým sa mení a dopĺňa zákon č. 578/2004 Z. z. o poskytovateľoch zdravotnej starostlivosti, z</vt:lpwstr>
  </property>
  <property fmtid="{D5CDD505-2E9C-101B-9397-08002B2CF9AE}" pid="150" name="FSC#SKEDITIONSLOVLEX@103.510:vytvorenedna">
    <vt:lpwstr>7. 3. 2019</vt:lpwstr>
  </property>
  <property fmtid="{D5CDD505-2E9C-101B-9397-08002B2CF9AE}" pid="151" name="FSC#COOSYSTEM@1.1:Container">
    <vt:lpwstr>COO.2145.1000.3.3255762</vt:lpwstr>
  </property>
  <property fmtid="{D5CDD505-2E9C-101B-9397-08002B2CF9AE}" pid="152" name="FSC#FSCFOLIO@1.1001:docpropproject">
    <vt:lpwstr/>
  </property>
</Properties>
</file>