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5D" w:rsidRPr="009827E5" w:rsidRDefault="00881C5D" w:rsidP="00881C5D">
      <w:pPr>
        <w:jc w:val="center"/>
        <w:rPr>
          <w:b/>
          <w:bCs/>
        </w:rPr>
      </w:pPr>
      <w:r w:rsidRPr="009827E5">
        <w:rPr>
          <w:b/>
          <w:bCs/>
        </w:rPr>
        <w:t>Doložka vybraných vplyvov</w:t>
      </w:r>
    </w:p>
    <w:p w:rsidR="00881C5D" w:rsidRPr="009827E5" w:rsidRDefault="00881C5D" w:rsidP="00881C5D"/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1"/>
        <w:gridCol w:w="400"/>
        <w:gridCol w:w="141"/>
        <w:gridCol w:w="564"/>
        <w:gridCol w:w="861"/>
        <w:gridCol w:w="171"/>
        <w:gridCol w:w="255"/>
        <w:gridCol w:w="1132"/>
        <w:gridCol w:w="285"/>
        <w:gridCol w:w="262"/>
        <w:gridCol w:w="1298"/>
      </w:tblGrid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Návrh zákona, ktorým sa mení a dopĺňa zákon č. 321/2002 Z. z. o ozbrojených silách Slovenskej republiky </w:t>
            </w:r>
            <w:r w:rsidRPr="009827E5">
              <w:rPr>
                <w:sz w:val="20"/>
                <w:szCs w:val="20"/>
              </w:rPr>
              <w:br/>
              <w:t>v znení neskorších predpisov a</w:t>
            </w:r>
            <w:r w:rsidR="004C114C">
              <w:rPr>
                <w:sz w:val="20"/>
                <w:szCs w:val="20"/>
              </w:rPr>
              <w:t> ktorým sa menia a dopĺňajú niektoré zákony.</w:t>
            </w:r>
          </w:p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2F3027" w:rsidRDefault="00881C5D" w:rsidP="00D64127">
            <w:pPr>
              <w:rPr>
                <w:sz w:val="20"/>
                <w:szCs w:val="20"/>
              </w:rPr>
            </w:pPr>
            <w:r w:rsidRPr="00D37147">
              <w:rPr>
                <w:sz w:val="20"/>
                <w:szCs w:val="20"/>
              </w:rPr>
              <w:t>Ministerstvo obrany Slovenskej republiky</w:t>
            </w:r>
          </w:p>
          <w:p w:rsidR="00881C5D" w:rsidRPr="009827E5" w:rsidRDefault="00881C5D" w:rsidP="00D64127">
            <w:pPr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81C5D" w:rsidRPr="009827E5" w:rsidRDefault="00881C5D" w:rsidP="00D6412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Materiál nelegislatívnej povahy</w:t>
            </w:r>
          </w:p>
        </w:tc>
      </w:tr>
      <w:tr w:rsidR="00881C5D" w:rsidRPr="009827E5" w:rsidTr="00D64127">
        <w:tc>
          <w:tcPr>
            <w:tcW w:w="4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ind w:left="175" w:hanging="175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Materiál legislatívnej povahy</w:t>
            </w:r>
          </w:p>
        </w:tc>
      </w:tr>
      <w:tr w:rsidR="00881C5D" w:rsidRPr="009827E5" w:rsidTr="00D64127">
        <w:tc>
          <w:tcPr>
            <w:tcW w:w="4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D" w:rsidRPr="009827E5" w:rsidRDefault="00881C5D" w:rsidP="00D64127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Transpozícia práva EÚ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59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81C5D" w:rsidRPr="009827E5" w:rsidRDefault="00881C5D" w:rsidP="00D6412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E422B4" w:rsidP="00E4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– 10.7.</w:t>
            </w:r>
            <w:r w:rsidR="00881C5D" w:rsidRPr="009827E5">
              <w:rPr>
                <w:sz w:val="20"/>
                <w:szCs w:val="20"/>
              </w:rPr>
              <w:t>2019</w:t>
            </w:r>
          </w:p>
        </w:tc>
      </w:tr>
      <w:tr w:rsidR="00881C5D" w:rsidRPr="009827E5" w:rsidTr="00D6412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81C5D" w:rsidRPr="009827E5" w:rsidRDefault="00881C5D" w:rsidP="00D6412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CF4068">
              <w:rPr>
                <w:sz w:val="20"/>
                <w:szCs w:val="20"/>
              </w:rPr>
              <w:t>júl</w:t>
            </w:r>
            <w:r w:rsidRPr="009827E5">
              <w:rPr>
                <w:sz w:val="20"/>
                <w:szCs w:val="20"/>
              </w:rPr>
              <w:t xml:space="preserve"> 2019</w:t>
            </w:r>
          </w:p>
        </w:tc>
      </w:tr>
      <w:tr w:rsidR="00881C5D" w:rsidRPr="009827E5" w:rsidTr="00D6412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81C5D" w:rsidRPr="009827E5" w:rsidRDefault="00881C5D" w:rsidP="00D6412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 xml:space="preserve">Predpokladaný termín predloženia na </w:t>
            </w:r>
            <w:r w:rsidRPr="00D37147">
              <w:rPr>
                <w:rFonts w:ascii="Times New Roman" w:hAnsi="Times New Roman"/>
                <w:b/>
              </w:rPr>
              <w:t>R</w:t>
            </w:r>
            <w:r w:rsidRPr="002F3027">
              <w:rPr>
                <w:rFonts w:ascii="Times New Roman" w:hAnsi="Times New Roman"/>
                <w:b/>
              </w:rPr>
              <w:t>okovanie</w:t>
            </w:r>
            <w:r>
              <w:rPr>
                <w:rFonts w:ascii="Times New Roman" w:hAnsi="Times New Roman"/>
                <w:b/>
              </w:rPr>
              <w:t xml:space="preserve"> vlády </w:t>
            </w:r>
            <w:r w:rsidRPr="009827E5">
              <w:rPr>
                <w:rFonts w:ascii="Times New Roman" w:hAnsi="Times New Roman"/>
                <w:b/>
              </w:rPr>
              <w:t>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881C5D" w:rsidRPr="009827E5" w:rsidTr="00D64127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jc w:val="both"/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základné problémy, na ktoré navrhovaná regulácia reaguje.</w:t>
            </w:r>
          </w:p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  <w:r w:rsidRPr="0095393E">
              <w:rPr>
                <w:sz w:val="20"/>
                <w:szCs w:val="20"/>
              </w:rPr>
              <w:t xml:space="preserve">     Návrh zákona reaguje na absenciu ustanovenia upravujúce</w:t>
            </w:r>
            <w:r w:rsidR="009A434D">
              <w:rPr>
                <w:sz w:val="20"/>
                <w:szCs w:val="20"/>
              </w:rPr>
              <w:t>ho</w:t>
            </w:r>
            <w:r w:rsidRPr="0095393E">
              <w:rPr>
                <w:sz w:val="20"/>
                <w:szCs w:val="20"/>
              </w:rPr>
              <w:t xml:space="preserve"> ďalšie účely vysielania ozbrojených síl</w:t>
            </w:r>
            <w:r>
              <w:rPr>
                <w:sz w:val="20"/>
                <w:szCs w:val="20"/>
              </w:rPr>
              <w:t xml:space="preserve"> Slovenskej republiky</w:t>
            </w:r>
            <w:r w:rsidRPr="0095393E">
              <w:rPr>
                <w:sz w:val="20"/>
                <w:szCs w:val="20"/>
              </w:rPr>
              <w:t xml:space="preserve"> </w:t>
            </w:r>
            <w:r w:rsidRPr="009827E5">
              <w:rPr>
                <w:sz w:val="20"/>
                <w:szCs w:val="20"/>
              </w:rPr>
              <w:t xml:space="preserve">(ďalej len „ozbrojené sily“) </w:t>
            </w:r>
            <w:r w:rsidRPr="0095393E">
              <w:rPr>
                <w:sz w:val="20"/>
                <w:szCs w:val="20"/>
              </w:rPr>
              <w:t>mimo územia Slovenskej republiky reflektujúce zmenenú bezpečnostnú situáciu. Na základe aplikačnej praxe</w:t>
            </w:r>
            <w:r>
              <w:rPr>
                <w:sz w:val="20"/>
                <w:szCs w:val="20"/>
              </w:rPr>
              <w:t xml:space="preserve"> návrh zákona reaguje </w:t>
            </w:r>
            <w:r w:rsidRPr="0095393E">
              <w:rPr>
                <w:sz w:val="20"/>
                <w:szCs w:val="20"/>
              </w:rPr>
              <w:t>aj na potrebu úpravy niektorých ustanovení v</w:t>
            </w:r>
            <w:r>
              <w:rPr>
                <w:sz w:val="20"/>
                <w:szCs w:val="20"/>
              </w:rPr>
              <w:t> </w:t>
            </w:r>
            <w:r w:rsidRPr="0095393E">
              <w:rPr>
                <w:sz w:val="20"/>
                <w:szCs w:val="20"/>
              </w:rPr>
              <w:t>platnom</w:t>
            </w:r>
            <w:r>
              <w:rPr>
                <w:sz w:val="20"/>
                <w:szCs w:val="20"/>
              </w:rPr>
              <w:t xml:space="preserve"> znení zákona</w:t>
            </w:r>
            <w:r w:rsidRPr="0095393E">
              <w:rPr>
                <w:sz w:val="20"/>
                <w:szCs w:val="20"/>
              </w:rPr>
              <w:t xml:space="preserve"> súvisiacich s použitím ozbrojených síl a ich riadením.</w:t>
            </w:r>
            <w:r w:rsidRPr="009827E5">
              <w:rPr>
                <w:sz w:val="20"/>
                <w:szCs w:val="20"/>
              </w:rPr>
              <w:t xml:space="preserve"> </w:t>
            </w:r>
          </w:p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881C5D" w:rsidRPr="009827E5" w:rsidTr="00D64127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jc w:val="both"/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881C5D" w:rsidRPr="00BE75CC" w:rsidRDefault="00881C5D" w:rsidP="00D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Hlavným cieľom návrhu zákona je u</w:t>
            </w:r>
            <w:r w:rsidRPr="0095393E">
              <w:rPr>
                <w:sz w:val="20"/>
                <w:szCs w:val="20"/>
              </w:rPr>
              <w:t>prav</w:t>
            </w:r>
            <w:r>
              <w:rPr>
                <w:sz w:val="20"/>
                <w:szCs w:val="20"/>
              </w:rPr>
              <w:t>iť vysielanie</w:t>
            </w:r>
            <w:r w:rsidRPr="0095393E">
              <w:rPr>
                <w:sz w:val="20"/>
                <w:szCs w:val="20"/>
              </w:rPr>
              <w:t xml:space="preserve"> ozbrojených síl v rámci plnenia záväzkov z medzinárodných zmlúv, ktorými je Slovenská republika viazaná aj na in</w:t>
            </w:r>
            <w:r>
              <w:rPr>
                <w:sz w:val="20"/>
                <w:szCs w:val="20"/>
              </w:rPr>
              <w:t>é účely, ako</w:t>
            </w:r>
            <w:r w:rsidRPr="0095393E">
              <w:rPr>
                <w:sz w:val="20"/>
                <w:szCs w:val="20"/>
              </w:rPr>
              <w:t xml:space="preserve"> sú </w:t>
            </w:r>
            <w:r>
              <w:rPr>
                <w:sz w:val="20"/>
                <w:szCs w:val="20"/>
              </w:rPr>
              <w:t xml:space="preserve">upravené </w:t>
            </w:r>
            <w:r w:rsidRPr="0095393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 platnom </w:t>
            </w:r>
            <w:r w:rsidRPr="00BE75CC">
              <w:rPr>
                <w:sz w:val="20"/>
                <w:szCs w:val="20"/>
              </w:rPr>
              <w:t>znení zákona a s tým súvisiace mechanizmy a inštitúty vysielania ozbrojených síl mimo územia Slovenskej republiky. Spresňujú sa ú</w:t>
            </w:r>
            <w:r w:rsidR="000177FE">
              <w:rPr>
                <w:sz w:val="20"/>
                <w:szCs w:val="20"/>
              </w:rPr>
              <w:t>lohy a použitie ozbrojených síl</w:t>
            </w:r>
            <w:r w:rsidR="00607602">
              <w:rPr>
                <w:sz w:val="20"/>
                <w:szCs w:val="20"/>
              </w:rPr>
              <w:t>.</w:t>
            </w:r>
            <w:r w:rsidR="000177FE">
              <w:rPr>
                <w:sz w:val="20"/>
                <w:szCs w:val="20"/>
              </w:rPr>
              <w:t xml:space="preserve"> </w:t>
            </w:r>
            <w:r w:rsidR="00607602">
              <w:rPr>
                <w:sz w:val="20"/>
                <w:szCs w:val="20"/>
              </w:rPr>
              <w:t>P</w:t>
            </w:r>
            <w:r w:rsidRPr="00BE75CC">
              <w:rPr>
                <w:sz w:val="20"/>
                <w:szCs w:val="20"/>
              </w:rPr>
              <w:t xml:space="preserve">recizujú sa ustanovenia upravujúce riadenie ozbrojených síl a zosúlaďujú sa ustanovenia v nadväznosti na </w:t>
            </w:r>
            <w:r w:rsidR="00A64FF8" w:rsidRPr="00BE75CC">
              <w:rPr>
                <w:sz w:val="20"/>
                <w:szCs w:val="20"/>
              </w:rPr>
              <w:t xml:space="preserve">vládny </w:t>
            </w:r>
            <w:r w:rsidRPr="00BE75CC">
              <w:rPr>
                <w:rFonts w:eastAsia="Times New Roman"/>
                <w:sz w:val="20"/>
                <w:szCs w:val="20"/>
              </w:rPr>
              <w:t xml:space="preserve">návrh zákona, ktorým sa mení </w:t>
            </w:r>
            <w:r w:rsidR="00A64FF8" w:rsidRPr="00BE75CC">
              <w:rPr>
                <w:rFonts w:eastAsia="Times New Roman"/>
                <w:sz w:val="20"/>
                <w:szCs w:val="20"/>
              </w:rPr>
              <w:t xml:space="preserve">a dopĺňa zákon </w:t>
            </w:r>
            <w:r w:rsidRPr="00BE75CC">
              <w:rPr>
                <w:rFonts w:eastAsia="Times New Roman"/>
                <w:sz w:val="20"/>
                <w:szCs w:val="20"/>
              </w:rPr>
              <w:t xml:space="preserve">č. 319/2002 Z. z. o obrane Slovenskej republiky v znení neskorších predpisov </w:t>
            </w:r>
            <w:r w:rsidRPr="00BE75CC">
              <w:rPr>
                <w:sz w:val="20"/>
                <w:szCs w:val="20"/>
              </w:rPr>
              <w:t>a</w:t>
            </w:r>
            <w:r w:rsidR="00457E1F" w:rsidRPr="00BE75CC">
              <w:rPr>
                <w:sz w:val="20"/>
                <w:szCs w:val="20"/>
              </w:rPr>
              <w:t> ktorým sa menia a dopĺňajú niektoré zákony</w:t>
            </w:r>
            <w:r w:rsidR="00A64FF8" w:rsidRPr="00BE75CC">
              <w:rPr>
                <w:sz w:val="20"/>
                <w:szCs w:val="20"/>
              </w:rPr>
              <w:t xml:space="preserve"> (ČPT 1519)</w:t>
            </w:r>
            <w:r w:rsidRPr="00BE75CC">
              <w:rPr>
                <w:sz w:val="20"/>
                <w:szCs w:val="20"/>
              </w:rPr>
              <w:t xml:space="preserve">. </w:t>
            </w:r>
          </w:p>
          <w:p w:rsidR="00881C5D" w:rsidRPr="00BE75CC" w:rsidRDefault="00881C5D" w:rsidP="00D64127">
            <w:pPr>
              <w:jc w:val="both"/>
              <w:rPr>
                <w:sz w:val="20"/>
                <w:szCs w:val="20"/>
              </w:rPr>
            </w:pPr>
            <w:r w:rsidRPr="00BE75CC">
              <w:rPr>
                <w:sz w:val="20"/>
                <w:szCs w:val="20"/>
              </w:rPr>
              <w:t xml:space="preserve">     V nadväznosti na zmenu účelu vysielania ozbrojených síl mimo územia Slovenskej republiky sa upravujú zákon č. 283/2002 Z. z. o cestovných náhradách v znení neskorších predpisov a  zákon č. 281/2015 Z. z. o štátnej službe profesionálnych vojakov a o zmene a doplnení niektorých zákonov v znení neskorších predpisov.</w:t>
            </w:r>
          </w:p>
          <w:p w:rsidR="00881C5D" w:rsidRDefault="00881C5D" w:rsidP="00D64127">
            <w:pPr>
              <w:jc w:val="both"/>
              <w:rPr>
                <w:sz w:val="20"/>
                <w:szCs w:val="20"/>
              </w:rPr>
            </w:pPr>
            <w:r w:rsidRPr="00BE75CC">
              <w:rPr>
                <w:sz w:val="20"/>
              </w:rPr>
              <w:t xml:space="preserve">     V kontexte s preukazovaním príslušnosti vojaka k ozbrojeným silám podľa § 3a zákona č. 321/2002 Z. z. o ozbrojených silách Slovenskej republiky v znení zákona č.98/2019 Z. z.  </w:t>
            </w:r>
            <w:r w:rsidRPr="0000591B">
              <w:rPr>
                <w:sz w:val="20"/>
              </w:rPr>
              <w:t xml:space="preserve">sa </w:t>
            </w:r>
            <w:r w:rsidRPr="00BF2ACB">
              <w:rPr>
                <w:sz w:val="20"/>
              </w:rPr>
              <w:t xml:space="preserve">dopĺňa zákon </w:t>
            </w:r>
            <w:r w:rsidRPr="00BF2ACB">
              <w:rPr>
                <w:sz w:val="20"/>
                <w:szCs w:val="20"/>
              </w:rPr>
              <w:t>č. 378/2015 Z. z. o dobrovoľnej vojenskej príprave a o zmene a doplnení niektorých zákonov v znení neskorších predpisov</w:t>
            </w:r>
            <w:r w:rsidRPr="00BF2AC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F2ACB">
              <w:rPr>
                <w:sz w:val="20"/>
              </w:rPr>
              <w:t xml:space="preserve">o preukazovanie príslušnosti k ozbrojeným silám vojaka dobrovoľnej vojenskej prípravy formou osobnej identifikačnej karty. </w:t>
            </w:r>
            <w:r w:rsidRPr="00BF2ACB">
              <w:rPr>
                <w:sz w:val="20"/>
                <w:szCs w:val="20"/>
              </w:rPr>
              <w:t>Súčasne, v záujme zatraktívnenia dobrovoľnej vojenskej prípravy, sa upravuje</w:t>
            </w:r>
            <w:r>
              <w:rPr>
                <w:sz w:val="20"/>
                <w:szCs w:val="20"/>
              </w:rPr>
              <w:t xml:space="preserve"> možnosť</w:t>
            </w:r>
            <w:r w:rsidRPr="009827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vojakovi dobrovoľnej vojenskej prípravy preplatiť</w:t>
            </w:r>
            <w:r w:rsidRPr="009827E5">
              <w:rPr>
                <w:sz w:val="20"/>
                <w:szCs w:val="20"/>
              </w:rPr>
              <w:t xml:space="preserve"> náhradu cestovných nákladov pri návšteve rodiny za určitú dobu výkonu dobrovoľnej vojenskej prípravy, a to jedenkrát za štyri týždne výkonu dobrovoľnej vojenskej prípravy.</w:t>
            </w:r>
          </w:p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5393E" w:rsidRDefault="00881C5D" w:rsidP="00D64127">
            <w:pPr>
              <w:jc w:val="both"/>
              <w:rPr>
                <w:i/>
                <w:sz w:val="20"/>
                <w:szCs w:val="20"/>
              </w:rPr>
            </w:pPr>
            <w:r w:rsidRPr="0095393E">
              <w:rPr>
                <w:i/>
                <w:sz w:val="20"/>
                <w:szCs w:val="20"/>
              </w:rPr>
              <w:t xml:space="preserve">Uveďte subjekty, ktorých sa zmeny návrhu dotknú priamo aj nepriamo: </w:t>
            </w:r>
          </w:p>
          <w:p w:rsidR="00881C5D" w:rsidRDefault="00881C5D" w:rsidP="00D64127">
            <w:pPr>
              <w:jc w:val="both"/>
              <w:rPr>
                <w:sz w:val="20"/>
                <w:szCs w:val="20"/>
              </w:rPr>
            </w:pPr>
            <w:r w:rsidRPr="0095393E">
              <w:rPr>
                <w:sz w:val="20"/>
                <w:szCs w:val="20"/>
              </w:rPr>
              <w:t>Návrh zákona sa týka p</w:t>
            </w:r>
            <w:r>
              <w:rPr>
                <w:sz w:val="20"/>
                <w:szCs w:val="20"/>
              </w:rPr>
              <w:t>ôsobnosti Ministerstva obrany Slovenskej republiky</w:t>
            </w:r>
            <w:r w:rsidRPr="0095393E">
              <w:rPr>
                <w:sz w:val="20"/>
                <w:szCs w:val="20"/>
              </w:rPr>
              <w:t xml:space="preserve"> a ozbrojených síl.</w:t>
            </w:r>
          </w:p>
          <w:p w:rsidR="00881C5D" w:rsidRPr="0095393E" w:rsidRDefault="00881C5D" w:rsidP="00D64127">
            <w:pPr>
              <w:jc w:val="both"/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881C5D" w:rsidRPr="009827E5" w:rsidTr="00D64127">
        <w:trPr>
          <w:trHeight w:val="70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Aké alternatívne riešenia boli posudzované?</w:t>
            </w:r>
          </w:p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881C5D" w:rsidRDefault="00881C5D" w:rsidP="00D64127">
            <w:pPr>
              <w:jc w:val="both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Pri spracúvaní návrhu zákona neboli posudzované žiadne alternatívne riešenia. </w:t>
            </w:r>
          </w:p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881C5D" w:rsidRPr="009827E5" w:rsidTr="00D64127">
        <w:tc>
          <w:tcPr>
            <w:tcW w:w="6203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lastRenderedPageBreak/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81C5D" w:rsidRPr="009827E5" w:rsidRDefault="00EA4901" w:rsidP="00D64127">
            <w:pPr>
              <w:jc w:val="center"/>
              <w:rPr>
                <w:sz w:val="20"/>
                <w:szCs w:val="20"/>
              </w:rPr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5D" w:rsidRPr="009827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1C5D" w:rsidRPr="009827E5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EA4901" w:rsidP="00D64127">
            <w:pPr>
              <w:jc w:val="center"/>
              <w:rPr>
                <w:sz w:val="20"/>
                <w:szCs w:val="20"/>
              </w:rPr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C5D" w:rsidRPr="009827E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881C5D" w:rsidRPr="009827E5">
              <w:t xml:space="preserve">  Nie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881C5D" w:rsidRPr="009827E5" w:rsidRDefault="00881C5D" w:rsidP="00D64127">
            <w:pPr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881C5D" w:rsidRPr="009827E5" w:rsidTr="00D64127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881C5D" w:rsidRPr="009827E5" w:rsidTr="00D64127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Žiadne.</w:t>
            </w:r>
          </w:p>
          <w:p w:rsidR="00881C5D" w:rsidRPr="009827E5" w:rsidRDefault="00881C5D" w:rsidP="00D64127">
            <w:pPr>
              <w:rPr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</w:p>
        </w:tc>
      </w:tr>
      <w:tr w:rsidR="00881C5D" w:rsidRPr="009827E5" w:rsidTr="00D64127">
        <w:trPr>
          <w:trHeight w:val="715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1C5D" w:rsidRPr="009827E5" w:rsidRDefault="00881C5D" w:rsidP="00D64127">
            <w:pPr>
              <w:ind w:left="142" w:hanging="142"/>
              <w:jc w:val="both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** nepovinné</w:t>
            </w:r>
          </w:p>
        </w:tc>
      </w:tr>
      <w:tr w:rsidR="00881C5D" w:rsidRPr="009827E5" w:rsidTr="00D64127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</w:p>
        </w:tc>
      </w:tr>
      <w:tr w:rsidR="00881C5D" w:rsidRPr="009827E5" w:rsidTr="00D64127">
        <w:trPr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3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34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Čiastočne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ind w:right="-108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E422B4" w:rsidP="00D641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54"/>
              <w:rPr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FE33E8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FE33E8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881C5D" w:rsidRPr="009827E5" w:rsidRDefault="00881C5D" w:rsidP="00D641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C5D" w:rsidRPr="009827E5" w:rsidRDefault="00881C5D" w:rsidP="00D64127">
            <w:pPr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C5D" w:rsidRPr="009827E5" w:rsidRDefault="00881C5D" w:rsidP="00D641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C5D" w:rsidRPr="009827E5" w:rsidRDefault="00881C5D" w:rsidP="00D64127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881C5D" w:rsidRPr="009827E5" w:rsidTr="00D641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7E5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622672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81C5D" w:rsidRPr="009827E5" w:rsidRDefault="00881C5D" w:rsidP="00D64127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7E5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5D" w:rsidRPr="009827E5" w:rsidRDefault="00881C5D" w:rsidP="00D64127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</w:t>
            </w:r>
          </w:p>
        </w:tc>
      </w:tr>
      <w:tr w:rsidR="00881C5D" w:rsidRPr="009827E5" w:rsidTr="00D641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81C5D" w:rsidRPr="009827E5" w:rsidRDefault="00881C5D" w:rsidP="00D64127">
            <w:pPr>
              <w:ind w:left="171" w:hanging="171"/>
              <w:jc w:val="both"/>
              <w:rPr>
                <w:b/>
                <w:sz w:val="20"/>
                <w:szCs w:val="20"/>
              </w:rPr>
            </w:pPr>
            <w:r w:rsidRPr="009827E5">
              <w:rPr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7E5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19718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81C5D" w:rsidRPr="009827E5" w:rsidRDefault="00881C5D" w:rsidP="00D64127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7E5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Negatívne“</w:t>
            </w:r>
          </w:p>
        </w:tc>
      </w:tr>
      <w:tr w:rsidR="00881C5D" w:rsidRPr="009827E5" w:rsidTr="00D641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81C5D" w:rsidRPr="009827E5" w:rsidRDefault="00881C5D" w:rsidP="00D64127">
            <w:pPr>
              <w:jc w:val="both"/>
              <w:rPr>
                <w:b/>
                <w:sz w:val="20"/>
                <w:szCs w:val="20"/>
              </w:rPr>
            </w:pPr>
            <w:r w:rsidRPr="005F7AC2">
              <w:rPr>
                <w:b/>
                <w:sz w:val="20"/>
                <w:szCs w:val="20"/>
              </w:rPr>
              <w:t>Vplyvy na manželstvo, rodičovstvo a rodinu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7E5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4406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81C5D" w:rsidRPr="009827E5" w:rsidRDefault="00881C5D" w:rsidP="00D64127">
                <w:pPr>
                  <w:spacing w:line="276" w:lineRule="auto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9827E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C5D" w:rsidRPr="009827E5" w:rsidRDefault="00881C5D" w:rsidP="00D641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827E5">
              <w:rPr>
                <w:rFonts w:ascii="Segoe UI Symbol" w:eastAsia="MS Mincho" w:hAnsi="Segoe UI Symbol" w:cs="Segoe UI Symbol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C5D" w:rsidRPr="009827E5" w:rsidRDefault="00881C5D" w:rsidP="00D64127">
            <w:pPr>
              <w:spacing w:line="276" w:lineRule="auto"/>
              <w:ind w:left="54"/>
              <w:rPr>
                <w:b/>
                <w:sz w:val="20"/>
                <w:szCs w:val="20"/>
              </w:rPr>
            </w:pPr>
            <w:r w:rsidRPr="009827E5">
              <w:rPr>
                <w:b/>
                <w:sz w:val="20"/>
                <w:szCs w:val="20"/>
              </w:rPr>
              <w:t>Negatívne“</w:t>
            </w:r>
          </w:p>
        </w:tc>
      </w:tr>
    </w:tbl>
    <w:p w:rsidR="00881C5D" w:rsidRPr="009827E5" w:rsidRDefault="00881C5D" w:rsidP="00881C5D">
      <w:pPr>
        <w:ind w:right="141"/>
        <w:rPr>
          <w:rFonts w:eastAsia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81C5D" w:rsidRPr="009827E5" w:rsidTr="00D641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Poznámky</w:t>
            </w:r>
          </w:p>
        </w:tc>
      </w:tr>
      <w:tr w:rsidR="00881C5D" w:rsidRPr="009827E5" w:rsidTr="00D64127">
        <w:trPr>
          <w:trHeight w:val="19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81C5D" w:rsidRPr="001B3AB4" w:rsidRDefault="00881C5D" w:rsidP="00D64127">
            <w:pPr>
              <w:rPr>
                <w:i/>
                <w:sz w:val="20"/>
                <w:szCs w:val="20"/>
              </w:rPr>
            </w:pPr>
            <w:r w:rsidRPr="001B3AB4">
              <w:rPr>
                <w:i/>
                <w:sz w:val="20"/>
                <w:szCs w:val="20"/>
              </w:rPr>
              <w:t>V prípade potreby uveďte doplňujúce informácie k návrhu.</w:t>
            </w:r>
          </w:p>
          <w:p w:rsidR="00E422B4" w:rsidRPr="00CB2FD7" w:rsidRDefault="00E422B4" w:rsidP="00E422B4">
            <w:pPr>
              <w:jc w:val="both"/>
              <w:rPr>
                <w:sz w:val="20"/>
                <w:szCs w:val="20"/>
              </w:rPr>
            </w:pPr>
            <w:r w:rsidRPr="00383EA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CB2FD7">
              <w:rPr>
                <w:sz w:val="20"/>
                <w:szCs w:val="20"/>
              </w:rPr>
              <w:t>Vyslanie ozbrojených síl mimo územia Slovenskej republiky na účely ustanovené v platnom znení zákona č. 3</w:t>
            </w:r>
            <w:r>
              <w:rPr>
                <w:sz w:val="20"/>
                <w:szCs w:val="20"/>
              </w:rPr>
              <w:t xml:space="preserve">21/2002 Z. z. o ozbrojených silách </w:t>
            </w:r>
            <w:r w:rsidRPr="00CB2FD7">
              <w:rPr>
                <w:sz w:val="20"/>
                <w:szCs w:val="20"/>
              </w:rPr>
              <w:t>Slovenskej republiky v znení neskorších predpisov realizované do účinnosti návrhu zákona bude rozpočtovo zabezpečené v rámci rozpočtu stanoveného v kapitole štátneho rozpočtu Ministerstva obrany SR. Odo dňa účinnosti návrhu zákon</w:t>
            </w:r>
            <w:r>
              <w:rPr>
                <w:sz w:val="20"/>
                <w:szCs w:val="20"/>
              </w:rPr>
              <w:t>a</w:t>
            </w:r>
            <w:r w:rsidRPr="00CB2FD7">
              <w:rPr>
                <w:sz w:val="20"/>
                <w:szCs w:val="20"/>
              </w:rPr>
              <w:t xml:space="preserve"> budú náv</w:t>
            </w:r>
            <w:r w:rsidR="00892877">
              <w:rPr>
                <w:sz w:val="20"/>
                <w:szCs w:val="20"/>
              </w:rPr>
              <w:t>rhy na vyslanie ozbrojených síl</w:t>
            </w:r>
            <w:bookmarkStart w:id="0" w:name="_GoBack"/>
            <w:bookmarkEnd w:id="0"/>
            <w:r w:rsidRPr="00CB2FD7">
              <w:rPr>
                <w:sz w:val="20"/>
                <w:szCs w:val="20"/>
              </w:rPr>
              <w:t xml:space="preserve"> mimo územia Slovenskej republiky, resp. návr</w:t>
            </w:r>
            <w:r>
              <w:rPr>
                <w:sz w:val="20"/>
                <w:szCs w:val="20"/>
              </w:rPr>
              <w:t xml:space="preserve">hy na predĺženie mandátu misie </w:t>
            </w:r>
            <w:r w:rsidRPr="00CB2FD7">
              <w:rPr>
                <w:sz w:val="20"/>
                <w:szCs w:val="20"/>
              </w:rPr>
              <w:t>predkladané na schválenie vláde Slovenskej republiky alebo Národnej rade Slovenskej republiky vrátane doložiek vybraných vplyvov upravujúcich spôsob financovania návrhov.</w:t>
            </w:r>
          </w:p>
          <w:p w:rsidR="00881C5D" w:rsidRPr="001B3AB4" w:rsidRDefault="00E422B4" w:rsidP="00E422B4">
            <w:pPr>
              <w:jc w:val="both"/>
              <w:rPr>
                <w:sz w:val="20"/>
                <w:szCs w:val="20"/>
              </w:rPr>
            </w:pPr>
            <w:r w:rsidRPr="00BF2ACB">
              <w:rPr>
                <w:sz w:val="20"/>
                <w:szCs w:val="20"/>
              </w:rPr>
              <w:t xml:space="preserve">     V súvislosti s identifikáciou vojakov dobrovoľnej vojenskej prípravy a preukazovaním</w:t>
            </w:r>
            <w:r w:rsidRPr="001B3AB4">
              <w:rPr>
                <w:sz w:val="20"/>
                <w:szCs w:val="20"/>
              </w:rPr>
              <w:t xml:space="preserve"> ich pr</w:t>
            </w:r>
            <w:r>
              <w:rPr>
                <w:sz w:val="20"/>
                <w:szCs w:val="20"/>
              </w:rPr>
              <w:t xml:space="preserve">íslušnosti k ozbrojeným silám a zavedením vyplácania náhrady cestovných výdavkov na návštevu rodiny vojakov dobrovoľnej vojenskej prípravy </w:t>
            </w:r>
            <w:r w:rsidRPr="001B3AB4">
              <w:rPr>
                <w:sz w:val="20"/>
                <w:szCs w:val="20"/>
              </w:rPr>
              <w:t xml:space="preserve"> bude mať návrh zákona </w:t>
            </w:r>
            <w:r>
              <w:rPr>
                <w:sz w:val="20"/>
                <w:szCs w:val="20"/>
              </w:rPr>
              <w:t>negatívny</w:t>
            </w:r>
            <w:r w:rsidRPr="001B3AB4">
              <w:rPr>
                <w:sz w:val="20"/>
                <w:szCs w:val="20"/>
              </w:rPr>
              <w:t xml:space="preserve"> vplyv na rozpočet verejnej správy</w:t>
            </w:r>
            <w:r>
              <w:rPr>
                <w:sz w:val="20"/>
                <w:szCs w:val="20"/>
              </w:rPr>
              <w:t>, ktorý bude zabezpečený v rámci schválených limitov výdavkov kapitoly Ministerstva obrany Slovenskej republiky na rozpočtový rok 2020 a roky nasledujúce, bez zvýšených požiadaviek na rozpočet verejnej správy</w:t>
            </w:r>
            <w:r w:rsidRPr="001B3AB4">
              <w:rPr>
                <w:sz w:val="20"/>
                <w:szCs w:val="20"/>
              </w:rPr>
              <w:t>.</w:t>
            </w:r>
          </w:p>
        </w:tc>
      </w:tr>
      <w:tr w:rsidR="00881C5D" w:rsidRPr="009827E5" w:rsidTr="00D641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881C5D" w:rsidRPr="009827E5" w:rsidTr="00D6412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C5D" w:rsidRPr="009827E5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881C5D" w:rsidRPr="00496713" w:rsidRDefault="00881C5D" w:rsidP="00D64127">
            <w:pPr>
              <w:jc w:val="both"/>
              <w:rPr>
                <w:sz w:val="20"/>
              </w:rPr>
            </w:pPr>
            <w:r w:rsidRPr="009827E5">
              <w:rPr>
                <w:sz w:val="20"/>
              </w:rPr>
              <w:t xml:space="preserve">Ing. Anton DUBOVSKÝ; </w:t>
            </w:r>
            <w:r w:rsidRPr="00496713">
              <w:rPr>
                <w:sz w:val="20"/>
              </w:rPr>
              <w:t xml:space="preserve">tel. </w:t>
            </w:r>
            <w:r>
              <w:rPr>
                <w:sz w:val="20"/>
              </w:rPr>
              <w:t xml:space="preserve">č.: </w:t>
            </w:r>
            <w:r w:rsidRPr="00496713">
              <w:rPr>
                <w:sz w:val="20"/>
              </w:rPr>
              <w:t xml:space="preserve">0960 317 523; </w:t>
            </w:r>
            <w:r>
              <w:rPr>
                <w:sz w:val="20"/>
              </w:rPr>
              <w:t xml:space="preserve">e-mail: </w:t>
            </w:r>
            <w:r w:rsidRPr="00496713">
              <w:rPr>
                <w:sz w:val="20"/>
              </w:rPr>
              <w:t>Anton</w:t>
            </w:r>
            <w:hyperlink r:id="rId8" w:history="1">
              <w:r w:rsidRPr="00496713">
                <w:rPr>
                  <w:rStyle w:val="Hypertextovprepojenie"/>
                  <w:sz w:val="20"/>
                </w:rPr>
                <w:t>.DUBOVSKY@mil.sk</w:t>
              </w:r>
            </w:hyperlink>
          </w:p>
          <w:p w:rsidR="00881C5D" w:rsidRDefault="00881C5D" w:rsidP="00D64127">
            <w:pPr>
              <w:jc w:val="both"/>
              <w:rPr>
                <w:rStyle w:val="Hypertextovprepojenie"/>
                <w:color w:val="auto"/>
                <w:sz w:val="20"/>
              </w:rPr>
            </w:pPr>
            <w:r w:rsidRPr="00496713">
              <w:rPr>
                <w:sz w:val="20"/>
              </w:rPr>
              <w:t xml:space="preserve">Mgr. Peter ŠVIHORÍK; tel. </w:t>
            </w:r>
            <w:r>
              <w:rPr>
                <w:sz w:val="20"/>
              </w:rPr>
              <w:t xml:space="preserve">č.: </w:t>
            </w:r>
            <w:r w:rsidRPr="00496713">
              <w:rPr>
                <w:sz w:val="20"/>
              </w:rPr>
              <w:t>0960</w:t>
            </w:r>
            <w:r w:rsidRPr="009827E5">
              <w:rPr>
                <w:sz w:val="20"/>
              </w:rPr>
              <w:t xml:space="preserve"> 312 121; </w:t>
            </w:r>
            <w:r>
              <w:rPr>
                <w:sz w:val="20"/>
              </w:rPr>
              <w:t xml:space="preserve">e-mail: </w:t>
            </w:r>
            <w:hyperlink r:id="rId9" w:history="1">
              <w:r w:rsidRPr="009827E5">
                <w:rPr>
                  <w:rStyle w:val="Hypertextovprepojenie"/>
                  <w:color w:val="auto"/>
                  <w:sz w:val="20"/>
                </w:rPr>
                <w:t>Peter.SVIHORIK@mod.gov.sk</w:t>
              </w:r>
            </w:hyperlink>
          </w:p>
          <w:p w:rsidR="00881C5D" w:rsidRPr="006A4B15" w:rsidRDefault="00881C5D" w:rsidP="00D64127">
            <w:pPr>
              <w:jc w:val="both"/>
              <w:rPr>
                <w:sz w:val="20"/>
              </w:rPr>
            </w:pPr>
          </w:p>
        </w:tc>
      </w:tr>
      <w:tr w:rsidR="00881C5D" w:rsidRPr="009827E5" w:rsidTr="00D641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t>Zdroje</w:t>
            </w:r>
          </w:p>
        </w:tc>
      </w:tr>
      <w:tr w:rsidR="00881C5D" w:rsidRPr="009827E5" w:rsidTr="00D6412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5D" w:rsidRDefault="00881C5D" w:rsidP="00D64127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881C5D" w:rsidRPr="00A13802" w:rsidRDefault="00881C5D" w:rsidP="00D64127">
            <w:pPr>
              <w:jc w:val="both"/>
              <w:rPr>
                <w:rStyle w:val="awspan"/>
                <w:color w:val="000000"/>
                <w:sz w:val="20"/>
                <w:szCs w:val="20"/>
              </w:rPr>
            </w:pPr>
            <w:r>
              <w:rPr>
                <w:rStyle w:val="awspan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Vzhľadom</w:t>
            </w:r>
            <w:r w:rsidRPr="00A13802">
              <w:rPr>
                <w:rStyle w:val="awsp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na</w:t>
            </w:r>
            <w:r w:rsidRPr="00A13802">
              <w:rPr>
                <w:rStyle w:val="awsp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charakter</w:t>
            </w:r>
            <w:r w:rsidRPr="00A13802">
              <w:rPr>
                <w:rStyle w:val="awsp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navrhovanej právnej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úpravy v čl. I a čl. II</w:t>
            </w:r>
            <w:r>
              <w:rPr>
                <w:rStyle w:val="awspan"/>
                <w:color w:val="000000"/>
                <w:sz w:val="20"/>
                <w:szCs w:val="20"/>
              </w:rPr>
              <w:t>I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.,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Ministerstvo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obrany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Slovenskej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republiky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zatiaľ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nemá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pre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účely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identifikovania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vplyvov</w:t>
            </w:r>
            <w:r w:rsidRPr="00A13802">
              <w:rPr>
                <w:rStyle w:val="awsp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>na rozpočet verejnej správy k dispozícií relevantné zdroje (štatistiky, prieskumy a pod.).</w:t>
            </w:r>
          </w:p>
          <w:p w:rsidR="00881C5D" w:rsidRPr="00A13802" w:rsidRDefault="00881C5D" w:rsidP="00D64127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K čl. IV</w:t>
            </w:r>
            <w:r w:rsidRPr="00A13802">
              <w:rPr>
                <w:rFonts w:eastAsia="Times New Roman"/>
                <w:bCs/>
                <w:sz w:val="20"/>
                <w:szCs w:val="20"/>
              </w:rPr>
              <w:t xml:space="preserve"> uvádzame:</w:t>
            </w:r>
          </w:p>
          <w:p w:rsidR="00881C5D" w:rsidRPr="009827E5" w:rsidRDefault="00881C5D" w:rsidP="00E422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</w:t>
            </w:r>
            <w:r w:rsidRPr="00A13802">
              <w:rPr>
                <w:rFonts w:eastAsia="Times New Roman"/>
                <w:bCs/>
                <w:sz w:val="20"/>
                <w:szCs w:val="20"/>
              </w:rPr>
              <w:t xml:space="preserve">Pri výpočte výdavkov na vyhotovenie osobnej identifikačnej karty sa vychádzalo z odhadovaných nákladov na jednu osobnú identifikačnú kartu pri predpokladanom počte 150 vojakov dobrovoľnej vojenskej prípravy. </w:t>
            </w:r>
            <w:r w:rsidRPr="00A13802">
              <w:rPr>
                <w:rStyle w:val="awspan"/>
                <w:color w:val="000000"/>
                <w:sz w:val="20"/>
                <w:szCs w:val="20"/>
              </w:rPr>
              <w:t xml:space="preserve">Pri výpočte výdavkov na zavedenie vyplácania náhrady cestovných výdavkov </w:t>
            </w:r>
            <w:r w:rsidRPr="00A13802">
              <w:rPr>
                <w:rFonts w:eastAsia="Times New Roman"/>
                <w:bCs/>
                <w:sz w:val="20"/>
                <w:szCs w:val="20"/>
              </w:rPr>
              <w:t xml:space="preserve">sa vychádzalo z priemerných výdavkov na jedného profesionálneho vojaka podľa § 198 zákona č. 281/2015 Z. z. o štátnej službe profesionálnych vojakov a o zmene a doplnení niektorých zákonov v znení neskorších predpisov. </w:t>
            </w:r>
          </w:p>
        </w:tc>
      </w:tr>
      <w:tr w:rsidR="00881C5D" w:rsidRPr="009827E5" w:rsidTr="00D641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hideMark/>
          </w:tcPr>
          <w:p w:rsidR="00881C5D" w:rsidRPr="009827E5" w:rsidRDefault="00881C5D" w:rsidP="00D64127">
            <w:pPr>
              <w:pStyle w:val="Odsekzoznamu"/>
              <w:numPr>
                <w:ilvl w:val="0"/>
                <w:numId w:val="7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9827E5">
              <w:rPr>
                <w:rFonts w:ascii="Times New Roman" w:hAnsi="Times New Roman"/>
                <w:b/>
              </w:rPr>
              <w:lastRenderedPageBreak/>
              <w:t>Stanovisko Komisie pre posudzovanie vybraných vplyvov z PPK</w:t>
            </w:r>
          </w:p>
        </w:tc>
      </w:tr>
      <w:tr w:rsidR="00881C5D" w:rsidRPr="009827E5" w:rsidTr="00D64127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454" w:rsidRDefault="00881C5D" w:rsidP="00634C90">
            <w:pPr>
              <w:rPr>
                <w:i/>
                <w:sz w:val="20"/>
                <w:szCs w:val="20"/>
              </w:rPr>
            </w:pPr>
            <w:r w:rsidRPr="009827E5">
              <w:rPr>
                <w:i/>
                <w:sz w:val="20"/>
                <w:szCs w:val="20"/>
              </w:rPr>
              <w:t>Uveďte stanovisko Komisie pre posudzovanie vybraných vplyvov, ktoré Vám bolo zaslané v rámci pred</w:t>
            </w:r>
            <w:r w:rsidR="00634C90">
              <w:rPr>
                <w:i/>
                <w:sz w:val="20"/>
                <w:szCs w:val="20"/>
              </w:rPr>
              <w:t>bežného pripomienkového konania</w:t>
            </w:r>
          </w:p>
          <w:p w:rsidR="00634C90" w:rsidRDefault="00634C90" w:rsidP="00634C90">
            <w:pPr>
              <w:rPr>
                <w:i/>
                <w:sz w:val="20"/>
                <w:szCs w:val="20"/>
              </w:rPr>
            </w:pPr>
          </w:p>
          <w:p w:rsidR="000A4454" w:rsidRPr="00634C90" w:rsidRDefault="00634C90" w:rsidP="00634C90">
            <w:pPr>
              <w:rPr>
                <w:sz w:val="20"/>
                <w:szCs w:val="20"/>
                <w:u w:val="single"/>
              </w:rPr>
            </w:pPr>
            <w:r w:rsidRPr="00634C90">
              <w:rPr>
                <w:b/>
                <w:sz w:val="20"/>
                <w:szCs w:val="20"/>
                <w:u w:val="single"/>
              </w:rPr>
              <w:t>Stanovisko komisie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0A4454" w:rsidRPr="000A4454" w:rsidRDefault="000A4454" w:rsidP="000A4454">
            <w:pPr>
              <w:jc w:val="both"/>
              <w:rPr>
                <w:b/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 xml:space="preserve">I. Úvod: </w:t>
            </w:r>
            <w:r w:rsidRPr="000A4454">
              <w:rPr>
                <w:bCs/>
                <w:sz w:val="20"/>
                <w:szCs w:val="20"/>
              </w:rPr>
              <w:t>Ministerstvo obrany Slovenskej republiky dňa 3. júla 2019 predložilo Stálej pracovnej komisii na posudzovanie vybraných vplyvov (ďalej len „Komisia“) na predbežné pripomienkové konanie materiál: „</w:t>
            </w:r>
            <w:r w:rsidRPr="000A4454">
              <w:rPr>
                <w:i/>
                <w:iCs/>
                <w:sz w:val="20"/>
                <w:szCs w:val="20"/>
              </w:rPr>
              <w:t>Návrh zákona, ktorým sa mení a dopĺňa zákon č. 321/2002 Z. z. o ozbrojených silách Slovenskej republiky v znení neskorších predpisov a o zmene a doplnení niektorých zákonov“</w:t>
            </w:r>
            <w:r w:rsidRPr="000A4454">
              <w:rPr>
                <w:iCs/>
                <w:sz w:val="20"/>
                <w:szCs w:val="20"/>
              </w:rPr>
              <w:t>, spolu so žiadosťou o skrátenie PPK. Komisia tejto žiadosti vyhovela. Materiál predpokladá negatívne vplyvy na rozpočet verejnej správy, ktoré sú rozpočtovo zabezpečené.</w:t>
            </w:r>
          </w:p>
          <w:p w:rsidR="000A4454" w:rsidRPr="000A4454" w:rsidRDefault="000A4454" w:rsidP="000A445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>II. P</w:t>
            </w:r>
            <w:r w:rsidRPr="000A4454">
              <w:rPr>
                <w:b/>
                <w:sz w:val="20"/>
                <w:szCs w:val="20"/>
              </w:rPr>
              <w:t>r</w:t>
            </w:r>
            <w:r w:rsidRPr="000A4454">
              <w:rPr>
                <w:b/>
                <w:bCs/>
                <w:sz w:val="20"/>
                <w:szCs w:val="20"/>
              </w:rPr>
              <w:t>ipomienky a návrhy zm</w:t>
            </w:r>
            <w:r w:rsidRPr="000A4454">
              <w:rPr>
                <w:b/>
                <w:sz w:val="20"/>
                <w:szCs w:val="20"/>
              </w:rPr>
              <w:t>ie</w:t>
            </w:r>
            <w:r w:rsidRPr="000A4454">
              <w:rPr>
                <w:b/>
                <w:bCs/>
                <w:sz w:val="20"/>
                <w:szCs w:val="20"/>
              </w:rPr>
              <w:t xml:space="preserve">n: </w:t>
            </w:r>
            <w:r w:rsidRPr="000A4454">
              <w:rPr>
                <w:bCs/>
                <w:sz w:val="20"/>
                <w:szCs w:val="20"/>
              </w:rPr>
              <w:t>Komisia uplatňuje k materiálu nasledovné pripomienky ani odporúčania:</w:t>
            </w:r>
          </w:p>
          <w:p w:rsidR="000A4454" w:rsidRPr="000A4454" w:rsidRDefault="000A4454" w:rsidP="000A445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jc w:val="both"/>
              <w:rPr>
                <w:b/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>K vplyvom na rozpočet verejnej správy</w:t>
            </w: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  <w:r w:rsidRPr="000A4454">
              <w:rPr>
                <w:bCs/>
                <w:sz w:val="20"/>
                <w:szCs w:val="20"/>
              </w:rPr>
              <w:t xml:space="preserve">Podľa doložky vybraných vplyvov má návrh negatívne, rozpočtovo zabezpečené vplyvy. V bode 10. Poznámky predkladateľ uvádza, že „vplyv na rozpočet verejnej správy v súvislosti s vysielaním ozbrojených síl v rámci plnenia záväzkov z medzinárodných zmlúv, ktorými je SR viazaná aj  na iné účely, aké sú v súčasnosti stanovené, je možné identifikovať až v prípade reálneho plnenia záväzkov, ktoré budú predkladané na schválenie vláde SR alebo Národnej rade SR“ (vplyv Čl. I a Čl. III návrhu). </w:t>
            </w: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  <w:r w:rsidRPr="000A4454">
              <w:rPr>
                <w:bCs/>
                <w:sz w:val="20"/>
                <w:szCs w:val="20"/>
              </w:rPr>
              <w:t xml:space="preserve">V analýze vplyvov na rozpočet verejnej správy je kvantifikovaný negatívny vplyv od roku 2020 v sume 1 527 eur každoročne v súvislosti s vyhotovením osobnej identifikačnej kary vojaka dobrovoľnej vojenskej prípravy a náhrada cestovných výdavkov na návštevu rodiny (vplyv Čl. IV návrhu). Vplyv je uvedený ako zabezpečený v rámci programu 096 Obrana. </w:t>
            </w: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  <w:r w:rsidRPr="000A4454">
              <w:rPr>
                <w:bCs/>
                <w:sz w:val="20"/>
                <w:szCs w:val="20"/>
              </w:rPr>
              <w:t xml:space="preserve">V časti 2.1.1. Financovanie návrhu Komisia žiada uvedený text preformulovať nasledovne: „Negatívny vplyv na rozpočet verejnej správy vyplývajúci z predloženého návrhu bude v plnom rozsahu zabezpečený v rámci schválených limitov výdavkov kapitoly MO SR na príslušný rozpočtový rok, bez zvýšených požiadaviek na rozpočet verejnej správy“. </w:t>
            </w: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jc w:val="both"/>
              <w:rPr>
                <w:b/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>K sociálnym vplyvom</w:t>
            </w: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  <w:r w:rsidRPr="000A4454">
              <w:rPr>
                <w:bCs/>
                <w:sz w:val="20"/>
                <w:szCs w:val="20"/>
              </w:rPr>
              <w:t>Komisia odporúča predkladateľovi prehodnotiť predložené zhodnotenie sociálnych vplyvov, a to v súvislosti s návrhom preplácať vojakovi dobrovoľnej vojenskej prípravy cestovné výdavky pri návšteve rodiny. Identifikáciou sociálneho vplyvu v bode 9 doložky vybraných vplyvov sa povinnou súčasťou predloženého materiálu stáva analýza sociálnych vplyvov vypracovaná v súlade s Metodickým postupom pre analýzu sociálnych vplyvov (príloha č. 4 Jednotnej metodiky na posudzovanie vybraných vplyvov). Predmetný sociálny vplyv je potrebné zhodnotiť v bode 4.1 analýzy sociálnych vplyvov (vplyvy na hospodárenie dotknutých domácností); v tomto bode analýzy sociálnych vplyvov je potrebné uviesť opis hodnoteného návrhu opatrenia, špecifikáciu dotknutých skupín a kvalitatívne a pokiaľ možno aj kvantitatívne zhodnotenie jeho očakávaného sociálneho vplyvu.</w:t>
            </w:r>
          </w:p>
          <w:p w:rsidR="000A4454" w:rsidRPr="000A4454" w:rsidRDefault="000A4454" w:rsidP="000A445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jc w:val="both"/>
              <w:rPr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 xml:space="preserve">III. Záver: </w:t>
            </w:r>
            <w:r w:rsidRPr="000A4454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0A4454" w:rsidRPr="000A4454" w:rsidRDefault="000A4454" w:rsidP="000A445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>nesúhlasné stanovisko</w:t>
            </w:r>
          </w:p>
          <w:p w:rsidR="000A4454" w:rsidRPr="000A4454" w:rsidRDefault="000A4454" w:rsidP="000A4454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A4454">
              <w:rPr>
                <w:bCs/>
                <w:sz w:val="20"/>
                <w:szCs w:val="20"/>
              </w:rPr>
              <w:t>s materiálom predloženým na predbežné pripomienkové konanie s odporúčaním na jeho dopracovanie podľa pripomienok v bode II.</w:t>
            </w:r>
          </w:p>
          <w:p w:rsidR="000A4454" w:rsidRPr="000A4454" w:rsidRDefault="000A4454" w:rsidP="000A4454">
            <w:pPr>
              <w:rPr>
                <w:b/>
                <w:bCs/>
                <w:sz w:val="20"/>
                <w:szCs w:val="20"/>
              </w:rPr>
            </w:pPr>
          </w:p>
          <w:p w:rsidR="000A4454" w:rsidRPr="000A4454" w:rsidRDefault="000A4454" w:rsidP="000A4454">
            <w:pPr>
              <w:jc w:val="both"/>
              <w:rPr>
                <w:i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>IV. Poznámka:</w:t>
            </w:r>
            <w:r w:rsidRPr="000A4454">
              <w:rPr>
                <w:iCs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0A4454" w:rsidRPr="000A4454" w:rsidRDefault="000A4454" w:rsidP="000A4454">
            <w:pPr>
              <w:jc w:val="both"/>
              <w:rPr>
                <w:iCs/>
                <w:sz w:val="20"/>
                <w:szCs w:val="20"/>
              </w:rPr>
            </w:pPr>
          </w:p>
          <w:p w:rsidR="000A4454" w:rsidRPr="000A4454" w:rsidRDefault="000A4454" w:rsidP="000A4454">
            <w:pPr>
              <w:pStyle w:val="Zkladntext"/>
              <w:spacing w:after="0"/>
              <w:jc w:val="both"/>
              <w:rPr>
                <w:sz w:val="20"/>
                <w:szCs w:val="20"/>
              </w:rPr>
            </w:pPr>
            <w:r w:rsidRPr="000A4454">
              <w:rPr>
                <w:sz w:val="20"/>
                <w:szCs w:val="20"/>
              </w:rPr>
              <w:lastRenderedPageBreak/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0A4454" w:rsidRPr="000A4454" w:rsidRDefault="000A4454" w:rsidP="000A4454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  <w:sz w:val="20"/>
                <w:szCs w:val="20"/>
              </w:rPr>
            </w:pPr>
          </w:p>
          <w:p w:rsidR="00634C90" w:rsidRDefault="00634C90" w:rsidP="00634C90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634C90">
              <w:rPr>
                <w:b/>
                <w:bCs/>
                <w:sz w:val="20"/>
                <w:szCs w:val="20"/>
                <w:u w:val="single"/>
              </w:rPr>
              <w:t>Stanovisko predkladateľa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 pripomienkam </w:t>
            </w:r>
            <w:r w:rsidR="00676F35">
              <w:rPr>
                <w:b/>
                <w:bCs/>
                <w:sz w:val="20"/>
                <w:szCs w:val="20"/>
                <w:u w:val="single"/>
              </w:rPr>
              <w:t>K</w:t>
            </w:r>
            <w:r>
              <w:rPr>
                <w:b/>
                <w:bCs/>
                <w:sz w:val="20"/>
                <w:szCs w:val="20"/>
                <w:u w:val="single"/>
              </w:rPr>
              <w:t>omisie</w:t>
            </w:r>
            <w:r w:rsidRPr="00634C90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634C90" w:rsidRPr="00634C90" w:rsidRDefault="00634C90" w:rsidP="00634C90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904415" w:rsidRDefault="00676F35" w:rsidP="00D641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 vplyvom na rozpočet verejnej správy </w:t>
            </w:r>
          </w:p>
          <w:p w:rsidR="00676F35" w:rsidRPr="000A4454" w:rsidRDefault="00676F35" w:rsidP="00D64127">
            <w:pPr>
              <w:rPr>
                <w:b/>
                <w:sz w:val="20"/>
                <w:szCs w:val="20"/>
              </w:rPr>
            </w:pPr>
          </w:p>
          <w:p w:rsidR="005077C6" w:rsidRPr="00BF2ACB" w:rsidRDefault="00676F35" w:rsidP="005077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Pripomienka Komisie k časti 2.1.1. Financovanie návrhu  </w:t>
            </w:r>
            <w:r w:rsidR="005077C6">
              <w:rPr>
                <w:sz w:val="20"/>
                <w:szCs w:val="20"/>
              </w:rPr>
              <w:t>spočívajúca v žiadosti o </w:t>
            </w:r>
            <w:r>
              <w:rPr>
                <w:sz w:val="20"/>
                <w:szCs w:val="20"/>
              </w:rPr>
              <w:t>preformulova</w:t>
            </w:r>
            <w:r w:rsidR="005077C6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 text</w:t>
            </w:r>
            <w:r w:rsidR="005077C6">
              <w:rPr>
                <w:sz w:val="20"/>
                <w:szCs w:val="20"/>
              </w:rPr>
              <w:t xml:space="preserve">u navrhovaným spôsobom nebola akceptovaná. </w:t>
            </w:r>
            <w:r w:rsidR="005077C6" w:rsidRPr="001B3AB4">
              <w:rPr>
                <w:sz w:val="20"/>
                <w:szCs w:val="20"/>
              </w:rPr>
              <w:t>Vplyv na rozpočet verejnej správy v</w:t>
            </w:r>
            <w:r w:rsidR="005077C6">
              <w:rPr>
                <w:sz w:val="20"/>
                <w:szCs w:val="20"/>
              </w:rPr>
              <w:t> </w:t>
            </w:r>
            <w:r w:rsidR="005077C6" w:rsidRPr="001B3AB4">
              <w:rPr>
                <w:sz w:val="20"/>
                <w:szCs w:val="20"/>
              </w:rPr>
              <w:t>súvislosti</w:t>
            </w:r>
            <w:r w:rsidR="005077C6">
              <w:rPr>
                <w:sz w:val="20"/>
                <w:szCs w:val="20"/>
              </w:rPr>
              <w:t xml:space="preserve"> s </w:t>
            </w:r>
            <w:r>
              <w:rPr>
                <w:bCs/>
                <w:sz w:val="20"/>
                <w:szCs w:val="20"/>
              </w:rPr>
              <w:t>vysielan</w:t>
            </w:r>
            <w:r w:rsidR="005077C6">
              <w:rPr>
                <w:bCs/>
                <w:sz w:val="20"/>
                <w:szCs w:val="20"/>
              </w:rPr>
              <w:t xml:space="preserve">ím </w:t>
            </w:r>
            <w:r>
              <w:rPr>
                <w:bCs/>
                <w:sz w:val="20"/>
                <w:szCs w:val="20"/>
              </w:rPr>
              <w:t>ozbrojených síl  Slovenskej republiky</w:t>
            </w:r>
            <w:r w:rsidR="005077C6">
              <w:rPr>
                <w:bCs/>
                <w:sz w:val="20"/>
                <w:szCs w:val="20"/>
              </w:rPr>
              <w:t xml:space="preserve"> na plnenie záväzkov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77C6" w:rsidRPr="001B3AB4">
              <w:rPr>
                <w:sz w:val="20"/>
                <w:szCs w:val="20"/>
              </w:rPr>
              <w:t>z medzinárodných zmlúv, ktorými je Slovenská republika viazaná aj na iné účely, aké sú v súčasnosti stanovené, je možné identifikovať až v prí</w:t>
            </w:r>
            <w:r w:rsidR="005077C6">
              <w:rPr>
                <w:sz w:val="20"/>
                <w:szCs w:val="20"/>
              </w:rPr>
              <w:t xml:space="preserve">pade reálneho plnenia záväzkov. Materiál súvisiaci s plnením prípadného záväzku Slovenskej republiky bude predkladaný na schválenie vláde </w:t>
            </w:r>
            <w:r w:rsidR="005077C6" w:rsidRPr="00BF2ACB">
              <w:rPr>
                <w:sz w:val="20"/>
                <w:szCs w:val="20"/>
              </w:rPr>
              <w:t>Slovenskej republiky alebo Národnej rade Slovenskej republiky</w:t>
            </w:r>
            <w:r w:rsidR="005077C6">
              <w:rPr>
                <w:sz w:val="20"/>
                <w:szCs w:val="20"/>
              </w:rPr>
              <w:t xml:space="preserve"> vrátane doložky vybraných vplyvov, v rámci ktorej bude riešený aj spôsob financovania</w:t>
            </w:r>
            <w:r w:rsidR="005077C6" w:rsidRPr="00BF2ACB">
              <w:rPr>
                <w:sz w:val="20"/>
                <w:szCs w:val="20"/>
              </w:rPr>
              <w:t>.</w:t>
            </w:r>
          </w:p>
          <w:p w:rsidR="00904415" w:rsidRPr="000A4454" w:rsidRDefault="00904415" w:rsidP="00D64127">
            <w:pPr>
              <w:rPr>
                <w:b/>
                <w:sz w:val="20"/>
                <w:szCs w:val="20"/>
              </w:rPr>
            </w:pPr>
          </w:p>
          <w:p w:rsidR="00497391" w:rsidRPr="000A4454" w:rsidRDefault="00497391" w:rsidP="00497391">
            <w:pPr>
              <w:jc w:val="both"/>
              <w:rPr>
                <w:b/>
                <w:bCs/>
                <w:sz w:val="20"/>
                <w:szCs w:val="20"/>
              </w:rPr>
            </w:pPr>
            <w:r w:rsidRPr="000A4454">
              <w:rPr>
                <w:b/>
                <w:bCs/>
                <w:sz w:val="20"/>
                <w:szCs w:val="20"/>
              </w:rPr>
              <w:t>K sociálnym vplyvom</w:t>
            </w:r>
          </w:p>
          <w:p w:rsidR="00904415" w:rsidRPr="00497391" w:rsidRDefault="00497391" w:rsidP="00497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Pripomienka Komisie k doplneniu zhodnotenia sociálnych vplyvov bola akceptovaná. V doložke vybraných vplyvov v bode 9 bol identifikovaný pozitívny sociálny vplyv a súčasne sa  doplnila analýza sociálnych vplyvov.  </w:t>
            </w:r>
          </w:p>
          <w:p w:rsidR="00904415" w:rsidRPr="000A4454" w:rsidRDefault="00904415" w:rsidP="00D64127">
            <w:pPr>
              <w:rPr>
                <w:b/>
                <w:sz w:val="20"/>
                <w:szCs w:val="20"/>
              </w:rPr>
            </w:pPr>
          </w:p>
          <w:p w:rsidR="00904415" w:rsidRPr="000A4454" w:rsidRDefault="00904415" w:rsidP="00D64127">
            <w:pPr>
              <w:rPr>
                <w:b/>
                <w:sz w:val="20"/>
                <w:szCs w:val="20"/>
              </w:rPr>
            </w:pPr>
          </w:p>
          <w:p w:rsidR="00904415" w:rsidRPr="009827E5" w:rsidRDefault="00904415" w:rsidP="00D64127">
            <w:pPr>
              <w:rPr>
                <w:b/>
                <w:sz w:val="20"/>
                <w:szCs w:val="20"/>
              </w:rPr>
            </w:pPr>
          </w:p>
        </w:tc>
      </w:tr>
    </w:tbl>
    <w:p w:rsidR="00881C5D" w:rsidRDefault="00881C5D" w:rsidP="00881C5D">
      <w:pPr>
        <w:spacing w:after="160" w:line="259" w:lineRule="auto"/>
        <w:rPr>
          <w:rFonts w:eastAsia="Times New Roman"/>
          <w:b/>
          <w:bCs/>
          <w:szCs w:val="28"/>
          <w:lang w:eastAsia="sk-SK"/>
        </w:rPr>
      </w:pPr>
    </w:p>
    <w:sectPr w:rsidR="00881C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01" w:rsidRDefault="00EA4901">
      <w:r>
        <w:separator/>
      </w:r>
    </w:p>
  </w:endnote>
  <w:endnote w:type="continuationSeparator" w:id="0">
    <w:p w:rsidR="00EA4901" w:rsidRDefault="00EA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20520"/>
      <w:docPartObj>
        <w:docPartGallery w:val="Page Numbers (Bottom of Page)"/>
        <w:docPartUnique/>
      </w:docPartObj>
    </w:sdtPr>
    <w:sdtEndPr/>
    <w:sdtContent>
      <w:p w:rsidR="00D3629F" w:rsidRDefault="00D3629F" w:rsidP="00D641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7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01" w:rsidRDefault="00EA4901">
      <w:r>
        <w:separator/>
      </w:r>
    </w:p>
  </w:footnote>
  <w:footnote w:type="continuationSeparator" w:id="0">
    <w:p w:rsidR="00EA4901" w:rsidRDefault="00EA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F548E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5D47B5"/>
    <w:multiLevelType w:val="hybridMultilevel"/>
    <w:tmpl w:val="C51C7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4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3131B"/>
    <w:multiLevelType w:val="hybridMultilevel"/>
    <w:tmpl w:val="2B108BC8"/>
    <w:lvl w:ilvl="0" w:tplc="35FEC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80C71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70862"/>
    <w:multiLevelType w:val="hybridMultilevel"/>
    <w:tmpl w:val="D86E9A6E"/>
    <w:lvl w:ilvl="0" w:tplc="041B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F5EF8"/>
    <w:multiLevelType w:val="hybridMultilevel"/>
    <w:tmpl w:val="669A8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31D5B"/>
    <w:multiLevelType w:val="hybridMultilevel"/>
    <w:tmpl w:val="E1AC1A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22CC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B451F"/>
    <w:multiLevelType w:val="hybridMultilevel"/>
    <w:tmpl w:val="C51C7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CB"/>
    <w:multiLevelType w:val="hybridMultilevel"/>
    <w:tmpl w:val="6CDE04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5"/>
  </w:num>
  <w:num w:numId="18">
    <w:abstractNumId w:val="6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D"/>
    <w:rsid w:val="00012E48"/>
    <w:rsid w:val="000177FE"/>
    <w:rsid w:val="000244C0"/>
    <w:rsid w:val="000A4454"/>
    <w:rsid w:val="001A7116"/>
    <w:rsid w:val="001C6A16"/>
    <w:rsid w:val="002062D9"/>
    <w:rsid w:val="0021647F"/>
    <w:rsid w:val="00271132"/>
    <w:rsid w:val="0028125B"/>
    <w:rsid w:val="0034785A"/>
    <w:rsid w:val="003C5694"/>
    <w:rsid w:val="003F4DA7"/>
    <w:rsid w:val="00457E1F"/>
    <w:rsid w:val="00486CA5"/>
    <w:rsid w:val="00497391"/>
    <w:rsid w:val="004C114C"/>
    <w:rsid w:val="004F1E6F"/>
    <w:rsid w:val="004F484C"/>
    <w:rsid w:val="005077C6"/>
    <w:rsid w:val="00607602"/>
    <w:rsid w:val="00631E8C"/>
    <w:rsid w:val="00634C90"/>
    <w:rsid w:val="00676F35"/>
    <w:rsid w:val="006913C6"/>
    <w:rsid w:val="006B6CF0"/>
    <w:rsid w:val="006D3C09"/>
    <w:rsid w:val="007E75DA"/>
    <w:rsid w:val="00807B28"/>
    <w:rsid w:val="00822071"/>
    <w:rsid w:val="00863F99"/>
    <w:rsid w:val="00881C5D"/>
    <w:rsid w:val="00886908"/>
    <w:rsid w:val="00892877"/>
    <w:rsid w:val="008B74AC"/>
    <w:rsid w:val="008E6D0E"/>
    <w:rsid w:val="008F1D21"/>
    <w:rsid w:val="00904415"/>
    <w:rsid w:val="00914357"/>
    <w:rsid w:val="00967C0A"/>
    <w:rsid w:val="0097726A"/>
    <w:rsid w:val="009A434D"/>
    <w:rsid w:val="00A64FF8"/>
    <w:rsid w:val="00A940EB"/>
    <w:rsid w:val="00B04833"/>
    <w:rsid w:val="00B43E70"/>
    <w:rsid w:val="00B74460"/>
    <w:rsid w:val="00B90B8D"/>
    <w:rsid w:val="00BE75CC"/>
    <w:rsid w:val="00C4313A"/>
    <w:rsid w:val="00D02474"/>
    <w:rsid w:val="00D13FF6"/>
    <w:rsid w:val="00D3629F"/>
    <w:rsid w:val="00D64127"/>
    <w:rsid w:val="00E422B4"/>
    <w:rsid w:val="00EA4901"/>
    <w:rsid w:val="00F07C87"/>
    <w:rsid w:val="00F25F17"/>
    <w:rsid w:val="00F63734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36EA8-7D12-4412-B675-FB91577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C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1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81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881C5D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881C5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81C5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81C5D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81C5D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81C5D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C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1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81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81C5D"/>
    <w:rPr>
      <w:rFonts w:ascii="Calibri" w:eastAsia="Calibri" w:hAnsi="Calibri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881C5D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881C5D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881C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881C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881C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88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semiHidden/>
    <w:rsid w:val="00881C5D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1C5D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881C5D"/>
    <w:pPr>
      <w:ind w:left="720"/>
    </w:pPr>
    <w:rPr>
      <w:rFonts w:ascii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881C5D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81C5D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881C5D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10"/>
    <w:rsid w:val="00881C5D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881C5D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qFormat/>
    <w:rsid w:val="00881C5D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qFormat/>
    <w:rsid w:val="00881C5D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qFormat/>
    <w:rsid w:val="00881C5D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881C5D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881C5D"/>
    <w:pPr>
      <w:spacing w:before="480" w:after="120"/>
    </w:pPr>
    <w:rPr>
      <w:b/>
      <w:bCs/>
      <w:sz w:val="32"/>
      <w:szCs w:val="32"/>
      <w:lang w:eastAsia="cs-CZ"/>
    </w:rPr>
  </w:style>
  <w:style w:type="character" w:styleId="Zstupntext">
    <w:name w:val="Placeholder Text"/>
    <w:basedOn w:val="Predvolenpsmoodseku"/>
    <w:uiPriority w:val="99"/>
    <w:semiHidden/>
    <w:rsid w:val="00881C5D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81C5D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881C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C5D"/>
    <w:rPr>
      <w:rFonts w:ascii="Times New Roman" w:eastAsia="Calibri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1C5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1C5D"/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881C5D"/>
    <w:rPr>
      <w:rFonts w:ascii="Calibri" w:eastAsia="Calibri" w:hAnsi="Calibri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881C5D"/>
    <w:rPr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881C5D"/>
    <w:pPr>
      <w:ind w:left="721" w:hanging="437"/>
    </w:pPr>
    <w:rPr>
      <w:rFonts w:asciiTheme="minorHAnsi" w:eastAsiaTheme="minorHAnsi" w:hAnsiTheme="minorHAnsi" w:cstheme="minorBidi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81C5D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C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C5D"/>
    <w:rPr>
      <w:rFonts w:ascii="Segoe UI" w:eastAsia="Calibr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881C5D"/>
  </w:style>
  <w:style w:type="paragraph" w:styleId="Bezriadkovania">
    <w:name w:val="No Spacing"/>
    <w:uiPriority w:val="99"/>
    <w:qFormat/>
    <w:rsid w:val="00881C5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1a">
    <w:name w:val="h1a"/>
    <w:basedOn w:val="Predvolenpsmoodseku"/>
    <w:rsid w:val="00881C5D"/>
  </w:style>
  <w:style w:type="paragraph" w:customStyle="1" w:styleId="Default">
    <w:name w:val="Default"/>
    <w:rsid w:val="00881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DUBOVSKY@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SVIHORIK@mo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MPK_doložka-vybraných-vplyvov-a-analýzy-vplyvov"/>
    <f:field ref="objsubject" par="" edit="true" text=""/>
    <f:field ref="objcreatedby" par="" text="Benovičová, Silvia"/>
    <f:field ref="objcreatedat" par="" text="16.7.2019 9:14:55"/>
    <f:field ref="objchangedby" par="" text="Administrator, System"/>
    <f:field ref="objmodifiedat" par="" text="16.7.2019 9:14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14</cp:revision>
  <cp:lastPrinted>2019-09-04T07:06:00Z</cp:lastPrinted>
  <dcterms:created xsi:type="dcterms:W3CDTF">2019-08-15T12:43:00Z</dcterms:created>
  <dcterms:modified xsi:type="dcterms:W3CDTF">2019-09-04T07:10:00Z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 &amp;nbsp; &amp;nbsp;&amp;nbsp; Verejnosť bola o&amp;nbsp;príprave návrhu zákona, ktorým sa mení a dopĺňa zákon č. 321/2002 Z. z. o ozbrojených silách Slovenskej republiky v znení neskorších predpisov a&amp;nbsp;o&amp;nbsp;zmene a&amp;nbsp;dopl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 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SELP-OdL-111/2019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LP/2019/544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4. 7. 2019</vt:lpwstr>
  </property>
  <property fmtid="{D5CDD505-2E9C-101B-9397-08002B2CF9AE}" pid="59" name="FSC#SKEDITIONSLOVLEX@103.510:AttrDateDocPropUkonceniePKK">
    <vt:lpwstr>10. 7. 2019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justify;"&gt;&amp;nbsp;&lt;/p&gt;&lt;p style="text-align: justify;"&gt;&amp;nbsp; &amp;nbsp; &amp;nbsp;&amp;nbsp; Vplyv na rozpočet verejnej správy v&amp;nbsp;súvislosti s vysielaním ozbrojených síl v&amp;nbsp;rámci plnenia záväzkov z&amp;nbsp;medzinárodných zmlúv, ktorými je Slo</vt:lpwstr>
  </property>
  <property fmtid="{D5CDD505-2E9C-101B-9397-08002B2CF9AE}" pid="66" name="FSC#SKEDITIONSLOVLEX@103.510:AttrStrListDocPropAltRiesenia">
    <vt:lpwstr>Pri spracúvaní návrhu zákona neboli posudzované žiadne alternatívne riešenia. </vt:lpwstr>
  </property>
  <property fmtid="{D5CDD505-2E9C-101B-9397-08002B2CF9AE}" pid="67" name="FSC#SKEDITIONSLOVLEX@103.510:AttrStrListDocPropStanoviskoGest">
    <vt:lpwstr>&lt;p style="text-align: justify;"&gt;&amp;nbsp;&lt;/p&gt;&lt;p style="text-align: justify;"&gt;&lt;strong&gt;&lt;u&gt;Stanovisko komisie:&lt;/u&gt;&lt;/strong&gt;&lt;/p&gt;&lt;p style="text-align: justify;"&gt;&lt;strong&gt;I. Úvod: &lt;/strong&gt;Ministerstvo obrany Slovenskej republiky dňa&amp;nbsp;3.&amp;nbsp;júla 2019 predloži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justify;"&gt;&amp;nbsp; &amp;nbsp;&amp;nbsp; Návrh zákona, ktorým sa mení&amp;nbsp; a&amp;nbsp;dopĺňa zákon č. 321/2002 Z. z. o&amp;nbsp;ozbrojených silách Slovenskej republiky v&amp;nbsp;znení neskorších predpisov a&amp;nbsp;</vt:lpwstr>
  </property>
  <property fmtid="{D5CDD505-2E9C-101B-9397-08002B2CF9AE}" pid="150" name="FSC#SKEDITIONSLOVLEX@103.510:vytvorenedna">
    <vt:lpwstr>16. 7. 2019</vt:lpwstr>
  </property>
  <property fmtid="{D5CDD505-2E9C-101B-9397-08002B2CF9AE}" pid="151" name="FSC#COOSYSTEM@1.1:Container">
    <vt:lpwstr>COO.2145.1000.3.3496484</vt:lpwstr>
  </property>
  <property fmtid="{D5CDD505-2E9C-101B-9397-08002B2CF9AE}" pid="152" name="FSC#FSCFOLIO@1.1001:docpropproject">
    <vt:lpwstr/>
  </property>
</Properties>
</file>