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42B4A" w:rsidRDefault="00A42B4A">
      <w:pPr>
        <w:jc w:val="center"/>
        <w:divId w:val="2009477558"/>
        <w:rPr>
          <w:rFonts w:ascii="Times" w:hAnsi="Times" w:cs="Times"/>
          <w:sz w:val="25"/>
          <w:szCs w:val="25"/>
        </w:rPr>
      </w:pPr>
      <w:r>
        <w:rPr>
          <w:rFonts w:ascii="Times" w:hAnsi="Times" w:cs="Times"/>
          <w:sz w:val="25"/>
          <w:szCs w:val="25"/>
        </w:rPr>
        <w:t>Nariadenie vlády Slovenskej republiky o metodike na výpočet podielu uznaného športu na rok 2020</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2B4A" w:rsidP="00A42B4A">
            <w:pPr>
              <w:spacing w:after="0" w:line="240" w:lineRule="auto"/>
              <w:rPr>
                <w:rFonts w:ascii="Times New Roman" w:hAnsi="Times New Roman" w:cs="Calibri"/>
                <w:sz w:val="20"/>
                <w:szCs w:val="20"/>
              </w:rPr>
            </w:pPr>
            <w:r>
              <w:rPr>
                <w:rFonts w:ascii="Times" w:hAnsi="Times" w:cs="Times"/>
                <w:sz w:val="25"/>
                <w:szCs w:val="25"/>
              </w:rPr>
              <w:t>15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2B4A" w:rsidP="00A42B4A">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42B4A" w:rsidP="00A42B4A">
            <w:pPr>
              <w:spacing w:after="0" w:line="240" w:lineRule="auto"/>
              <w:rPr>
                <w:rFonts w:ascii="Times New Roman" w:hAnsi="Times New Roman" w:cs="Calibri"/>
                <w:sz w:val="20"/>
                <w:szCs w:val="20"/>
              </w:rPr>
            </w:pPr>
            <w:r>
              <w:rPr>
                <w:rFonts w:ascii="Times" w:hAnsi="Times" w:cs="Times"/>
                <w:sz w:val="25"/>
                <w:szCs w:val="25"/>
              </w:rPr>
              <w:t>12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42B4A" w:rsidP="00A42B4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42B4A" w:rsidP="00A42B4A">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42B4A" w:rsidRDefault="00A42B4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42B4A">
        <w:trPr>
          <w:divId w:val="44230551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Vôbec nezaslali</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Učená právnická spoločnosť, o. 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zväz hádzanej</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Slovenský paralympijský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Slovenská plavecká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x</w:t>
            </w:r>
          </w:p>
        </w:tc>
      </w:tr>
      <w:tr w:rsidR="00A42B4A">
        <w:trPr>
          <w:divId w:val="442305517"/>
          <w:jc w:val="center"/>
        </w:trPr>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2B4A" w:rsidRDefault="00A42B4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42B4A" w:rsidRDefault="00A42B4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Spôsob vyhodnotenia</w:t>
            </w: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 xml:space="preserve">K prílohe č. 2 (vzorec č. 2c) </w:t>
            </w:r>
            <w:r>
              <w:rPr>
                <w:rFonts w:ascii="Times" w:hAnsi="Times" w:cs="Times"/>
                <w:sz w:val="25"/>
                <w:szCs w:val="25"/>
              </w:rPr>
              <w:br/>
              <w:t xml:space="preserve">Navrhujeme vo vzorci č. 2c v prílohe č. 2 sumu „15 000 eur” nahradiť sumou „30 000 eur”. Odôvodnenie: Na to, aby športový zväz získal a udržal si status uznaného národného športového zväzu, musí splniť a priebežne dodržiavať viaceré zákonom ustanovené podmienky /§ 16 ods. 1 zákona č. 440/2015 Z. z. o športe a o zmene a doplnení niektorých zákonov (ďalej len „zákon o športe“)/, napríklad byť členom medzinárodnej športovej organizácie s celosvetovou pôsobnosťou pre príslušný šport; mať najmenej päť súťažiacich športových klubov registrovaných v registri právnických osôb v športe a najmenej 100 aktívnych športovcov registrovaných za športový klub v registri fyzických osôb v športe; organizovať celoštátnu súťaž dospelých a celoštátnu súťaž mládeže najmenej dva po sebe nasledujúce roky; zabezpečovať výber a prípravu športovcov do športovej reprezentácie a ich účasť na medzinárodných súťažiach a zabezpečovať starostlivosť o talentovaných športovcov. Po splnení týchto podmienok a uznaní za národný športový zväz musí následne takýto národný športový zväz spĺňať zákonom ustanovené podmienky podľa § 16 ods. 1 a priebežne dlhodobo plniť mnohé povinnosti najmä podľa § 16 ods. 2, § 17 ods. 2 zákona o športe, mať predpisy v súlade s § 19 až § 23 zákona o </w:t>
            </w:r>
            <w:r>
              <w:rPr>
                <w:rFonts w:ascii="Times" w:hAnsi="Times" w:cs="Times"/>
                <w:sz w:val="25"/>
                <w:szCs w:val="25"/>
              </w:rPr>
              <w:lastRenderedPageBreak/>
              <w:t xml:space="preserve">športe, viesť zdrojovú evidenciu zväzu a zverejňovať údaje podľa § 17 ods. 1 zákona o športe na webovom sídle a v informačnom systéme športu, viesť výkazníctvo použitia verejných prostriedkov atď., aby si udržal status národného športového zväzu a spôsobilosť prijímateľa verejných prostriedkov. To všetko je nevyhnutným predpokladom toho, aby národný športový zväz mohol každoročne získať zákonom garantovaný príspevok uznanému športu vo výške vypočítanej podľa vzorca a uchádzať sa prípadne aj o dotácie a iné formy podpory športu z verejných prostriedkov. Pritom možnosť použitia príspevku uznanému športu na správu a prevádzku národného športového zväzu zákon o športe v § 69 ods. 6 limituje výškou 15% z ročných príjmov národného športového zväzu z príspevku uznanému športu, t. j. z 15 000 eur môže národný športový zväz použiť na svoju prevádzku najviac 2 250 eur, čo je nedostačujúca suma na riadne zabezpečenie priebežného plnenia všetkých zákonných povinností a úloh národného športového zväzu. Okrem toho národný športový zväz plní ďalšie bežné úlohy športových zväzov, ako napríklad účasť na zasadnutiach medzinárodnej športovej asociácie/federácie príslušného športu, príprava a organizovanie zasadnutí najvyšších orgánov zväzu v súlade s minimálnymi požiadavkami podľa zákona o športe, plnenie rôznych administratívnych povinností zodpovednou osobou, komunikácia s členmi zväzu, starostlivosť o kluby a ďalších svojich členov. Všetky vyššie uvedené činnosti si vyžadujú zvýšenú administratívnu náročnosť a kvalifikovaný personál, preto navrhujeme výšku minimálnej sumy príspevku uznanému športu pre športové zväzy, ktoré splnili podmienky podľa § 16 </w:t>
            </w:r>
            <w:r>
              <w:rPr>
                <w:rFonts w:ascii="Times" w:hAnsi="Times" w:cs="Times"/>
                <w:sz w:val="25"/>
                <w:szCs w:val="25"/>
              </w:rPr>
              <w:lastRenderedPageBreak/>
              <w:t xml:space="preserve">ods. 1 a boli uznané postupom podľa § 59 zákona o športe za národný športový zväz, zvýšiť na 30 000 eur. Uvedené opatrenie sa (podľa výpočtu príspevku uznanému športu na rok 2019) pozitívne dotkne 12 národných športových zväzov (americký futbal, boule lyonnaise, wushu, korfbal, pétanque, thajský box, rugby, skialpinizmus, squash, bridž, dráhový golf, vodný motorizmus), respektíve len 11, nakoľko bridge, ktorý po zavedení definície „športu” do § 3 písm. t) zákona o športe s účinnosťou od 1. januára 2017 nespĺňa pojmové znaky „športu”. Uvedené potvrdil fakticky aj Súdny dvor Európskej únie, ktorý vo veci C-90/16 posudzoval prejudiciálnu otázku, či „športový bridge” spadá pod pojem „šport” na účely čl. 132 ods. 1 písm. m) smernice Rady 2006/112/ES z 28. novembra 2006 o spoločnom systéme dane z pridanej hodnoty. Rozsudok Súdneho dvora (štvrtá komora) z 26. októbra 2017 v tejto veci uviedol jednoznačný výklad, že „činnosť, akou je športový bridž, ktorá vykazuje na pohľad zanedbateľný fyzický prvok, nespadá pod pojem „šport“ v zmysle tohto ustanovenia”. Sekcia športu ministerstva školstva však na uvedenú zmenu právnej úpravy doposiaľ nereagovala, v dôsledku čoho sa javí byť pokračujúca podpora bridžu ako „športu” /hoci nenapĺňa pojmové znaky športu podľa jeho definície v § 3 písm. t) zákona o športe/ zo štátnych prostriedkov prostredníctvom príspevku uznanému športu ako porušovanie zákona zo strany ministerstva školstva. Minuloročné zvýšenie minimálnej sumy z 5 000 eur (do roku 2018) na 15 000 eur (v roku 2019) nepovažujeme z vyššie uvedených dôvodov za dostatočné. Ako podstatne vhodnejšie, vyváženejšie a systémovejšie riešenie oproti vyššie navrhovanej </w:t>
            </w:r>
            <w:r>
              <w:rPr>
                <w:rFonts w:ascii="Times" w:hAnsi="Times" w:cs="Times"/>
                <w:sz w:val="25"/>
                <w:szCs w:val="25"/>
              </w:rPr>
              <w:lastRenderedPageBreak/>
              <w:t xml:space="preserve">zmene v prílohe č. 2 návrhu nariadenia vlády Slovenskej republiky (zvýšenie garantovanej minimálnej výšky príspevku uznanému športu z 15 000 eur na 30 000 eur), ktoré by si však vyžadovalo vykonanie legislatívnej zmeny v zákone o športe (aktuálne je taktiež v medzirezortnom pripomienkovom konaní), dávame alternatívne na zváženie možnosť zaviesť v rámci príspevku uznanému športu položku tzv. „administratívny paušál” garantovaný pre všetky národné športové zväzy v rovnakej výške. Tento administratívny paušál by slúžil výhradne na zabezpečenie plnenia základných úloh a povinností národného športového zväzu ustanovených v zákone o športe, pričom na túto položku by sa nevzťahoval limit uvedený v § 69 ods. 6 zákona o športe (t. j. možnosť použiť najviac 15% z príspevku uznanému športu na správu a prevádzku národného športového zväzu), ktorého výška je neprimerane nízka aj vzhľadom na rozsah činností a úloh zabezpečovaných národnými športovými zväzmi podľa zákona o športe. Obzvlášť pri národných športových zväzoch s nižšou nominálnou hodnotou príspevku uznanému športu, z ktorého 15% (maximálny limit podľa platnej právnej úpravy) nemôže postačovať ani na pokrytie základných personálnych, organizačno-technických či administratívnych nákladov, nevyhnutných na plnenie zákonom zverených úloh a povinností národného športového zväzu. Ak zákon o športe na jednej strane uložil národným športovým zväzom plnenie značného rozsahu úloh a povinností, ktorých plnenie je pod sankciou straty spôsobilosti prijímateľa verejných prostriedkov, na strane druhej je primerané a spravodlivé očakávať a vyžadovať, aby štát vytvoril priaznivé podmienky aj na to, aby národné športové </w:t>
            </w:r>
            <w:r>
              <w:rPr>
                <w:rFonts w:ascii="Times" w:hAnsi="Times" w:cs="Times"/>
                <w:sz w:val="25"/>
                <w:szCs w:val="25"/>
              </w:rPr>
              <w:lastRenderedPageBreak/>
              <w:t xml:space="preserve">zväzy dokázali zvládnuť administratívne, organizačné a personálne náklady na plnenie ustanovených úloh a povinností, z ktorých mnohé slúžia na napĺňanie verejného záujmu v športe vymedzeného v § 2 zákona o športe.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 xml:space="preserve">K prílohe č. 2 (vzorce č. 1a a 1b) </w:t>
            </w:r>
            <w:r>
              <w:rPr>
                <w:rFonts w:ascii="Times" w:hAnsi="Times" w:cs="Times"/>
                <w:sz w:val="25"/>
                <w:szCs w:val="25"/>
              </w:rPr>
              <w:br/>
              <w:t xml:space="preserve">Navrhujeme vo vzorcoch č. 1a a 1b slová „1 ‰“ nahradiť slovami „2 ‰“. Vo vzorci 1b navrhujeme slová „1,2 ‰“ nahradiť slovami „2,4 ‰“. Odôvodnenie: Vo vzorcoch č. 1a až 1c prílohy č. 2 sú uvedené limity ochrany zdola (0,9) a zhora (1,2), ktoré platia pre rok 2020 v prípade, ak koeficient uznaného športu oproti predchádzajúcemu roku vychádza podľa výpočtu nižší ako 0,9 alebo vyšší ako 1,2. Pre športy, ktorých koeficient na rok 2019 bol nižší ako 1 ‰ z hodnoty súčtu príspevku uznanému športu na rok 2019, sa horný limit ochrany neuplatňoval (vzorec 1a), t. j. športy s malou výškou príspevku uznanému športu neboli zhora obmedzované maximálnym horným nárastom ochrany 1,2 a mohli rásť viac. Pre rok 2020 navrhujeme tento limit zdvojnásobiť na 2 ‰ z hodnoty súčtu príspevku uznanému športu, čo umožní aj ďalším športom s nižším príspevkom uznanému športu rásť finančne viac ako o 1,2-násobok minulého roka v prípade, že na to majú aj reálne výsledky (vstupné parametre zadávané vzorca). Navrhované opatrenie rozšíri počet športov, ktorých sa teoreticky netýka horná hranica ochrany zo 14 športov v roku 2019 na predpokladaných 25 športov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sz w:val="25"/>
                <w:szCs w:val="25"/>
              </w:rPr>
              <w:t>Ministerstvo školstva, vedy, výskumu a športu SR v roku konania Hier XXXII. olympiády a XVI. paralympijských hier v Tokiu 2020 nebude robiť úpravy, ktoré by menili doteraz nastavený systém výpočtu príspevku uznanému športu. Zmena financovania športu a zásah do výpočtu príspevku uznanému športu si vyžaduje odbornú a širšiu diskusiu, ktorá doteraz neprebehla.</w:t>
            </w: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odporúčame v bode 2 za slovo </w:t>
            </w:r>
            <w:r>
              <w:rPr>
                <w:rFonts w:ascii="Times" w:hAnsi="Times" w:cs="Times"/>
                <w:sz w:val="25"/>
                <w:szCs w:val="25"/>
              </w:rPr>
              <w:lastRenderedPageBreak/>
              <w:t xml:space="preserve">„ustanoví“ bodky nahradiť písmenom „a)“ a ďalšie bodky nahradiť písmenom „b)“ a „c)“ podľa príslušného § 68 ods. 4 zákona č. 440/2015 Z. z. o športe a o zmene a doplnení niektorých zákonov v znení zákona č. 354/2016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V osobitnej časti dôvodovej správy k § 1a prílohám odporúčame v prvom odseku za slovo „hodnôt“ vypustiť čiarku a slová „dosiahnutý športový úspech“ nahradiť slovami „dosiahnuté športové úspechy,“. V šiestom odseku odporúčame slovo „medziročného“ nahradiť slovom „medziročnému“.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odporúčame v tretom odseku v poslednej vete za slovo „rozhodujúce“ vypustiť slovo „sú“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žiadny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dôvodovej správe osobitnej časti v šiestom odseku</w:t>
            </w:r>
            <w:r>
              <w:rPr>
                <w:rFonts w:ascii="Times" w:hAnsi="Times" w:cs="Times"/>
                <w:sz w:val="25"/>
                <w:szCs w:val="25"/>
              </w:rPr>
              <w:br/>
              <w:t xml:space="preserve">V dôvodovej správe osobitnej časti v šiestom odseku slovo „medziročného“ nahradiť slovom „medziročnému“.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 xml:space="preserve">V dôvodovej správe všeobecnej časti vo štvrtom odseku v poslednej vete odstrániť duplicitu slova „sú“. Gramatická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prílohe č. 1 a 2</w:t>
            </w:r>
            <w:r>
              <w:rPr>
                <w:rFonts w:ascii="Times" w:hAnsi="Times" w:cs="Times"/>
                <w:sz w:val="25"/>
                <w:szCs w:val="25"/>
              </w:rPr>
              <w:br/>
              <w:t>V prílohe č. 1 a 2 navrhujme aplikovať jednotné pravidlá pre poradie vysvetliviek k jednotlivým skratkám, ktoré sa vyskytujú vo vzorcoch, či tabuľkách - napr. podľa abecedy alebo podľa ich poradia v konkrétnom vzorci, resp. tabuľke.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prílohe č. 1 časti C</w:t>
            </w:r>
            <w:r>
              <w:rPr>
                <w:rFonts w:ascii="Times" w:hAnsi="Times" w:cs="Times"/>
                <w:sz w:val="25"/>
                <w:szCs w:val="25"/>
              </w:rPr>
              <w:br/>
              <w:t xml:space="preserve">V prílohe č. 1 časti C vzorci č. 10 navrhujeme pod samotný vzorec za slovo „kde“ doplniť vysvetlivku značky KEUR – aby sa štruktúra textu ujednotila s ostatným textom obdobného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UčPS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 xml:space="preserve">K prílohe č. 2 (vzorec č. 1a a 1b) </w:t>
            </w:r>
            <w:r>
              <w:rPr>
                <w:rFonts w:ascii="Times" w:hAnsi="Times" w:cs="Times"/>
                <w:sz w:val="25"/>
                <w:szCs w:val="25"/>
              </w:rPr>
              <w:br/>
              <w:t xml:space="preserve">(Pozn.: navýšenie limitu, pre malé NŠZ, ktorých sa netýka horná hranica ochrany z 1 ‰ na 2 ‰) Navrhujeme vo vzorcoch č. 1a a 1b hodnotu „1 ‰“ nahradiť hodnotou „2 ‰“. Vo vzorci 1b navrhujeme hodnotu „1,2 ‰“ nahradiť hodnotou „2,4 ‰“ Odôvodnenie: Vo vzorcoch č. 1a až 1c Prílohy č.2 sú uvedené limity ochrany zdola (0,9) a zhora (1,2), ktoré platia pre rok 2020 v prípade, ak koeficient uznanému športu je nižší alebo vyšší ako tento limit. Pre malé športy, ktorých koeficient na rok 2019 bol nižší ako 1 ‰ z hodnoty súčtu PUŠ2019, sa horný limit ochrany neuplatňoval, t.j. športy s malou výškou PUŠ neboli zhora obmedzované maximálnym horným nárastom ochrany 1,2 a mohli rásť vyššie (až do výšky 1,2‰ PUŠ). Pre rok 2020 ten limit navrhujeme zdvojnásobiť na 2 ‰ z hodnoty súčtu PUŠ, čo umožní aj ďalším nízko ohodnoteným športom rásť finančne viac </w:t>
            </w:r>
            <w:r>
              <w:rPr>
                <w:rFonts w:ascii="Times" w:hAnsi="Times" w:cs="Times"/>
                <w:sz w:val="25"/>
                <w:szCs w:val="25"/>
              </w:rPr>
              <w:lastRenderedPageBreak/>
              <w:t xml:space="preserve">(až do výšky 2,4‰ PUŠ) v prípade, že na to majú aj reálne výsledky. Toto opatrenie rozšíri počet športov, ktorých sa teoreticky netýka horná hranica ochrany z 14 športov v roku 2019 na predpokladaných 25 športov v roku 2020. Pozn. reálne to pomôže len novým 2 športom, ktorý boli v r.2019 v intervale 0,1%-0,2% PUŠ (rybolovná technika a horolezectvo) a dostali by viac, t.j. 1,2 x 0,2% PUŠ. Všetkých ostatných 9 športov v intervale 0,1 - 0,2% PUŠ má skutočný výpočet PUŠ2019 nižší ako PUŠ2019 po ochrane, tých sa to nebude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sz w:val="25"/>
                <w:szCs w:val="25"/>
              </w:rPr>
              <w:t>Ministerstvo školstva, vedy, výskumu a športu SR v roku konania Hier XXXII. olympiády a XVI. paralympijských hier v Tokiu 2020 nebude robiť úpravy, ktoré by menili doteraz nastavený systém výpočtu príspevku uznanému športu. Zmena financovania športu a zásah do výpočtu príspevku uznanému športu si vyžaduje odbornú a širšiu diskusiu, ktorá doteraz neprebehla.</w:t>
            </w: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t>UčPS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K prílohe č. 2 (vzorec č. 2c)</w:t>
            </w:r>
            <w:r>
              <w:rPr>
                <w:rFonts w:ascii="Times" w:hAnsi="Times" w:cs="Times"/>
                <w:sz w:val="25"/>
                <w:szCs w:val="25"/>
              </w:rPr>
              <w:br/>
              <w:t xml:space="preserve">Poznámka : Materiál je do MPK predložený v rovnakom znení ako schválené Nariadenie na rok 2019, len s aktualizáciou číselných označení rokov.(Pozn.: navýšenie minimálnej sumy pre 1 NŠZ z 15.000€ na 30.000€. Formulácia odôvodnenia je skopírovaná z pripomienky UčPS v MPK k Nariadeniu na rok 2019, s aktualizovaným textom). Upozorňujeme, že v 2020 bude o min. 2 uznané športy viac – pretláčanie rukou a preťahovanie lanom, možno ešte lakros). Navrhujeme vo vzorci č. 2c číslovku “15 000” nahradiť číslovkou “30 000”. Odôvodnenie: Na to, aby športový zväz získal a udržal si status uznaného národného športového zväzu musí splniť a priebežne dodržiavať viaceré zákonom ustanovené podmienky (§ 16 ods. 1 zákona o športe), napríklad byť členom medzinárodnej športovej organizácie s celosvetovou pôsobnosťou pre príslušný šport; mať najmenej päť súťažiacich športových klubov registrovaných v registri právnických osôb v športe a najmenej 100 aktívnych športovcov registrovaných za športový klub v registri fyzických osôb v </w:t>
            </w:r>
            <w:r>
              <w:rPr>
                <w:rFonts w:ascii="Times" w:hAnsi="Times" w:cs="Times"/>
                <w:sz w:val="25"/>
                <w:szCs w:val="25"/>
              </w:rPr>
              <w:lastRenderedPageBreak/>
              <w:t xml:space="preserve">športe; organizovať celoštátnu súťaž dospelých a celoštátnu súťaž mládeže najmenej dva po sebe nasledujúce roky; zabezpečovať výber a prípravu športovcov do športovej reprezentácie a ich účasť na medzinárodných súťažiach a zabezpečovať starostlivosť o talentovaných športovcov. Po splnení týchto podmienok a uznaní za národný športový zväz musí následne takýto národný športový zväz priebežne plniť mnohé zákonom stanovené povinnosti najmä podľa § 16 ods. 2 a § 17 ods. 2 zákona o športe, mať predpisy v súlade s § 19 až 23, viesť zdrojovú evidenciu zväzu a zverejňovať údaje podľa § 17 ods. 1 na webovom sídle a v informačnom systéme športu či viesť výkazníctvo použitia verejných prostriedkov atď., aby si udržal spôsobilosť prijímateľa verejných prostriedkov. To všetko je nevyhnutným predpokladom toho, aby národný športový zväz mohol každoročne získať príspevok uznanému športu a uchádzať sa prípadne o dotácie a iné formy podpory z verejných prostriedkov. Pri tom možnosť použitia príspevku uznanému športu na správu a prevádzku národného športového zväzu zákon o športe v § 69 ods. 6 limituje výškou 15%, t. j. z 15000 € to je 2250 €, čo je nedostatočná suma na riadne zabezpečenie priebežného plnenia všetkých zákonných povinností národného športového zväzu. Okrem toho národný športový zväz plní ďalšie bežné úlohy športových zväzov ako napríklad účasť na zasadnutiach medzinárodnej športovej asociácie/federácie príslušného športu, plnenie rôznych administratívnych povinností zodpovednou osobou, komunikáciu s členmi, starostlivosť o svojich členov a kluby. Všetky vyššie uvedené činnosti si vyžadujú zvýšenú administratívnu náročnosť a kvalifikovaný personál, preto navrhujeme výšku minimálnej </w:t>
            </w:r>
            <w:r>
              <w:rPr>
                <w:rFonts w:ascii="Times" w:hAnsi="Times" w:cs="Times"/>
                <w:sz w:val="25"/>
                <w:szCs w:val="25"/>
              </w:rPr>
              <w:lastRenderedPageBreak/>
              <w:t xml:space="preserve">sumy príspevku uznanému športu pre športové zväzy, ktoré splnili podmienky podľa § 16 ods. 1 a boli uznané postupom podľa § za národný športový zväz zvýšiť na 30 000 €. Uvedené opatrenie sa (podľa výpočtu PUŠ na rok 2019) pozitívne dotkne 12 národných športových zväzov – (americký futbal, boule lyonnaise, wushu, korfbal, pétanque, thajský box, rugby, skialpinizmus, squash, bridž, dráhový golf, vodný motorizmus), resp. len 11 nakoľko bridge, ktorý po zavedení definície “športu” do § 3 písm. t) zákona o športe s účinnosťou od 1.1.2017 nespĺňa pojmové znaky “športu”. Uvedené potvrdil fakticky aj Súdny dvor Európskej únie, ktorý vo veci C-90/16 posudzoval prejudiciálnu otázku, či “športový bridge” spadá pod pojem “šport” na účely čl. 132 ods. 1 písm. m) smernice o Rady 2006/112/ES z 28. novembra 2006 o spoločnom systéme dane z pridanej hodnoty. Rozsudok Súdneho dvora (štvrtá komora) z 26. októbra 2017 v tejto veci uviedol jednoznačný výklad, “že činnosť, akou je športový bridž, ktorá vykazuje na pohľad zanedbateľný fyzický prvok, nespadá pod pojem „šport“ v zmysle tohto ustanovenia”. Sekcia športu ministerstva školstva však na uvedenú zmenu právnej úpravy doposiaľ nereagovala, v dôsledku čoho sa javí byť pokračujúca podpora “bridgu” ako “športu” zo štátnych prostriedkov prostredníctvom príspevku uznanému športu ako porušovanie zákona zo strany ministerstva školstva. Minuloročné zvýšenie minimálnej sumy z 5.000 € (do roku 2018) len na 15.000 € (rok 2019) nepovažujeme z vyššie uvedených dôvodov za dostatočné. Namiesto navrhovaného riešenia v nariadení vlády (zvýšenie garantovanej minimálnej výšky príspevku uznanému športu na 30.000 €) do budúcnosti </w:t>
            </w:r>
            <w:r>
              <w:rPr>
                <w:rFonts w:ascii="Times" w:hAnsi="Times" w:cs="Times"/>
                <w:sz w:val="25"/>
                <w:szCs w:val="25"/>
              </w:rPr>
              <w:lastRenderedPageBreak/>
              <w:t xml:space="preserve">navrhujeme zvážiť zaviesť v zákone o športe v rámci príspevku uznanému športu položku “administratívny paušál” garantovaný pre všetky národné športové zväzy v rovnakej výške, ktorý by slúžil výhradne na zabezpečenie plnenia úloh národného športového zväzu podľa zákona o športe, pričom na túto položku, by sa nevzťahoval limit 15% uvedený v § 69 ods. 6 zákona o športe, ktorý je neprimerane nízky vzhľadom na rozsah činností zabezpečovaných národnými športovými zväzmi (viď napr. požiadavky a povinnosti podľa § 16 ods. 1 a 2 a § 17 ods. 1 a 2 zákona o športe). Ďalším opatrením, ktoré by pomohlo zabezpečiť základné prevádzkové náklady menším zväzom by mohlo byť pravidlo upravené v zákone o športe, že limit 15% na prevádzkové náklady uvedený v § 69 ods. 6 zákona o športe by sa vzťahoval iba na tie národné športové zväzy, ktorých príjem z príspevku uznanému športu bude vyšší ako 200.000 €, prípadne 300.000 €. Pre národné športové zväzy s nižším príjmom z príspevku uznanému športu by mohol byť určený na prevádzkové náklady vyšší limit, napriklad 30 %. Limit 15% na prevádzkové náklady uvedený v § 69 ods. 6 zákona o športe by bolo vhodné celkovo znalostne prehodnotiť na základe analýzy nevyhnutných prevádzkových výdavkov národných športových zväzov potrebných na plnenie základných úloh národného športového zväzu podľa zákona o športe a primerane ho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k Prílohe č.1, Vzorec č.5. Tabuľka č.2.</w:t>
            </w:r>
            <w:r>
              <w:rPr>
                <w:rFonts w:ascii="Times" w:hAnsi="Times" w:cs="Times"/>
                <w:sz w:val="25"/>
                <w:szCs w:val="25"/>
              </w:rPr>
              <w:br/>
              <w:t xml:space="preserve">Navrhujeme podujatie Grand Slam juniorov (GJ) zaradiť o úroveň vyššie s posunom voči MS s rozdielom 0 miest. Odôvodnenie: V tenise sú v kategórii J1 (do 18rokov) podujatia GJ najvyššie </w:t>
            </w:r>
            <w:r>
              <w:rPr>
                <w:rFonts w:ascii="Times" w:hAnsi="Times" w:cs="Times"/>
                <w:sz w:val="25"/>
                <w:szCs w:val="25"/>
              </w:rPr>
              <w:lastRenderedPageBreak/>
              <w:t>hodnotenými a najkvalitnejšími individuálnymi tenisovými svetovými podujatiami, v tejto kategórii neexistujú individuálne majstrovstvá sveta juniorov. Keďže v tenise neexistuje ani svetový juniorský rebríček krajín (iba európsky juniorský), tenis zadáva svoje postavenie na svete v tejto kategórii cez rozhodujúci počet výsledkov. Podľa súčasného návrhu znenia nariadenia sú najhodnotnejšie svetové podujatia v tejto kategórii GJ zaradené na úrovni ME, preto ich navrhujeme posunúť o úroveň vyššie (ako MS). V kategóri J2 (do 16 rokov), kde sa už organizujú MS, nie je možné výsledky z GJ zaradiť. Pri súčasnom znení textu nariadenia má tenis 0 príležitostí získať hodnotený výsledok z MS, pričom iné porovnateľné športy majú v kategórii J1 nasledovné počty príležitostí z MS juniorov : atletika 42, plávanie 42, kanoistika 25. Akceptovaním pripomienky by sa počet príležitostí v tenise z MS v kategórii J1 rozšíril z 0 na 16, čo by ho vyrovnalo s inými športami. Víťazný titul z Grand slamu juniorov v tenise (Wimbledon, French Open, Australian Open, US Open) je možné považovať za rovnocenný výsledok ako juniorský titul majstra sveta v niektorej z disciplín z iných športov. Pripomienku predkladá Slovenský tenisový zväz.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sz w:val="25"/>
                <w:szCs w:val="25"/>
              </w:rPr>
              <w:t xml:space="preserve">Ministerstvo školstva, vedy, výskumu a športu SR v roku konania Hier XXXII. olympiády a XVI. paralympijských hier v Tokiu 2020 nebude robiť úpravy, </w:t>
            </w:r>
            <w:r>
              <w:rPr>
                <w:rFonts w:ascii="Times" w:hAnsi="Times" w:cs="Times"/>
                <w:sz w:val="25"/>
                <w:szCs w:val="25"/>
              </w:rPr>
              <w:lastRenderedPageBreak/>
              <w:t>ktoré by menili doteraz nastavený systém výpočtu príspevku uznanému športu. Zmena financovania športu a zásah do výpočtu príspevku uznanému športu si vyžaduje odbornú a širšiu diskusiu, ktorá doteraz neprebehla. Uvedené sa týka aj typu podujatí a ich úrovne.</w:t>
            </w:r>
          </w:p>
        </w:tc>
      </w:tr>
      <w:tr w:rsidR="00A42B4A">
        <w:trPr>
          <w:divId w:val="18893421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2B4A" w:rsidRDefault="00A42B4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3A" w:rsidRDefault="001B5A3A" w:rsidP="000A67D5">
      <w:pPr>
        <w:spacing w:after="0" w:line="240" w:lineRule="auto"/>
      </w:pPr>
      <w:r>
        <w:separator/>
      </w:r>
    </w:p>
  </w:endnote>
  <w:endnote w:type="continuationSeparator" w:id="0">
    <w:p w:rsidR="001B5A3A" w:rsidRDefault="001B5A3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3A" w:rsidRDefault="001B5A3A" w:rsidP="000A67D5">
      <w:pPr>
        <w:spacing w:after="0" w:line="240" w:lineRule="auto"/>
      </w:pPr>
      <w:r>
        <w:separator/>
      </w:r>
    </w:p>
  </w:footnote>
  <w:footnote w:type="continuationSeparator" w:id="0">
    <w:p w:rsidR="001B5A3A" w:rsidRDefault="001B5A3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5A3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2B4A"/>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3F1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8553">
      <w:bodyDiv w:val="1"/>
      <w:marLeft w:val="0"/>
      <w:marRight w:val="0"/>
      <w:marTop w:val="0"/>
      <w:marBottom w:val="0"/>
      <w:divBdr>
        <w:top w:val="none" w:sz="0" w:space="0" w:color="auto"/>
        <w:left w:val="none" w:sz="0" w:space="0" w:color="auto"/>
        <w:bottom w:val="none" w:sz="0" w:space="0" w:color="auto"/>
        <w:right w:val="none" w:sz="0" w:space="0" w:color="auto"/>
      </w:divBdr>
    </w:div>
    <w:div w:id="422995416">
      <w:bodyDiv w:val="1"/>
      <w:marLeft w:val="0"/>
      <w:marRight w:val="0"/>
      <w:marTop w:val="0"/>
      <w:marBottom w:val="0"/>
      <w:divBdr>
        <w:top w:val="none" w:sz="0" w:space="0" w:color="auto"/>
        <w:left w:val="none" w:sz="0" w:space="0" w:color="auto"/>
        <w:bottom w:val="none" w:sz="0" w:space="0" w:color="auto"/>
        <w:right w:val="none" w:sz="0" w:space="0" w:color="auto"/>
      </w:divBdr>
    </w:div>
    <w:div w:id="442305517">
      <w:bodyDiv w:val="1"/>
      <w:marLeft w:val="0"/>
      <w:marRight w:val="0"/>
      <w:marTop w:val="0"/>
      <w:marBottom w:val="0"/>
      <w:divBdr>
        <w:top w:val="none" w:sz="0" w:space="0" w:color="auto"/>
        <w:left w:val="none" w:sz="0" w:space="0" w:color="auto"/>
        <w:bottom w:val="none" w:sz="0" w:space="0" w:color="auto"/>
        <w:right w:val="none" w:sz="0" w:space="0" w:color="auto"/>
      </w:divBdr>
    </w:div>
    <w:div w:id="1234587642">
      <w:bodyDiv w:val="1"/>
      <w:marLeft w:val="0"/>
      <w:marRight w:val="0"/>
      <w:marTop w:val="0"/>
      <w:marBottom w:val="0"/>
      <w:divBdr>
        <w:top w:val="none" w:sz="0" w:space="0" w:color="auto"/>
        <w:left w:val="none" w:sz="0" w:space="0" w:color="auto"/>
        <w:bottom w:val="none" w:sz="0" w:space="0" w:color="auto"/>
        <w:right w:val="none" w:sz="0" w:space="0" w:color="auto"/>
      </w:divBdr>
    </w:div>
    <w:div w:id="1408571016">
      <w:bodyDiv w:val="1"/>
      <w:marLeft w:val="0"/>
      <w:marRight w:val="0"/>
      <w:marTop w:val="0"/>
      <w:marBottom w:val="0"/>
      <w:divBdr>
        <w:top w:val="none" w:sz="0" w:space="0" w:color="auto"/>
        <w:left w:val="none" w:sz="0" w:space="0" w:color="auto"/>
        <w:bottom w:val="none" w:sz="0" w:space="0" w:color="auto"/>
        <w:right w:val="none" w:sz="0" w:space="0" w:color="auto"/>
      </w:divBdr>
    </w:div>
    <w:div w:id="1889342198">
      <w:bodyDiv w:val="1"/>
      <w:marLeft w:val="0"/>
      <w:marRight w:val="0"/>
      <w:marTop w:val="0"/>
      <w:marBottom w:val="0"/>
      <w:divBdr>
        <w:top w:val="none" w:sz="0" w:space="0" w:color="auto"/>
        <w:left w:val="none" w:sz="0" w:space="0" w:color="auto"/>
        <w:bottom w:val="none" w:sz="0" w:space="0" w:color="auto"/>
        <w:right w:val="none" w:sz="0" w:space="0" w:color="auto"/>
      </w:divBdr>
    </w:div>
    <w:div w:id="2009477558">
      <w:bodyDiv w:val="1"/>
      <w:marLeft w:val="0"/>
      <w:marRight w:val="0"/>
      <w:marTop w:val="0"/>
      <w:marBottom w:val="0"/>
      <w:divBdr>
        <w:top w:val="none" w:sz="0" w:space="0" w:color="auto"/>
        <w:left w:val="none" w:sz="0" w:space="0" w:color="auto"/>
        <w:bottom w:val="none" w:sz="0" w:space="0" w:color="auto"/>
        <w:right w:val="none" w:sz="0" w:space="0" w:color="auto"/>
      </w:divBdr>
    </w:div>
    <w:div w:id="20302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8.2019 13:06:12"/>
    <f:field ref="objchangedby" par="" text="Administrator, System"/>
    <f:field ref="objmodifiedat" par="" text="14.8.2019 13:06: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3590</Words>
  <Characters>20468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2019-08-14T11:09:00Z</dcterms:created>
  <dcterms:modified xsi:type="dcterms:W3CDTF">2019-08-14T11:09:00Z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Verejnosť bola o príprave materiálu informovaná v rámci predbežnej informácie PI/2019/197. K predbežnej informácii nebola doručená žiadna pripomienka.</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metodike na výpočet podielu uznaného športu na rok 2020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 68 ods. 4 zákona č. 440/2015 Z. z. o športe a o zmene a doplnení niektorých zákonov v znení zákona č. 354/2016 Z. z. _x000d_
Plán legislatívnych úloh vlády SR na rok 2019.</vt:lpwstr>
  </property>
  <property fmtid="{D5CDD505-2E9C-101B-9397-08002B2CF9AE}" pid="22" name="FSC#SKEDITIONSLOVLEX@103.510:plnynazovpredpis">
    <vt:lpwstr> Nariadenie vlády  Slovenskej republiky o metodike na výpočet podielu uznaného športu na rok 2020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2019/12989-A1810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Nulovým variantom je nevydanie nariadenia, pričom táto skutočnosť by bola v rozpore so zákonom o športe, vzhľadom na to, že nariadenie sa vydáva každoročne.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inter-ideograph;"&gt;Zákon č. 440/2015 Z. z. o športe a o zmene a doplnení niektorých zákonov v znení neskorších predpisov (ďalej len "zákon") v&amp;nbsp;§ 68 a&amp;nbsp;69 upravuje poskytovanie príspevku uznanému špo</vt:lpwstr>
  </property>
  <property fmtid="{D5CDD505-2E9C-101B-9397-08002B2CF9AE}" pid="149" name="FSC#COOSYSTEM@1.1:Container">
    <vt:lpwstr>COO.2145.1000.3.3544138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14. 8. 2019</vt:lpwstr>
  </property>
</Properties>
</file>