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5A" w:rsidRPr="007E5BA6" w:rsidRDefault="00E3425A" w:rsidP="00E3425A">
      <w:pPr>
        <w:widowControl w:val="0"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aps/>
          <w:spacing w:val="30"/>
          <w:sz w:val="25"/>
          <w:szCs w:val="25"/>
          <w:lang w:eastAsia="sk-SK"/>
        </w:rPr>
      </w:pPr>
      <w:r w:rsidRPr="007E5BA6">
        <w:rPr>
          <w:rFonts w:ascii="Times New Roman" w:eastAsia="Times New Roman" w:hAnsi="Times New Roman"/>
          <w:b/>
          <w:caps/>
          <w:spacing w:val="30"/>
          <w:sz w:val="25"/>
          <w:szCs w:val="25"/>
          <w:lang w:eastAsia="sk-SK"/>
        </w:rPr>
        <w:t>Doložka zlučiteľnosti</w:t>
      </w:r>
    </w:p>
    <w:p w:rsidR="00E3425A" w:rsidRPr="007E5BA6" w:rsidRDefault="00E3425A" w:rsidP="00E3425A">
      <w:pPr>
        <w:widowControl w:val="0"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5"/>
          <w:szCs w:val="25"/>
          <w:lang w:eastAsia="sk-SK"/>
        </w:rPr>
      </w:pPr>
      <w:r w:rsidRPr="007E5BA6">
        <w:rPr>
          <w:rFonts w:ascii="Times New Roman" w:eastAsia="Times New Roman" w:hAnsi="Times New Roman"/>
          <w:b/>
          <w:sz w:val="25"/>
          <w:szCs w:val="25"/>
          <w:lang w:eastAsia="sk-SK"/>
        </w:rPr>
        <w:t>k návrhu zákona s právom Európskej únie</w:t>
      </w:r>
    </w:p>
    <w:p w:rsidR="00E3425A" w:rsidRPr="007E5BA6" w:rsidRDefault="00E3425A" w:rsidP="00E3425A">
      <w:pPr>
        <w:widowControl w:val="0"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5"/>
          <w:szCs w:val="25"/>
          <w:lang w:eastAsia="sk-SK"/>
        </w:rPr>
      </w:pPr>
    </w:p>
    <w:tbl>
      <w:tblPr>
        <w:tblW w:w="9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912"/>
      </w:tblGrid>
      <w:tr w:rsidR="00E3425A" w:rsidRPr="007E5BA6" w:rsidTr="00CB281E">
        <w:trPr>
          <w:trHeight w:val="561"/>
        </w:trPr>
        <w:tc>
          <w:tcPr>
            <w:tcW w:w="568" w:type="dxa"/>
            <w:shd w:val="clear" w:color="auto" w:fill="auto"/>
          </w:tcPr>
          <w:p w:rsidR="00E3425A" w:rsidRPr="007E5BA6" w:rsidRDefault="00E3425A" w:rsidP="00DB434B">
            <w:pPr>
              <w:widowControl w:val="0"/>
              <w:tabs>
                <w:tab w:val="left" w:pos="36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5"/>
                <w:szCs w:val="25"/>
                <w:lang w:eastAsia="sk-SK"/>
              </w:rPr>
            </w:pPr>
          </w:p>
        </w:tc>
        <w:tc>
          <w:tcPr>
            <w:tcW w:w="8912" w:type="dxa"/>
            <w:shd w:val="clear" w:color="auto" w:fill="auto"/>
            <w:hideMark/>
          </w:tcPr>
          <w:p w:rsidR="00E3425A" w:rsidRPr="00CB281E" w:rsidRDefault="00E3425A" w:rsidP="00CB281E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5"/>
                <w:szCs w:val="25"/>
                <w:lang w:eastAsia="sk-SK"/>
              </w:rPr>
            </w:pPr>
            <w:r w:rsidRPr="00CB281E">
              <w:rPr>
                <w:rFonts w:ascii="Times New Roman" w:eastAsia="Times New Roman" w:hAnsi="Times New Roman"/>
                <w:b/>
                <w:sz w:val="25"/>
                <w:szCs w:val="25"/>
                <w:lang w:eastAsia="sk-SK"/>
              </w:rPr>
              <w:t>Navrhovateľ zákona:</w:t>
            </w:r>
            <w:r w:rsidRPr="00CB281E">
              <w:rPr>
                <w:rFonts w:ascii="Times New Roman" w:eastAsia="Times New Roman" w:hAnsi="Times New Roman"/>
                <w:sz w:val="25"/>
                <w:szCs w:val="25"/>
                <w:lang w:eastAsia="sk-SK"/>
              </w:rPr>
              <w:t xml:space="preserve"> </w:t>
            </w:r>
          </w:p>
          <w:p w:rsidR="00E3425A" w:rsidRPr="007E5BA6" w:rsidRDefault="00E3425A" w:rsidP="00031023">
            <w:pPr>
              <w:widowControl w:val="0"/>
              <w:tabs>
                <w:tab w:val="left" w:pos="360"/>
              </w:tabs>
              <w:suppressAutoHyphens w:val="0"/>
              <w:autoSpaceDE w:val="0"/>
              <w:adjustRightInd w:val="0"/>
              <w:spacing w:after="0" w:line="240" w:lineRule="auto"/>
              <w:ind w:left="-250" w:firstLine="99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E5B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Ministerstvo hospodárstva Slovenskej republiky</w:t>
            </w:r>
            <w:r w:rsidRPr="007E5B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fldChar w:fldCharType="begin"/>
            </w:r>
            <w:r w:rsidRPr="007E5B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instrText xml:space="preserve"> DOCPROPERTY  FSC#SKEDITIONSLOVLEX@103.510:zodpinstitucia  \* MERGEFORMAT </w:instrText>
            </w:r>
            <w:r w:rsidRPr="007E5B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3425A" w:rsidRPr="007E5BA6" w:rsidTr="00CB281E">
        <w:trPr>
          <w:trHeight w:val="287"/>
        </w:trPr>
        <w:tc>
          <w:tcPr>
            <w:tcW w:w="568" w:type="dxa"/>
            <w:shd w:val="clear" w:color="auto" w:fill="auto"/>
          </w:tcPr>
          <w:p w:rsidR="00E3425A" w:rsidRPr="007E5BA6" w:rsidRDefault="00E3425A" w:rsidP="00DB434B">
            <w:pPr>
              <w:widowControl w:val="0"/>
              <w:tabs>
                <w:tab w:val="left" w:pos="36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5"/>
                <w:szCs w:val="25"/>
                <w:lang w:eastAsia="sk-SK"/>
              </w:rPr>
            </w:pPr>
          </w:p>
        </w:tc>
        <w:tc>
          <w:tcPr>
            <w:tcW w:w="8912" w:type="dxa"/>
            <w:shd w:val="clear" w:color="auto" w:fill="auto"/>
          </w:tcPr>
          <w:p w:rsidR="00E3425A" w:rsidRPr="007E5BA6" w:rsidRDefault="00E3425A" w:rsidP="00CB281E">
            <w:pPr>
              <w:widowControl w:val="0"/>
              <w:tabs>
                <w:tab w:val="left" w:pos="360"/>
              </w:tabs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5"/>
                <w:szCs w:val="25"/>
                <w:lang w:eastAsia="sk-SK"/>
              </w:rPr>
            </w:pPr>
          </w:p>
        </w:tc>
      </w:tr>
      <w:tr w:rsidR="00E3425A" w:rsidRPr="007E5BA6" w:rsidTr="00CB281E">
        <w:trPr>
          <w:trHeight w:val="1255"/>
        </w:trPr>
        <w:tc>
          <w:tcPr>
            <w:tcW w:w="568" w:type="dxa"/>
            <w:shd w:val="clear" w:color="auto" w:fill="auto"/>
          </w:tcPr>
          <w:p w:rsidR="00E3425A" w:rsidRPr="007E5BA6" w:rsidRDefault="00E3425A" w:rsidP="00DB434B">
            <w:pPr>
              <w:widowControl w:val="0"/>
              <w:tabs>
                <w:tab w:val="left" w:pos="36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5"/>
                <w:szCs w:val="25"/>
                <w:lang w:eastAsia="sk-SK"/>
              </w:rPr>
            </w:pPr>
          </w:p>
        </w:tc>
        <w:tc>
          <w:tcPr>
            <w:tcW w:w="8912" w:type="dxa"/>
            <w:shd w:val="clear" w:color="auto" w:fill="auto"/>
            <w:hideMark/>
          </w:tcPr>
          <w:p w:rsidR="00E3425A" w:rsidRPr="00CB281E" w:rsidRDefault="00E3425A" w:rsidP="00CB281E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5"/>
                <w:szCs w:val="25"/>
                <w:lang w:eastAsia="sk-SK"/>
              </w:rPr>
            </w:pPr>
            <w:r w:rsidRPr="00CB281E">
              <w:rPr>
                <w:rFonts w:ascii="Times New Roman" w:eastAsia="Times New Roman" w:hAnsi="Times New Roman"/>
                <w:b/>
                <w:sz w:val="25"/>
                <w:szCs w:val="25"/>
                <w:lang w:eastAsia="sk-SK"/>
              </w:rPr>
              <w:t>Názov návrhu zákona:</w:t>
            </w:r>
            <w:r w:rsidRPr="00CB281E">
              <w:rPr>
                <w:rFonts w:ascii="Times New Roman" w:eastAsia="Times New Roman" w:hAnsi="Times New Roman"/>
                <w:sz w:val="25"/>
                <w:szCs w:val="25"/>
                <w:lang w:eastAsia="sk-SK"/>
              </w:rPr>
              <w:t xml:space="preserve"> </w:t>
            </w:r>
          </w:p>
          <w:p w:rsidR="00E3425A" w:rsidRPr="007E5BA6" w:rsidRDefault="00E3425A" w:rsidP="00031023">
            <w:pPr>
              <w:suppressAutoHyphens w:val="0"/>
              <w:autoSpaceDN/>
              <w:spacing w:after="0" w:line="240" w:lineRule="auto"/>
              <w:ind w:left="74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E5BA6"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t xml:space="preserve">Návrh </w:t>
            </w:r>
            <w:r w:rsidRPr="007E5B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zákona, ktorým sa mení a dopĺňa zákon </w:t>
            </w:r>
            <w:r w:rsidR="00062C7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Slovenskej národnej rady</w:t>
            </w:r>
            <w:r w:rsidRPr="007E5B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0310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7E5B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č. 51/1988 Zb. o banskej činnosti, výbušninách a o štátnej banskej správe v znení neskorších predpisov</w:t>
            </w:r>
            <w:r w:rsidRPr="007E5BA6">
              <w:rPr>
                <w:rFonts w:ascii="Times New Roman" w:eastAsia="Times New Roman" w:hAnsi="Times New Roman"/>
                <w:lang w:eastAsia="sk-SK"/>
              </w:rPr>
              <w:fldChar w:fldCharType="begin"/>
            </w:r>
            <w:r w:rsidRPr="007E5BA6">
              <w:rPr>
                <w:rFonts w:ascii="Times New Roman" w:eastAsia="Times New Roman" w:hAnsi="Times New Roman"/>
                <w:lang w:eastAsia="sk-SK"/>
              </w:rPr>
              <w:instrText xml:space="preserve"> DOCPROPERTY  FSC#SKEDITIONSLOVLEX@103.510:plnynazovpredpis  \* MERGEFORMAT </w:instrText>
            </w:r>
            <w:r w:rsidRPr="007E5BA6">
              <w:rPr>
                <w:rFonts w:ascii="Times New Roman" w:eastAsia="Times New Roman" w:hAnsi="Times New Roman"/>
                <w:lang w:eastAsia="sk-SK"/>
              </w:rPr>
              <w:fldChar w:fldCharType="end"/>
            </w:r>
            <w:r w:rsidRPr="007E5BA6">
              <w:rPr>
                <w:rFonts w:ascii="Times New Roman" w:eastAsia="Times New Roman" w:hAnsi="Times New Roman"/>
                <w:lang w:eastAsia="sk-SK"/>
              </w:rPr>
              <w:fldChar w:fldCharType="begin"/>
            </w:r>
            <w:r w:rsidRPr="007E5BA6">
              <w:rPr>
                <w:rFonts w:ascii="Times New Roman" w:eastAsia="Times New Roman" w:hAnsi="Times New Roman"/>
                <w:lang w:eastAsia="sk-SK"/>
              </w:rPr>
              <w:instrText xml:space="preserve"> DOCPROPERTY  FSC#SKEDITIONSLOVLEX@103.510:plnynazovpredpis1  \* MERGEFORMAT </w:instrText>
            </w:r>
            <w:r w:rsidRPr="007E5BA6">
              <w:rPr>
                <w:rFonts w:ascii="Times New Roman" w:eastAsia="Times New Roman" w:hAnsi="Times New Roman"/>
                <w:lang w:eastAsia="sk-SK"/>
              </w:rPr>
              <w:fldChar w:fldCharType="end"/>
            </w:r>
            <w:r w:rsidRPr="007E5BA6">
              <w:rPr>
                <w:rFonts w:ascii="Times New Roman" w:eastAsia="Times New Roman" w:hAnsi="Times New Roman"/>
                <w:lang w:eastAsia="sk-SK"/>
              </w:rPr>
              <w:fldChar w:fldCharType="begin"/>
            </w:r>
            <w:r w:rsidRPr="007E5BA6">
              <w:rPr>
                <w:rFonts w:ascii="Times New Roman" w:eastAsia="Times New Roman" w:hAnsi="Times New Roman"/>
                <w:lang w:eastAsia="sk-SK"/>
              </w:rPr>
              <w:instrText xml:space="preserve"> DOCPROPERTY  FSC#SKEDITIONSLOVLEX@103.510:plnynazovpredpis2  \* MERGEFORMAT </w:instrText>
            </w:r>
            <w:r w:rsidRPr="007E5BA6">
              <w:rPr>
                <w:rFonts w:ascii="Times New Roman" w:eastAsia="Times New Roman" w:hAnsi="Times New Roman"/>
                <w:lang w:eastAsia="sk-SK"/>
              </w:rPr>
              <w:fldChar w:fldCharType="end"/>
            </w:r>
            <w:r w:rsidRPr="007E5BA6">
              <w:rPr>
                <w:rFonts w:ascii="Times New Roman" w:eastAsia="Times New Roman" w:hAnsi="Times New Roman"/>
                <w:lang w:eastAsia="sk-SK"/>
              </w:rPr>
              <w:fldChar w:fldCharType="begin"/>
            </w:r>
            <w:r w:rsidRPr="007E5BA6">
              <w:rPr>
                <w:rFonts w:ascii="Times New Roman" w:eastAsia="Times New Roman" w:hAnsi="Times New Roman"/>
                <w:lang w:eastAsia="sk-SK"/>
              </w:rPr>
              <w:instrText xml:space="preserve"> DOCPROPERTY  FSC#SKEDITIONSLOVLEX@103.510:plnynazovpredpis3  \* MERGEFORMAT </w:instrText>
            </w:r>
            <w:r w:rsidRPr="007E5BA6">
              <w:rPr>
                <w:rFonts w:ascii="Times New Roman" w:eastAsia="Times New Roman" w:hAnsi="Times New Roman"/>
                <w:lang w:eastAsia="sk-SK"/>
              </w:rPr>
              <w:fldChar w:fldCharType="end"/>
            </w:r>
          </w:p>
        </w:tc>
      </w:tr>
      <w:tr w:rsidR="00E3425A" w:rsidRPr="007E5BA6" w:rsidTr="00CB281E">
        <w:trPr>
          <w:trHeight w:val="561"/>
        </w:trPr>
        <w:tc>
          <w:tcPr>
            <w:tcW w:w="568" w:type="dxa"/>
            <w:shd w:val="clear" w:color="auto" w:fill="auto"/>
          </w:tcPr>
          <w:p w:rsidR="00E3425A" w:rsidRPr="007E5BA6" w:rsidRDefault="00E3425A" w:rsidP="00DB434B">
            <w:pPr>
              <w:widowControl w:val="0"/>
              <w:tabs>
                <w:tab w:val="left" w:pos="36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5"/>
                <w:szCs w:val="25"/>
                <w:lang w:eastAsia="sk-SK"/>
              </w:rPr>
            </w:pPr>
          </w:p>
        </w:tc>
        <w:tc>
          <w:tcPr>
            <w:tcW w:w="8912" w:type="dxa"/>
            <w:shd w:val="clear" w:color="auto" w:fill="auto"/>
          </w:tcPr>
          <w:p w:rsidR="00E3425A" w:rsidRPr="00CB281E" w:rsidRDefault="00E3425A" w:rsidP="00CB281E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5"/>
                <w:szCs w:val="25"/>
                <w:lang w:eastAsia="sk-SK"/>
              </w:rPr>
            </w:pPr>
            <w:r w:rsidRPr="00CB281E">
              <w:rPr>
                <w:rFonts w:ascii="Times New Roman" w:eastAsia="Times New Roman" w:hAnsi="Times New Roman"/>
                <w:b/>
                <w:sz w:val="25"/>
                <w:szCs w:val="25"/>
                <w:lang w:eastAsia="sk-SK"/>
              </w:rPr>
              <w:t>Predmet návrhu zákona je upravený v práve Európskej únie:</w:t>
            </w:r>
          </w:p>
          <w:p w:rsidR="00E3425A" w:rsidRPr="007E5BA6" w:rsidRDefault="00E3425A" w:rsidP="00CB281E">
            <w:pPr>
              <w:widowControl w:val="0"/>
              <w:tabs>
                <w:tab w:val="left" w:pos="360"/>
              </w:tabs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5"/>
                <w:szCs w:val="25"/>
                <w:lang w:eastAsia="sk-SK"/>
              </w:rPr>
            </w:pPr>
          </w:p>
        </w:tc>
      </w:tr>
      <w:tr w:rsidR="00E3425A" w:rsidRPr="00CB281E" w:rsidTr="00CB281E">
        <w:trPr>
          <w:trHeight w:val="3836"/>
        </w:trPr>
        <w:tc>
          <w:tcPr>
            <w:tcW w:w="568" w:type="dxa"/>
            <w:shd w:val="clear" w:color="auto" w:fill="auto"/>
          </w:tcPr>
          <w:p w:rsidR="00E3425A" w:rsidRPr="007E5BA6" w:rsidRDefault="00E3425A" w:rsidP="00DB434B">
            <w:pPr>
              <w:widowControl w:val="0"/>
              <w:tabs>
                <w:tab w:val="left" w:pos="36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8912" w:type="dxa"/>
            <w:shd w:val="clear" w:color="auto" w:fill="auto"/>
          </w:tcPr>
          <w:p w:rsidR="00E3425A" w:rsidRPr="00CB281E" w:rsidRDefault="00CB281E" w:rsidP="00CB281E">
            <w:pPr>
              <w:pStyle w:val="Odsekzoznamu"/>
              <w:widowControl w:val="0"/>
              <w:numPr>
                <w:ilvl w:val="1"/>
                <w:numId w:val="5"/>
              </w:numPr>
              <w:autoSpaceDE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B28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 </w:t>
            </w:r>
            <w:r w:rsidR="00E3425A" w:rsidRPr="00CB28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primárnom práve </w:t>
            </w:r>
          </w:p>
          <w:p w:rsidR="00E3425A" w:rsidRPr="00CB281E" w:rsidRDefault="00E3425A" w:rsidP="004B52C0">
            <w:pPr>
              <w:widowControl w:val="0"/>
              <w:autoSpaceDE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B28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Hlava II Voľný pohyb tovaru, čl. 28 – 37 Zmluvy o fungovaní Európskej únie</w:t>
            </w:r>
          </w:p>
          <w:p w:rsidR="00E3425A" w:rsidRPr="00CB281E" w:rsidRDefault="00E3425A" w:rsidP="00CB281E">
            <w:pPr>
              <w:widowControl w:val="0"/>
              <w:autoSpaceDE w:val="0"/>
              <w:adjustRightInd w:val="0"/>
              <w:spacing w:after="0" w:line="240" w:lineRule="auto"/>
              <w:ind w:left="879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E3425A" w:rsidRPr="00CB281E" w:rsidRDefault="00767EDD" w:rsidP="00CB281E">
            <w:pPr>
              <w:pStyle w:val="Odsekzoznamu"/>
              <w:widowControl w:val="0"/>
              <w:numPr>
                <w:ilvl w:val="1"/>
                <w:numId w:val="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74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B28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 </w:t>
            </w:r>
            <w:r w:rsidR="00E3425A" w:rsidRPr="00CB28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sekundárnom práve</w:t>
            </w:r>
          </w:p>
          <w:p w:rsidR="00CB281E" w:rsidRPr="00CB281E" w:rsidRDefault="00CB281E" w:rsidP="00CB281E">
            <w:pPr>
              <w:widowControl w:val="0"/>
              <w:suppressAutoHyphens w:val="0"/>
              <w:autoSpaceDE w:val="0"/>
              <w:autoSpaceDN/>
              <w:adjustRightInd w:val="0"/>
              <w:spacing w:after="0" w:line="240" w:lineRule="auto"/>
              <w:ind w:hanging="360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CB281E" w:rsidRPr="00CB281E" w:rsidRDefault="00CB281E" w:rsidP="00031023">
            <w:pPr>
              <w:widowControl w:val="0"/>
              <w:suppressAutoHyphens w:val="0"/>
              <w:autoSpaceDE w:val="0"/>
              <w:autoSpaceDN/>
              <w:adjustRightInd w:val="0"/>
              <w:spacing w:after="0" w:line="240" w:lineRule="auto"/>
              <w:ind w:left="743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B28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Smernica Európskeho parlamentu a Rady 94/22/ES z 30. mája 1994 o podmienkach udeľovania a používania povoľovaní na vyhľadávanie, prieskum a ťažbu uhľovodíkov (Mimoriadne vydanie, Ú. v. EÚ, kap. 6/zv. 2; Ú. v. ES L 164, 30. 6. 1994). </w:t>
            </w:r>
          </w:p>
          <w:p w:rsidR="00CB281E" w:rsidRPr="00CB281E" w:rsidRDefault="00CB281E" w:rsidP="00CB281E">
            <w:pPr>
              <w:widowControl w:val="0"/>
              <w:suppressAutoHyphens w:val="0"/>
              <w:autoSpaceDE w:val="0"/>
              <w:autoSpaceDN/>
              <w:adjustRightInd w:val="0"/>
              <w:spacing w:after="0" w:line="240" w:lineRule="auto"/>
              <w:ind w:hanging="360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CB281E" w:rsidRPr="00CB281E" w:rsidRDefault="00CB281E" w:rsidP="00031023">
            <w:pPr>
              <w:widowControl w:val="0"/>
              <w:suppressAutoHyphens w:val="0"/>
              <w:autoSpaceDE w:val="0"/>
              <w:autoSpaceDN/>
              <w:adjustRightInd w:val="0"/>
              <w:spacing w:after="0" w:line="240" w:lineRule="auto"/>
              <w:ind w:left="743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B28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Smernica Európskeho parlamentu a Rady 2009/31/ES z 23. apríla 2009 o geologickom ukladaní oxidu uhličitého a o zmene a doplnení smernice Rady 85/337/EHS, smerníc Európskeho parlamentu a Rady 2000/60/ES, 2001/80/ES, 2004/35/ES, 2006/12/ES, 2008/1/ES a nariadenia (ES) č. 1013/2006 (Ú. v. EÚ L 140, 5. 6. 2009). </w:t>
            </w:r>
          </w:p>
          <w:p w:rsidR="00CB281E" w:rsidRPr="00CB281E" w:rsidRDefault="00CB281E" w:rsidP="00CB281E">
            <w:pPr>
              <w:widowControl w:val="0"/>
              <w:suppressAutoHyphens w:val="0"/>
              <w:autoSpaceDE w:val="0"/>
              <w:autoSpaceDN/>
              <w:adjustRightInd w:val="0"/>
              <w:spacing w:after="0" w:line="240" w:lineRule="auto"/>
              <w:ind w:hanging="360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CB281E" w:rsidRPr="00CB281E" w:rsidRDefault="00CB281E" w:rsidP="00031023">
            <w:pPr>
              <w:widowControl w:val="0"/>
              <w:suppressAutoHyphens w:val="0"/>
              <w:autoSpaceDE w:val="0"/>
              <w:autoSpaceDN/>
              <w:adjustRightInd w:val="0"/>
              <w:spacing w:after="0" w:line="240" w:lineRule="auto"/>
              <w:ind w:left="743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B28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Smernica Európskeho parlamentu a Rady 2013/30/EÚ z 12. júna 2013 o bezpečnosti vyhľadávania, prieskumu a ťažby ropy a zemného plynu na mori a o zmene smernice 2004/35/ES (Ú. v. EÚ L 178, 28. 6. 2013). </w:t>
            </w:r>
          </w:p>
          <w:p w:rsidR="00CB281E" w:rsidRPr="00CB281E" w:rsidRDefault="00CB281E" w:rsidP="00CB281E">
            <w:pPr>
              <w:widowControl w:val="0"/>
              <w:suppressAutoHyphens w:val="0"/>
              <w:autoSpaceDE w:val="0"/>
              <w:autoSpaceDN/>
              <w:adjustRightInd w:val="0"/>
              <w:spacing w:after="0" w:line="240" w:lineRule="auto"/>
              <w:ind w:hanging="360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CB281E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81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c)  </w:t>
            </w:r>
            <w:r w:rsidR="00767EDD" w:rsidRPr="00CB281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nie je </w:t>
            </w:r>
            <w:r w:rsidRPr="00CB281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v judikatúre Súdneho dvora EÚ </w:t>
            </w:r>
          </w:p>
          <w:p w:rsidR="00CB281E" w:rsidRPr="00CB281E" w:rsidRDefault="00CB281E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B281E" w:rsidRPr="00CB281E" w:rsidRDefault="00CB281E" w:rsidP="00CB281E">
            <w:pPr>
              <w:pStyle w:val="Odsekzoznamu"/>
              <w:widowControl w:val="0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81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B281E">
              <w:rPr>
                <w:rFonts w:ascii="Times New Roman" w:hAnsi="Times New Roman"/>
                <w:b/>
                <w:bCs/>
                <w:sz w:val="24"/>
                <w:szCs w:val="24"/>
              </w:rPr>
              <w:t>Záväzky Slovenskej republiky vo vzťahu k Európskej únii:</w:t>
            </w:r>
          </w:p>
          <w:p w:rsidR="004B52C0" w:rsidRDefault="00CB281E" w:rsidP="00CB281E">
            <w:pPr>
              <w:pStyle w:val="Default"/>
              <w:numPr>
                <w:ilvl w:val="0"/>
                <w:numId w:val="2"/>
              </w:numPr>
              <w:jc w:val="both"/>
            </w:pPr>
            <w:r w:rsidRPr="00CB281E">
              <w:t xml:space="preserve">lehota na prebranie príslušného právneho aktu Európskej únie, príp. aj osobitná lehota účinnosti jeho ustanovení: </w:t>
            </w:r>
          </w:p>
          <w:p w:rsidR="004B52C0" w:rsidRPr="00CB281E" w:rsidRDefault="004B52C0" w:rsidP="004B52C0">
            <w:pPr>
              <w:widowControl w:val="0"/>
              <w:suppressAutoHyphens w:val="0"/>
              <w:autoSpaceDE w:val="0"/>
              <w:autoSpaceDN/>
              <w:adjustRightInd w:val="0"/>
              <w:spacing w:after="0" w:line="240" w:lineRule="auto"/>
              <w:ind w:left="743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B28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Smernica Európskeho parlamentu a Rady 94/22/ES z 30. mája 1994 o podmienkach udeľovania a používania povoľovaní na vyhľadávanie, prieskum a ťažbu uhľovodíkov (Mimoriadne vydanie, Ú. v. EÚ, kap. 6/zv. 2; Ú. v. ES L 164, 30. 6.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994): 1. júla 1995</w:t>
            </w:r>
          </w:p>
          <w:p w:rsidR="004B52C0" w:rsidRPr="00CB281E" w:rsidRDefault="004B52C0" w:rsidP="004B52C0">
            <w:pPr>
              <w:widowControl w:val="0"/>
              <w:suppressAutoHyphens w:val="0"/>
              <w:autoSpaceDE w:val="0"/>
              <w:autoSpaceDN/>
              <w:adjustRightInd w:val="0"/>
              <w:spacing w:after="0" w:line="240" w:lineRule="auto"/>
              <w:ind w:hanging="360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B52C0" w:rsidRPr="00CB281E" w:rsidRDefault="004B52C0" w:rsidP="004B52C0">
            <w:pPr>
              <w:widowControl w:val="0"/>
              <w:suppressAutoHyphens w:val="0"/>
              <w:autoSpaceDE w:val="0"/>
              <w:autoSpaceDN/>
              <w:adjustRightInd w:val="0"/>
              <w:spacing w:after="0" w:line="240" w:lineRule="auto"/>
              <w:ind w:left="743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B28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Smernica Európskeho parlamentu a Rady 2009/31/ES z 23. apríla 2009 o geologickom ukladaní oxidu uhličitého a o zmene a doplnení smernice Rady 85/337/EHS, smerníc Európskeho parlamentu a Rady 2000/60/ES, 2001/80/ES, 2004/35/ES, 2006/12/ES, 2008/1/ES a nariadenia (ES) č. 1013/200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 (Ú. v. EÚ L 140, 5. 6. 2009): 25. júna 2011</w:t>
            </w:r>
          </w:p>
          <w:p w:rsidR="004B52C0" w:rsidRPr="00CB281E" w:rsidRDefault="004B52C0" w:rsidP="004B52C0">
            <w:pPr>
              <w:widowControl w:val="0"/>
              <w:suppressAutoHyphens w:val="0"/>
              <w:autoSpaceDE w:val="0"/>
              <w:autoSpaceDN/>
              <w:adjustRightInd w:val="0"/>
              <w:spacing w:after="0" w:line="240" w:lineRule="auto"/>
              <w:ind w:hanging="360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B52C0" w:rsidRPr="00CB281E" w:rsidRDefault="004B52C0" w:rsidP="004B52C0">
            <w:pPr>
              <w:widowControl w:val="0"/>
              <w:suppressAutoHyphens w:val="0"/>
              <w:autoSpaceDE w:val="0"/>
              <w:autoSpaceDN/>
              <w:adjustRightInd w:val="0"/>
              <w:spacing w:after="0" w:line="240" w:lineRule="auto"/>
              <w:ind w:left="743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B28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Smernica Európskeho parlamentu a Rady 2013/30/EÚ z 12. júna 2013 o </w:t>
            </w:r>
            <w:r w:rsidRPr="00CB28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 xml:space="preserve">bezpečnosti vyhľadávania, prieskumu a ťažby ropy a zemného plynu na mori a o zmene smernice 2004/35/ES (Ú. v. EÚ L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178, 28. 6. 2013): 19. júla 2016, 19. júla 2018</w:t>
            </w:r>
          </w:p>
          <w:p w:rsidR="004B52C0" w:rsidRDefault="004B52C0" w:rsidP="0039329D">
            <w:pPr>
              <w:pStyle w:val="Default"/>
              <w:jc w:val="both"/>
            </w:pPr>
          </w:p>
          <w:p w:rsidR="00CB281E" w:rsidRPr="00CB281E" w:rsidRDefault="00CB281E" w:rsidP="00CB281E">
            <w:pPr>
              <w:pStyle w:val="Default"/>
              <w:numPr>
                <w:ilvl w:val="0"/>
                <w:numId w:val="2"/>
              </w:numPr>
              <w:jc w:val="both"/>
            </w:pPr>
            <w:r w:rsidRPr="00CB281E">
              <w:t>informácia o začatí konania v rámci „EÚ Pilot“ alebo o začatí postupu Európskej komisie, alebo o konaní Súdneho dvora Európskej únie proti Slov</w:t>
            </w:r>
            <w:r>
              <w:t xml:space="preserve">enskej republike podľa čl. 258 </w:t>
            </w:r>
            <w:r w:rsidRPr="00CB281E">
              <w:t>a 260 Zmluvy o fungovaní Európskej únie v jej platnom znení, spolu s uvedení konkrétnych vytýkaných nedostatkov a požiadaviek na zabezpečenie nápravy so zreteľom na nariadenie Európskeho parlamentu a Rady (ES) č. 1049/2001 z 30. mája 2001 o prístupe verejnosti k dokumentom Európskeho parlamentu, Rady a Komisie: bezpredmetné</w:t>
            </w:r>
          </w:p>
          <w:p w:rsidR="00CB281E" w:rsidRPr="00CB281E" w:rsidRDefault="00CB281E" w:rsidP="00CB281E">
            <w:pPr>
              <w:pStyle w:val="Default"/>
              <w:ind w:hanging="360"/>
            </w:pPr>
          </w:p>
          <w:p w:rsidR="0039329D" w:rsidRDefault="00CB281E" w:rsidP="004C2002">
            <w:pPr>
              <w:pStyle w:val="Default"/>
              <w:numPr>
                <w:ilvl w:val="0"/>
                <w:numId w:val="2"/>
              </w:numPr>
              <w:jc w:val="both"/>
            </w:pPr>
            <w:r w:rsidRPr="00CB281E">
              <w:t xml:space="preserve">informácia o právnych predpisoch, v ktorých sú uvádzané právne akty Európskej </w:t>
            </w:r>
            <w:r>
              <w:t xml:space="preserve">únie </w:t>
            </w:r>
            <w:r w:rsidRPr="00CB281E">
              <w:t>už prebrané, spolu s uvedením rozsahu ich prebrania, príp. potreby prijatia ďalších úprav:</w:t>
            </w:r>
          </w:p>
          <w:p w:rsidR="0039329D" w:rsidRDefault="0039329D" w:rsidP="0039329D">
            <w:pPr>
              <w:pStyle w:val="Default"/>
              <w:ind w:left="720"/>
              <w:jc w:val="both"/>
              <w:rPr>
                <w:rFonts w:eastAsia="Times New Roman"/>
                <w:lang w:eastAsia="sk-SK"/>
              </w:rPr>
            </w:pPr>
            <w:r w:rsidRPr="00CB281E">
              <w:rPr>
                <w:rFonts w:eastAsia="Times New Roman"/>
                <w:lang w:eastAsia="sk-SK"/>
              </w:rPr>
              <w:t>Smernica Európskeho parlamentu a Rady 94/22/ES z 30. mája 1994 o podmienkach udeľovania a používania povoľovaní na vyhľadávanie, prieskum a ťažbu uhľovodíkov (Mimoriadne vydanie, Ú. v. EÚ, kap. 6/zv. 2; Ú. v. ES L 164, 30. 6. 1</w:t>
            </w:r>
            <w:r>
              <w:rPr>
                <w:rFonts w:eastAsia="Times New Roman"/>
                <w:lang w:eastAsia="sk-SK"/>
              </w:rPr>
              <w:t xml:space="preserve">994): Zákon č. 51/1988 </w:t>
            </w:r>
            <w:r w:rsidRPr="007E5BA6">
              <w:rPr>
                <w:rFonts w:eastAsia="Times New Roman"/>
                <w:lang w:eastAsia="sk-SK"/>
              </w:rPr>
              <w:t>o banskej činnosti, výbušninách a o štátnej banskej správe</w:t>
            </w:r>
          </w:p>
          <w:p w:rsidR="005D09A3" w:rsidRDefault="005D09A3" w:rsidP="0039329D">
            <w:pPr>
              <w:pStyle w:val="Default"/>
              <w:ind w:left="720"/>
              <w:jc w:val="both"/>
              <w:rPr>
                <w:rFonts w:eastAsia="Times New Roman"/>
                <w:lang w:eastAsia="sk-SK"/>
              </w:rPr>
            </w:pPr>
            <w:bookmarkStart w:id="0" w:name="_GoBack"/>
            <w:bookmarkEnd w:id="0"/>
          </w:p>
          <w:p w:rsidR="005D09A3" w:rsidRDefault="005D09A3" w:rsidP="005D09A3">
            <w:pPr>
              <w:widowControl w:val="0"/>
              <w:suppressAutoHyphens w:val="0"/>
              <w:autoSpaceDE w:val="0"/>
              <w:autoSpaceDN/>
              <w:adjustRightInd w:val="0"/>
              <w:spacing w:after="0" w:line="240" w:lineRule="auto"/>
              <w:ind w:left="743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B28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Smernica Európskeho parlamentu a Rady 2009/31/ES z 23. apríla 2009 o geologickom ukladaní oxidu uhličitého a o zmene a doplnení smernice Rady 85/337/EHS, smerníc Európskeho parlamentu a Rady 2000/60/ES, 2001/80/ES, 2004/35/ES, 2006/12/ES, 2008/1/ES a nariadenia (ES) č. 1013/200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6 (Ú. v. EÚ L 140, 5. 6. 2009): Zákon č. 24/2006 Z. z. </w:t>
            </w:r>
            <w:r w:rsidRPr="005D09A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 posudzovaní vplyvov na životné prostredie a o zmene a doplnení niektorých zákonov</w:t>
            </w:r>
          </w:p>
          <w:p w:rsidR="005D09A3" w:rsidRDefault="005D09A3" w:rsidP="005D09A3">
            <w:pPr>
              <w:widowControl w:val="0"/>
              <w:suppressAutoHyphens w:val="0"/>
              <w:autoSpaceDE w:val="0"/>
              <w:autoSpaceDN/>
              <w:adjustRightInd w:val="0"/>
              <w:spacing w:after="0" w:line="240" w:lineRule="auto"/>
              <w:ind w:left="743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5D09A3" w:rsidRDefault="005D09A3" w:rsidP="005D09A3">
            <w:pPr>
              <w:pStyle w:val="Default"/>
              <w:ind w:left="720"/>
              <w:jc w:val="both"/>
              <w:rPr>
                <w:rFonts w:eastAsia="Times New Roman"/>
                <w:lang w:eastAsia="sk-SK"/>
              </w:rPr>
            </w:pPr>
            <w:r w:rsidRPr="00CB281E">
              <w:rPr>
                <w:rFonts w:eastAsia="Times New Roman"/>
                <w:lang w:eastAsia="sk-SK"/>
              </w:rPr>
              <w:t xml:space="preserve">Smernica Európskeho parlamentu a Rady 2013/30/EÚ z 12. júna 2013 o bezpečnosti vyhľadávania, prieskumu a ťažby ropy a zemného plynu na mori a o zmene smernice 2004/35/ES (Ú. v. EÚ L </w:t>
            </w:r>
            <w:r>
              <w:rPr>
                <w:rFonts w:eastAsia="Times New Roman"/>
                <w:lang w:eastAsia="sk-SK"/>
              </w:rPr>
              <w:t xml:space="preserve">178, 28. 6. 2013): Zákon č. 51/1988 </w:t>
            </w:r>
            <w:r w:rsidRPr="007E5BA6">
              <w:rPr>
                <w:rFonts w:eastAsia="Times New Roman"/>
                <w:lang w:eastAsia="sk-SK"/>
              </w:rPr>
              <w:t>o banskej činnosti, výbušninách a o štátnej banskej správe</w:t>
            </w:r>
          </w:p>
          <w:p w:rsidR="0039329D" w:rsidRPr="00CB281E" w:rsidRDefault="0039329D" w:rsidP="005D09A3">
            <w:pPr>
              <w:pStyle w:val="Default"/>
              <w:jc w:val="both"/>
            </w:pPr>
          </w:p>
          <w:p w:rsidR="00CB281E" w:rsidRPr="00CB281E" w:rsidRDefault="00CB281E" w:rsidP="00CB281E">
            <w:pPr>
              <w:pStyle w:val="Default"/>
              <w:ind w:left="426" w:hanging="360"/>
            </w:pPr>
          </w:p>
          <w:p w:rsidR="00CB281E" w:rsidRPr="00CB281E" w:rsidRDefault="00CB281E" w:rsidP="00CB281E">
            <w:pPr>
              <w:pStyle w:val="Default"/>
              <w:numPr>
                <w:ilvl w:val="0"/>
                <w:numId w:val="3"/>
              </w:numPr>
              <w:rPr>
                <w:b/>
              </w:rPr>
            </w:pPr>
            <w:r w:rsidRPr="00CB281E">
              <w:rPr>
                <w:b/>
              </w:rPr>
              <w:t>Návrh zákona je zlučiteľný s právom Európskej únie:</w:t>
            </w:r>
          </w:p>
          <w:p w:rsidR="00CB281E" w:rsidRPr="00CB281E" w:rsidRDefault="00CB281E" w:rsidP="00CB281E">
            <w:pPr>
              <w:pStyle w:val="Default"/>
              <w:ind w:left="426" w:hanging="360"/>
            </w:pPr>
            <w:r w:rsidRPr="00CB281E">
              <w:t>úplne</w:t>
            </w:r>
          </w:p>
          <w:p w:rsidR="00CB281E" w:rsidRPr="00CB281E" w:rsidRDefault="00CB281E" w:rsidP="00CB281E">
            <w:pPr>
              <w:pStyle w:val="Default"/>
              <w:ind w:hanging="360"/>
            </w:pPr>
          </w:p>
          <w:p w:rsidR="00CB281E" w:rsidRPr="00CB281E" w:rsidRDefault="00CB281E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339"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25A" w:rsidRPr="00CB281E" w:rsidRDefault="00E3425A" w:rsidP="00CB281E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hanging="36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00580" w:rsidRDefault="00E00580" w:rsidP="004211CD"/>
    <w:sectPr w:rsidR="00E0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9E7"/>
    <w:multiLevelType w:val="hybridMultilevel"/>
    <w:tmpl w:val="DA1861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0A"/>
    <w:multiLevelType w:val="hybridMultilevel"/>
    <w:tmpl w:val="5AC24FC8"/>
    <w:lvl w:ilvl="0" w:tplc="62D4F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6A9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4E28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C065F7"/>
    <w:multiLevelType w:val="hybridMultilevel"/>
    <w:tmpl w:val="C14E7FC0"/>
    <w:lvl w:ilvl="0" w:tplc="903A8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C2"/>
    <w:rsid w:val="00031023"/>
    <w:rsid w:val="00062C7E"/>
    <w:rsid w:val="000759C2"/>
    <w:rsid w:val="0039329D"/>
    <w:rsid w:val="004211CD"/>
    <w:rsid w:val="004B52C0"/>
    <w:rsid w:val="004C2002"/>
    <w:rsid w:val="005D09A3"/>
    <w:rsid w:val="006066B8"/>
    <w:rsid w:val="00767EDD"/>
    <w:rsid w:val="00CB281E"/>
    <w:rsid w:val="00E00580"/>
    <w:rsid w:val="00E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3425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B2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B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3425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B2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B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 Lukas</dc:creator>
  <cp:keywords/>
  <dc:description/>
  <cp:lastModifiedBy>Borovska Michala</cp:lastModifiedBy>
  <cp:revision>11</cp:revision>
  <dcterms:created xsi:type="dcterms:W3CDTF">2019-05-03T07:57:00Z</dcterms:created>
  <dcterms:modified xsi:type="dcterms:W3CDTF">2019-08-12T12:09:00Z</dcterms:modified>
</cp:coreProperties>
</file>