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857DF" w:rsidRDefault="000857DF">
      <w:pPr>
        <w:jc w:val="center"/>
        <w:divId w:val="1744569316"/>
        <w:rPr>
          <w:rFonts w:ascii="Times" w:hAnsi="Times" w:cs="Times"/>
          <w:sz w:val="25"/>
          <w:szCs w:val="25"/>
        </w:rPr>
      </w:pPr>
      <w:r>
        <w:rPr>
          <w:rFonts w:ascii="Times" w:hAnsi="Times" w:cs="Times"/>
          <w:sz w:val="25"/>
          <w:szCs w:val="25"/>
        </w:rPr>
        <w:t>Zákon, ktorým sa mení a dopĺňa zákon č. 58/2014 Z. z. o výbušninách, výbušných predmetoch a munícii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857DF" w:rsidP="000857DF">
            <w:pPr>
              <w:spacing w:after="0" w:line="240" w:lineRule="auto"/>
              <w:rPr>
                <w:rFonts w:ascii="Times New Roman" w:hAnsi="Times New Roman" w:cs="Calibri"/>
                <w:sz w:val="20"/>
                <w:szCs w:val="20"/>
              </w:rPr>
            </w:pPr>
            <w:r>
              <w:rPr>
                <w:rFonts w:ascii="Times" w:hAnsi="Times" w:cs="Times"/>
                <w:sz w:val="25"/>
                <w:szCs w:val="25"/>
              </w:rPr>
              <w:t>54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857DF" w:rsidP="000857DF">
            <w:pPr>
              <w:spacing w:after="0" w:line="240" w:lineRule="auto"/>
              <w:rPr>
                <w:rFonts w:ascii="Times New Roman" w:hAnsi="Times New Roman" w:cs="Calibri"/>
                <w:sz w:val="20"/>
                <w:szCs w:val="20"/>
              </w:rPr>
            </w:pPr>
            <w:r>
              <w:rPr>
                <w:rFonts w:ascii="Times" w:hAnsi="Times" w:cs="Times"/>
                <w:sz w:val="25"/>
                <w:szCs w:val="25"/>
              </w:rPr>
              <w:t>54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857DF" w:rsidP="000857DF">
            <w:pPr>
              <w:spacing w:after="0" w:line="240" w:lineRule="auto"/>
              <w:rPr>
                <w:rFonts w:ascii="Times New Roman" w:hAnsi="Times New Roman" w:cs="Calibri"/>
                <w:sz w:val="20"/>
                <w:szCs w:val="20"/>
              </w:rPr>
            </w:pPr>
            <w:r>
              <w:rPr>
                <w:rFonts w:ascii="Times" w:hAnsi="Times" w:cs="Times"/>
                <w:sz w:val="25"/>
                <w:szCs w:val="25"/>
              </w:rPr>
              <w:t>45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857DF" w:rsidP="000857D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857DF" w:rsidP="000857DF">
            <w:pPr>
              <w:spacing w:after="0" w:line="240" w:lineRule="auto"/>
              <w:rPr>
                <w:rFonts w:ascii="Times New Roman" w:hAnsi="Times New Roman" w:cs="Calibri"/>
                <w:sz w:val="20"/>
                <w:szCs w:val="20"/>
              </w:rPr>
            </w:pPr>
            <w:r>
              <w:rPr>
                <w:rFonts w:ascii="Times" w:hAnsi="Times" w:cs="Times"/>
                <w:sz w:val="25"/>
                <w:szCs w:val="25"/>
              </w:rPr>
              <w:t>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0857DF" w:rsidRDefault="000857D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857DF">
        <w:trPr>
          <w:divId w:val="6113999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Vôbec nezaslali</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Slovenská asociácia pyrotechnických firiem</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Združenie bezpečnostného a obranného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x</w:t>
            </w:r>
          </w:p>
        </w:tc>
      </w:tr>
      <w:tr w:rsidR="000857DF">
        <w:trPr>
          <w:divId w:val="611399944"/>
          <w:jc w:val="center"/>
        </w:trPr>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54 (36o,18z)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57DF" w:rsidRDefault="000857D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857DF" w:rsidRDefault="000857D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Spôsob vyhodnotenia</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Navrhujeme slová „ohrozené výbušninami, výbušnými predmetmi a muníciou“ nahradiť slovami „dotknuté činnosťou, o povolenie ktorej sa žiada“. Takéto vyjadrenie sa javí byť právne presnejšie a štylisticky vhodnejšie vo vzťahu k právam a právom chránených záujmom, ktorých sa môže dotknúť povoľovaná „činnosť“, a nie predmet, ktorý sa pri tejto činnosti 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čl. I úvodnej vete za slovo „zákonov“ vložiť slová „v znení zákona č. 331/2015 Z. z., zákona č. 177/2018 Z. z. a zákona č. 220/2018 Z. z.“, v čl. II vypustiť slovo „dňom“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br/>
              <w:t xml:space="preserve">Vlastný materiál K bodu 2: Navrhované ustanovenie nie je v súlade s § 86 zákona, podľa ktorého sa na konanie podľa § 41 v plnom rozsahu vzťahuje všeobecný predpis o správnom konaní, </w:t>
            </w:r>
            <w:r>
              <w:rPr>
                <w:rFonts w:ascii="Times" w:hAnsi="Times" w:cs="Times"/>
                <w:sz w:val="25"/>
                <w:szCs w:val="25"/>
              </w:rPr>
              <w:lastRenderedPageBreak/>
              <w:t xml:space="preserve">teda aj § 14 správneho poriadku ,ktorý definuje účastníka konania. Z uvedeného dôvodu bude potrebné novelizovať aj § 86 zákona. Sme však toho názoru, že ani na základe navrhovanej definície účastníka konania podľa § 41a zákona, ktorým bude okrem žiadateľa, priamo ohrozená fyzická osoba alebo právnická osoba, nebude ako účastník konania vylúčená taká osoba, ktorá sa účastníctva bude domáhať na základe ústavného práva na spravodlivý proces podľa čl. 46 Ústavy Slovenskej republiky, a to vzhľadom aj na charakter činností, ktoré sa povoľujú. Z legislatívno-technického dôvodu navrhujeme bod 2 riešiť ako odsek 2 § 41 (bod 33 prílohy č. 1 legislatívnych pravidiel vlády), a nie ako samostatný paragraf.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Odporúčame v čl. I návrhu zákona doplniť novelizačný bod 4, ktorý znie: „4. V § 61 ods. 4 sa za slová „vojenské objekty“ vkladá čiarka a slová „a vojenské priestory“ sa nahrádzajú slovami „vojenské obvody a územia slúžiace na zabezpečenie úloh obrany štátu“.“. Odôvodnenie Zákon č. 281/1997 Z. z. o vojenských obvodoch a zákon, ktorým sa mení zákon Národnej rady Slovenskej republiky č. 222/1996 Z. z. o organizácii miestnej štátnej správy a o zmene a doplnení niektorých zákonov v znení neskorších predpisov v znení neskorších predpisov vymedzuje pojem „vojenský obvod“ ako územný celok a správny celok slúžiaci na zabezpečenie úloh obrany a bezpečnosti štátu. V právnom poriadku Slovenskej republiky zároveň nie je uvedená legálna definícia pojmu „vojenský priestor“. Za účelom predchádzania výkladových a aplikačných </w:t>
            </w:r>
            <w:r>
              <w:rPr>
                <w:rFonts w:ascii="Times" w:hAnsi="Times" w:cs="Times"/>
                <w:sz w:val="25"/>
                <w:szCs w:val="25"/>
              </w:rPr>
              <w:lastRenderedPageBreak/>
              <w:t xml:space="preserve">problémov pri nejednoznačnom vymedzení pojmov a právomoci sa navrhuje nahradenie pojmu „vojenský priestor“ pojmom „vojenský obvod“. Pre úplnosť sa medzi územiami, na ktorých vyhľadávanie a ničenie výbušnín vykonávajú vojenskí pyrotechnici, uvádzajú aj územia slúžiace na zabezpečenie obrany štátu, ktoré spravuje Ministerstvo obrany Slovenskej republiky alebo právnická osoba v jeho zakladateľskej alebo zriaďovateľskej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Odporúčame v čl. I návrhu zákona doplniť novelizačný bod 5, ktorý znie: „5. V § 62 ods. 2 sa za slová „vojenských objektov“ vkladá čiarka a slová „a priestorov“ sa nahrádzajú slovami „vojenských obvodov a území slúžiacich na zabezpečenie úloh obrany štátu“.“. Odôvodnenie Zákon č. 281/1997 Z. z. o vojenských obvodoch a zákon, ktorým sa mení zákon Národnej rady Slovenskej republiky č. 222/1996 Z. z. o organizácii miestnej štátnej správy a o zmene a doplnení niektorých zákonov v znení neskorších predpisov v znení neskorších predpisov vymedzuje pojem „vojenský obvod“ ako územný celok a správny celok slúžiaci na zabezpečenie úloh obrany a bezpečnosti štátu. V právnom poriadku Slovenskej republiky zároveň nie je uvedená legálna definícia pojmu „vojenský priestor“. Za účelom predchádzania výkladových a aplikačných problémov pri nejednoznačnom vymedzení pojmov a právomoci sa navrhuje nahradenie pojmu „vojenský priestor“ pojmom „vojenský obvod“. Pre úplnosť sa medzi územiami, na ktorých vyhľadávanie a ničenie výbušnín vykonávajú vojenskí </w:t>
            </w:r>
            <w:r>
              <w:rPr>
                <w:rFonts w:ascii="Times" w:hAnsi="Times" w:cs="Times"/>
                <w:sz w:val="25"/>
                <w:szCs w:val="25"/>
              </w:rPr>
              <w:lastRenderedPageBreak/>
              <w:t xml:space="preserve">pyrotechnici, uvádzajú aj územia slúžiace na zabezpečenie obrany štátu, ktoré spravuje Ministerstvo obrany Slovenskej republiky alebo právnická osoba v jeho zakladateľskej alebo zriaďovateľskej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čl. II návrhu zákona </w:t>
            </w:r>
            <w:r>
              <w:rPr>
                <w:rFonts w:ascii="Times" w:hAnsi="Times" w:cs="Times"/>
                <w:sz w:val="25"/>
                <w:szCs w:val="25"/>
              </w:rPr>
              <w:br/>
              <w:t>V Čl. II návrhu zákona žiadame na konci pripojiť tieto slová: „okrem čl. I bodu 3 (§ 57), bodu 6 [§ 87 ods. 2 písm. a)] a bodu 7 (§ 88b), ktoré nadobúdajú účinnosť 1. februára 2021.“ Odôvodnenie Žiadame upraviť osobitný dátum nadobudnutia účinnosti návrhu zákona vo vzťahu k čl. I bodom 3, 6 a 7, ktorými sa menia ustanovenia § 57 a § 87 ods. 2 písm. a) a dopĺňa prechodné ustanovenie § 88b zákona č. 58/2014 Z. z. o výbušninách, výbušných predmetoch a munícii a o zmene a doplnení niektorých zákonov v znení neskorších predpisov. Účinnosť uvedenej právnej úpravy žiadame posunúť k 1. februáru 2021, a to vzhľadom na ustanovenia § 14 a § 31 ods. 2 zákona č. 56/2018 Z. z. o posudzovaní zhody výrobku, sprístupňovaní určeného výrobku na trhu a o zmene a doplnení niektorých zákonov.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Žiadame v čl. I návrhu zákona doplniť novelizačný bod 3, ktorý znie: „3. § 57 znie: „§ 57 Technický stav výbušnín, výbušných predmetov, munície a posudzovanie zhody (1) Ministerstvo obrany, ministerstvo vnútra, oprávnená osoba a školiace zariadenie podľa § 27 ods. 2 sú vo svojej pôsobnosti povinní a) udržiavať výbušniny, výbušné predmety, muníciu a ich obaly v </w:t>
            </w:r>
            <w:r>
              <w:rPr>
                <w:rFonts w:ascii="Times" w:hAnsi="Times" w:cs="Times"/>
                <w:sz w:val="25"/>
                <w:szCs w:val="25"/>
              </w:rPr>
              <w:lastRenderedPageBreak/>
              <w:t xml:space="preserve">riadnom technickom stave, b) mať neustále prehľad o technickom stave výbušnín, výbušných predmetov alebo munície a ich obalov, c) zabezpečiť posudzovanie </w:t>
            </w:r>
            <w:proofErr w:type="spellStart"/>
            <w:r>
              <w:rPr>
                <w:rFonts w:ascii="Times" w:hAnsi="Times" w:cs="Times"/>
                <w:sz w:val="25"/>
                <w:szCs w:val="25"/>
              </w:rPr>
              <w:t>zhodya</w:t>
            </w:r>
            <w:proofErr w:type="spellEnd"/>
            <w:r>
              <w:rPr>
                <w:rFonts w:ascii="Times" w:hAnsi="Times" w:cs="Times"/>
                <w:sz w:val="25"/>
                <w:szCs w:val="25"/>
              </w:rPr>
              <w:t xml:space="preserve">) výbušnín, výbušných predmetov alebo munície v rozsahu a lehotách ustanovených týmto zákonom bez vyzvania a na vlastné náklady; uvedené sa nevzťahuje na výbušniny, výbušné predmety a muníciu určenú na výcvik pyrotechnikov, ktoré sa podrobia kontrole technického stavu určeným pyrotechnikom podľa tohto zákona, d) zabezpečiť overenie technického stavu obalov určených na prepravu výbušnín, výbušných predmetov a munície podľa medzinárodnej zmluvy, ktorou je Slovenská republika </w:t>
            </w:r>
            <w:proofErr w:type="spellStart"/>
            <w:r>
              <w:rPr>
                <w:rFonts w:ascii="Times" w:hAnsi="Times" w:cs="Times"/>
                <w:sz w:val="25"/>
                <w:szCs w:val="25"/>
              </w:rPr>
              <w:t>viazaná.b</w:t>
            </w:r>
            <w:proofErr w:type="spellEnd"/>
            <w:r>
              <w:rPr>
                <w:rFonts w:ascii="Times" w:hAnsi="Times" w:cs="Times"/>
                <w:sz w:val="25"/>
                <w:szCs w:val="25"/>
              </w:rPr>
              <w:t xml:space="preserve">) (2) Posudzovanie zhody výbušnín, výbušných predmetov a munície, na iné ako civilné použitie, ktoré sú určeným </w:t>
            </w:r>
            <w:proofErr w:type="spellStart"/>
            <w:r>
              <w:rPr>
                <w:rFonts w:ascii="Times" w:hAnsi="Times" w:cs="Times"/>
                <w:sz w:val="25"/>
                <w:szCs w:val="25"/>
              </w:rPr>
              <w:t>výrobkomc</w:t>
            </w:r>
            <w:proofErr w:type="spellEnd"/>
            <w:r>
              <w:rPr>
                <w:rFonts w:ascii="Times" w:hAnsi="Times" w:cs="Times"/>
                <w:sz w:val="25"/>
                <w:szCs w:val="25"/>
              </w:rPr>
              <w:t xml:space="preserve">) vykonáva autorizovaná </w:t>
            </w:r>
            <w:proofErr w:type="spellStart"/>
            <w:r>
              <w:rPr>
                <w:rFonts w:ascii="Times" w:hAnsi="Times" w:cs="Times"/>
                <w:sz w:val="25"/>
                <w:szCs w:val="25"/>
              </w:rPr>
              <w:t>osobad</w:t>
            </w:r>
            <w:proofErr w:type="spellEnd"/>
            <w:r>
              <w:rPr>
                <w:rFonts w:ascii="Times" w:hAnsi="Times" w:cs="Times"/>
                <w:sz w:val="25"/>
                <w:szCs w:val="25"/>
              </w:rPr>
              <w:t xml:space="preserve">), autorizovaná podľa osobitného </w:t>
            </w:r>
            <w:proofErr w:type="spellStart"/>
            <w:r>
              <w:rPr>
                <w:rFonts w:ascii="Times" w:hAnsi="Times" w:cs="Times"/>
                <w:sz w:val="25"/>
                <w:szCs w:val="25"/>
              </w:rPr>
              <w:t>predpisue</w:t>
            </w:r>
            <w:proofErr w:type="spellEnd"/>
            <w:r>
              <w:rPr>
                <w:rFonts w:ascii="Times" w:hAnsi="Times" w:cs="Times"/>
                <w:sz w:val="25"/>
                <w:szCs w:val="25"/>
              </w:rPr>
              <w:t xml:space="preserve">) postupom posudzovania </w:t>
            </w:r>
            <w:proofErr w:type="spellStart"/>
            <w:r>
              <w:rPr>
                <w:rFonts w:ascii="Times" w:hAnsi="Times" w:cs="Times"/>
                <w:sz w:val="25"/>
                <w:szCs w:val="25"/>
              </w:rPr>
              <w:t>zhodyf</w:t>
            </w:r>
            <w:proofErr w:type="spellEnd"/>
            <w:r>
              <w:rPr>
                <w:rFonts w:ascii="Times" w:hAnsi="Times" w:cs="Times"/>
                <w:sz w:val="25"/>
                <w:szCs w:val="25"/>
              </w:rPr>
              <w:t xml:space="preserve">) podľa technického predpisu z oblasti posudzovania </w:t>
            </w:r>
            <w:proofErr w:type="spellStart"/>
            <w:r>
              <w:rPr>
                <w:rFonts w:ascii="Times" w:hAnsi="Times" w:cs="Times"/>
                <w:sz w:val="25"/>
                <w:szCs w:val="25"/>
              </w:rPr>
              <w:t>zhody.g</w:t>
            </w:r>
            <w:proofErr w:type="spellEnd"/>
            <w:r>
              <w:rPr>
                <w:rFonts w:ascii="Times" w:hAnsi="Times" w:cs="Times"/>
                <w:sz w:val="25"/>
                <w:szCs w:val="25"/>
              </w:rPr>
              <w:t xml:space="preserve">) (3) Posudzovanie zhody výbušnín, výbušných predmetov a munície podľa odseku 2 na účely obrany sa vykonáva ako a) prvotné posudzovanie zhody, ktoré je povinný zabezpečiť výrobca alebo iná povinná osoba podľa osobitného </w:t>
            </w:r>
            <w:proofErr w:type="spellStart"/>
            <w:r>
              <w:rPr>
                <w:rFonts w:ascii="Times" w:hAnsi="Times" w:cs="Times"/>
                <w:sz w:val="25"/>
                <w:szCs w:val="25"/>
              </w:rPr>
              <w:t>predpisu,h</w:t>
            </w:r>
            <w:proofErr w:type="spellEnd"/>
            <w:r>
              <w:rPr>
                <w:rFonts w:ascii="Times" w:hAnsi="Times" w:cs="Times"/>
                <w:sz w:val="25"/>
                <w:szCs w:val="25"/>
              </w:rPr>
              <w:t xml:space="preserve">) b) opakové posudzovanie zhody, ktoré je povinná zabezpečiť osoba podľa odseku 1. (4) Autorizovaná osoba vydá výstupné dokumenty posudzovania </w:t>
            </w:r>
            <w:proofErr w:type="spellStart"/>
            <w:r>
              <w:rPr>
                <w:rFonts w:ascii="Times" w:hAnsi="Times" w:cs="Times"/>
                <w:sz w:val="25"/>
                <w:szCs w:val="25"/>
              </w:rPr>
              <w:t>zhody,i</w:t>
            </w:r>
            <w:proofErr w:type="spellEnd"/>
            <w:r>
              <w:rPr>
                <w:rFonts w:ascii="Times" w:hAnsi="Times" w:cs="Times"/>
                <w:sz w:val="25"/>
                <w:szCs w:val="25"/>
              </w:rPr>
              <w:t xml:space="preserve">) ktorými sú záverečný protokol a rozhodnutie o zhode. (5) Na základe rozhodnutia o zhode môže výrobca, ministerstvo obrany alebo ministerstvo vnútra predĺžiť technickú životnosť výbušniny, výbušného predmetu alebo munície. (6) Ak výsledky posúdenia zhody preukážu technické nedostatky, ktoré znižujú bezpečnosť </w:t>
            </w:r>
            <w:r>
              <w:rPr>
                <w:rFonts w:ascii="Times" w:hAnsi="Times" w:cs="Times"/>
                <w:sz w:val="25"/>
                <w:szCs w:val="25"/>
              </w:rPr>
              <w:lastRenderedPageBreak/>
              <w:t xml:space="preserve">výbušniny, výbušného predmetu alebo munície na úroveň ohrozujúcu život, zdravie alebo majetok, osoby uvedené v odseku 1 sú povinné rozhodnúť o ďalšom nakladaní najneskôr do 30 dní odo dňa doručenia rozhodnutia o zhode výrobku s technickou dokumentáciou.“. Poznámky pod čiarou k odkazom a až h znejú: „a) Čl. 2 ods. 12 nariadenia Európskeho parlamentu a Rady (ES) č. 765/2008 z 9. júla 2008, ktorým sa stanovujú požiadavky akreditácie a dohľadu nad trhom v súvislosti s uvádzaním výrobkov na trh a ktorým sa zrušuje nariadenie (EHS) č. 339/93 (Ú. v. EÚ L 218, 13. 8. 2008). b) Napríklad Európska dohoda o medzinárodnej cestnej preprave nebezpečných vecí (ADR) v znení zmien a doplnkov (vyhláška ministra zahraničných vecí č. 64/1987 Zb. v znení oznámenia č. 205/2009 Z. z.), Dodatok C – Poriadok pre medzinárodnú železničnú prepravu nebezpečného tovaru (RID) k Dohovoru o medzinárodnej železničnej preprave (COTIF) v znení zmien a doplnkov (vyhláška ministra zahraničných vecí č. 8/1985 Zb. v znení oznámenia č. 45/2013 Z. z.), Európska dohoda o medzinárodnej preprave nebezpečného tovaru po vnútrozemských vodných cestách (ADN) v znení zmien a doplnkov (oznámenie Ministerstva zahraničných vecí Slovenskej republiky č. 331/2010 Z. z. v znení oznámenia č. 78/2013 Z. z.). c) § 4 ods. 1 zákona č. 56/2018 Z. z. o posudzovaní zhody výrobku, sprístupňovaní určeného výrobku na trhu a o zmene a doplnení niektorých zákonov. d) § 10 ods. 4 zákona č. 56/2018 Z. z. e) § 10 až 19, 21 zákona č. 56/2018 Z. z. f) § 22 ods. 1 písm. q) zákona č. 56/2018 Z. z. g) § 2 písm. e) zákona č. 56/2018 Z. z. h) Napríklad § 5 ods. 1 písm. c) a ods. 2 a § 9 </w:t>
            </w:r>
            <w:r>
              <w:rPr>
                <w:rFonts w:ascii="Times" w:hAnsi="Times" w:cs="Times"/>
                <w:sz w:val="25"/>
                <w:szCs w:val="25"/>
              </w:rPr>
              <w:lastRenderedPageBreak/>
              <w:t>zákona č. 56/2018 Z. z. i) § 2 písm. f) zákona č. 56/2018 Z. z.“.“. Odôvodnenie V nadväznosti na znenie nového zákona č. 56/2018 Z. z. o posudzovaní zhody výrobku, sprístupňovaní určeného výrobku na trhu a o zmene a doplnení niektorých zákonov, v ktorom oproti zneniu doterajšieho zákona č. 264/1999 Z. z. v znení neskorších predpisov došlo k podstatnej zmene právnej úpravy, je potrebné zosúladiť terminológiu, procesy posudzovania zhody výbušnín, výbušných predmetov a munície na iné ako civilné použitie vykonávané autorizovanou osobou a výstupné dokumenty s platnou právnou úpravou. V prípade nezapracovania tejto požiadavky na úpravu zákona č. 58/2014 Z. z. o výbušninách, výbušných predmetoch a munícii a o zmene a doplnení niektorých zákonov v znení neskorších predpisov nebude môcť Ministerstvo obrany Slovenskej republiky udržiavať výbušniny, výbušné predmety a muníciu v riadnom technickom stave a zabezpečovať posudzovanie ich zhody podľa § 57 tohto zákona, keďže právna úprava posudzovania zhody týchto určených výrobkov nebude v súlade s požiadavkami zákona č. 56/2018 Z. z. a nebude možné udeliť novú autorizáciu osobe, ktorá by posudzovanie zhody mohla vykonávať. Podotýkame, že požadovaná právna úprava § 57 bola pripravená v súčinnosti aj s Úradom pre normalizáciu, metrológiu a skúšobníctvo Slovenskej republiky.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Nad rámec návrhu zákona </w:t>
            </w:r>
            <w:r>
              <w:rPr>
                <w:rFonts w:ascii="Times" w:hAnsi="Times" w:cs="Times"/>
                <w:sz w:val="25"/>
                <w:szCs w:val="25"/>
              </w:rPr>
              <w:br/>
              <w:t xml:space="preserve">Žiadame v čl. I návrhu zákona doplniť novelizačný bod 6, ktorý </w:t>
            </w:r>
            <w:r>
              <w:rPr>
                <w:rFonts w:ascii="Times" w:hAnsi="Times" w:cs="Times"/>
                <w:sz w:val="25"/>
                <w:szCs w:val="25"/>
              </w:rPr>
              <w:lastRenderedPageBreak/>
              <w:t>znie: „6. V § 87 ods. 2 písmeno a) znie: „a) výbušniny, výbušné predmety a muníciu podľa § 57 ods. 2 na účely obrany, základné požiadavky na tieto určené výrobky, lehoty a postupy posudzovania zhody, iné podrobnosti o posudzovaní zhody a náležitosti výstupných dokumentov posudzovania zhody.“.“. Odôvodnenie V nadväznosti na upravené znenie § 57 zákona č. 58/2014 Z. z. o výbušninách, výbušných predmetoch a munícii a o zmene a doplnení niektorých zákonov v znení neskorších predpisov je potrebné zmeniť aj znenie splnomocňovacieho ustanovenia § 87 ods. 2 písm. a) tohto zákona tak, aby bolo zladené s terminológiou a požiadavkami vyplývajúcimi zo zákona č. 56/2018 Z. z. o posudzovaní zhody výrobku, sprístupňovaní určeného výrobku na trhu a o zmene a doplnení niektorých zákonov. V splnomocňovacom ustanovení na vydanie vykonávacieho predpisu, ktorý bude zároveň technickým predpisom z oblasti posudzovania zhody, žiadame upraviť, že v podzákonnej úprave sa vymedzia určené výrobky - výbušniny, výbušné predmety a muníciu na účely obrany, základné požiadavky na tieto určené výrobky, postupy a lehoty posudzovania zhody a iné podrobnosti týkajúce sa posudzovania zhody, ako aj náležitosti výstupných dokumentov.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Žiadame v čl. I návrhu zákona doplniť novelizačný bod 7, ktorý znie: „7. Za § 88a sa vkladá § 88b, ktorý znie: „§ 88b Prechodné ustanovenia k právnej úprave účinnej od 1. februára 2021 </w:t>
            </w:r>
            <w:r>
              <w:rPr>
                <w:rFonts w:ascii="Times" w:hAnsi="Times" w:cs="Times"/>
                <w:sz w:val="25"/>
                <w:szCs w:val="25"/>
              </w:rPr>
              <w:lastRenderedPageBreak/>
              <w:t xml:space="preserve">Autorizovaná osoba vykonáva činnosti podľa § 57 a § 87 ods. 2 písm. a) právnej úpravy účinnej pred 1. februárom 2021 až do nadobudnutia platnosti rozhodnutia o jej autorizácii podľa osobitného </w:t>
            </w:r>
            <w:proofErr w:type="spellStart"/>
            <w:r>
              <w:rPr>
                <w:rFonts w:ascii="Times" w:hAnsi="Times" w:cs="Times"/>
                <w:sz w:val="25"/>
                <w:szCs w:val="25"/>
              </w:rPr>
              <w:t>predpisuy</w:t>
            </w:r>
            <w:proofErr w:type="spellEnd"/>
            <w:r>
              <w:rPr>
                <w:rFonts w:ascii="Times" w:hAnsi="Times" w:cs="Times"/>
                <w:sz w:val="25"/>
                <w:szCs w:val="25"/>
              </w:rPr>
              <w:t xml:space="preserve">) alebo najneskôr do uplynutia platnosti rozhodnutia o jej autorizácii vydaného pred 1. aprílom 2018 podľa osobitného </w:t>
            </w:r>
            <w:proofErr w:type="spellStart"/>
            <w:r>
              <w:rPr>
                <w:rFonts w:ascii="Times" w:hAnsi="Times" w:cs="Times"/>
                <w:sz w:val="25"/>
                <w:szCs w:val="25"/>
              </w:rPr>
              <w:t>predpisu,x</w:t>
            </w:r>
            <w:proofErr w:type="spellEnd"/>
            <w:r>
              <w:rPr>
                <w:rFonts w:ascii="Times" w:hAnsi="Times" w:cs="Times"/>
                <w:sz w:val="25"/>
                <w:szCs w:val="25"/>
              </w:rPr>
              <w:t>).“ Poznámka pod čiarou k odkazom x a y znie: „y) § 14 zákona č. 56/2018 Z. z. x) § 31 ods. 2 zákona č. 56/2018 Z. z.“.“. Odôvodnenie Žiadame doplniť prechodné ustanovenie, ktoré umožní autorizovanej osobe vykonávať preskúšanie určených výrobkov a vydávanie rozhodnutia o zhode a ostatné činnosti podľa § 57 a § 87 ods. 2 písm. a) doterajšej právnej úpravy zákona č. 58/2014 Z. z. o výbušninách, výbušných predmetoch a munícii a o zmene a doplnení niektorých zákonov v znení neskorších predpisov bez prerušenia aj počas prechodného obdobia, ustanoveného na splnenie podmienok na autorizáciu, na predloženie žiadosti a rozhodnutie o autorizácii podľa právnej úpravy zákona č. 56/2018 Z. z. o posudzovaní zhody výrobku, sprístupňovaní určeného výrobku na trhu a o zmene a doplnení niektorých zákonov.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návrhu zákona, čl. I, bod 1</w:t>
            </w:r>
            <w:r>
              <w:rPr>
                <w:rFonts w:ascii="Times" w:hAnsi="Times" w:cs="Times"/>
                <w:sz w:val="25"/>
                <w:szCs w:val="25"/>
              </w:rPr>
              <w:br/>
              <w:t xml:space="preserve">Nakoľko doterajšie ustanovenie § 36 ods. 2 zákona č. 58/2014 Z. z. o výbušninách, výbušných predmetoch a munícii a o zmene a doplnení niektorých zákonov upravovalo predlženie platnosti nielen oprávnenia o odbornej spôsobilosti, ale aj osvedčenia o odbornej spôsobilosti, odporúčame predkladateľovi zvážiť </w:t>
            </w:r>
            <w:r>
              <w:rPr>
                <w:rFonts w:ascii="Times" w:hAnsi="Times" w:cs="Times"/>
                <w:sz w:val="25"/>
                <w:szCs w:val="25"/>
              </w:rPr>
              <w:lastRenderedPageBreak/>
              <w:t xml:space="preserve">náležité doplnenie novo navrhovaného znenia § 36 ods. 2 aj o možnosť predlženia platnosti osvedčenia o odbornej spôsobilosti.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návrhu zákona, čl. I.</w:t>
            </w:r>
            <w:r>
              <w:rPr>
                <w:rFonts w:ascii="Times" w:hAnsi="Times" w:cs="Times"/>
                <w:sz w:val="25"/>
                <w:szCs w:val="25"/>
              </w:rPr>
              <w:br/>
              <w:t xml:space="preserve">Podľa legislatívnych pravidiel vlády SR platí, že v prvom článku novely právneho predpisu sa v jeho úvodnej vete má uvádzať úplný názov pôvodného právneho predpisu, ktorý sa novelizuje; a teda v prípade, že bol právny predpis už predtým novelizovaný, k pôvodnému názvu sa pripájajú slová „v znení“ a uvádza sa skrátená citácia predchádzajúcej novely právneho predpisu (skrátené citácie všetkých predchádzajúcich noviel). Odporúčame preto čl. I v zmysle uvedeného doplniť.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 xml:space="preserve">Odporúčame do úvodnej vety uviesť </w:t>
            </w:r>
            <w:proofErr w:type="spellStart"/>
            <w:r>
              <w:rPr>
                <w:rFonts w:ascii="Times" w:hAnsi="Times" w:cs="Times"/>
                <w:sz w:val="25"/>
                <w:szCs w:val="25"/>
              </w:rPr>
              <w:t>úpný</w:t>
            </w:r>
            <w:proofErr w:type="spellEnd"/>
            <w:r>
              <w:rPr>
                <w:rFonts w:ascii="Times" w:hAnsi="Times" w:cs="Times"/>
                <w:sz w:val="25"/>
                <w:szCs w:val="25"/>
              </w:rPr>
              <w:t xml:space="preserve"> názov právneho predpisu, ktorý sa novelizuje a zároveň uviesť skrátené citácie všetkých predchádzajúcich noviel právneho predpisu. Odôvodnenie: Zosúladenie s LPV, bodom 28.1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bodu 1 ods. 2</w:t>
            </w:r>
            <w:r>
              <w:rPr>
                <w:rFonts w:ascii="Times" w:hAnsi="Times" w:cs="Times"/>
                <w:sz w:val="25"/>
                <w:szCs w:val="25"/>
              </w:rPr>
              <w:br/>
              <w:t xml:space="preserve">Odporúčame zvážiť doplnenie ustanovenia aj o predĺženie platnosti osvedčenia o odbornej spôsobilosti. Zákon č. 58/2014 Z. z. o výbušninách, výbušných predmetoch a munícii a o zmene a doplnení niektorých zákonov v § 36 ods. 2 upravoval aj predĺženie platnosti osvedčenia o odbornej spôsobilosti. Navrhovaná novela právneho predpisu uvádza už len predĺženie platnosti oprávnenia na výkon odbornej funkcie a už neupravuje </w:t>
            </w:r>
            <w:r>
              <w:rPr>
                <w:rFonts w:ascii="Times" w:hAnsi="Times" w:cs="Times"/>
                <w:sz w:val="25"/>
                <w:szCs w:val="25"/>
              </w:rPr>
              <w:lastRenderedPageBreak/>
              <w:t>možnosť predĺženia platnosti osvedčenia o odbornej spôsobilosti po uplynutí 5 ročnej lehoty platnosti.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bodu 1</w:t>
            </w:r>
            <w:r>
              <w:rPr>
                <w:rFonts w:ascii="Times" w:hAnsi="Times" w:cs="Times"/>
                <w:sz w:val="25"/>
                <w:szCs w:val="25"/>
              </w:rPr>
              <w:br/>
              <w:t>K bodu 1: z navrhovaného znenia, na rozdiel od v súčasnosti účinného znenia, nie je zrejmé, o akú lehotu je možné predĺžiť platnosť oprávnenia. V záujme zachovania jednoznačnosti dávame na zváženie zapracovanie tejto skutočnosti do návrhu zákona. Z novelizačného ustanovenia sa vypúšťa právna úprava predĺženia osvedčenia, pričom zámer vypustiť inštitút predĺženia osvedčenia nevyplýva zo sprievodného materiálu. Z uvedeného dôvodu odporúčame zvážiť náležité doplnenie navrhovaného § 36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K dôvodovej správe: znenie dôvodovej správy k bodu 1 patrí do všeobecnej časti, ktorá má na rozdiel od osobitnej časti obsahovať zhodnotenie súčasného stavu. Znenie odôvodnenia k bodu 1 preto odporúčame preformulovať tak, aby vyhovovalo požiadavkám čl. 19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vypustiť slovo „dňom“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1 ods. 3</w:t>
            </w:r>
            <w:r>
              <w:rPr>
                <w:rFonts w:ascii="Times" w:hAnsi="Times" w:cs="Times"/>
                <w:sz w:val="25"/>
                <w:szCs w:val="25"/>
              </w:rPr>
              <w:br/>
              <w:t xml:space="preserve">V § 1 ods. 3 žiadame za slová „§ 52 ods. 1 a 9“ vložiť slová „§ 59 ods. 7“. Túto pripomienku považujeme za zásadnú. Odôvodnenie: V kontexte s nasledujúcou zmenou definície munície a povinnosťami upravenými v navrhovanom znení § 59 </w:t>
            </w:r>
            <w:r>
              <w:rPr>
                <w:rFonts w:ascii="Times" w:hAnsi="Times" w:cs="Times"/>
                <w:sz w:val="25"/>
                <w:szCs w:val="25"/>
              </w:rPr>
              <w:lastRenderedPageBreak/>
              <w:t xml:space="preserve">ods. 7 je vhodné pre Policajný zbor definovať výnimku z uvedeného ustanovenia. Policajný zbor má v oblasti výbušnín, výbušných predmetov a munície postavenie oprávnenej osoby podľa tohto zákona a teda aj oprávnenie na </w:t>
            </w:r>
            <w:proofErr w:type="spellStart"/>
            <w:r>
              <w:rPr>
                <w:rFonts w:ascii="Times" w:hAnsi="Times" w:cs="Times"/>
                <w:sz w:val="25"/>
                <w:szCs w:val="25"/>
              </w:rPr>
              <w:t>delaborovanie</w:t>
            </w:r>
            <w:proofErr w:type="spellEnd"/>
            <w:r>
              <w:rPr>
                <w:rFonts w:ascii="Times" w:hAnsi="Times" w:cs="Times"/>
                <w:sz w:val="25"/>
                <w:szCs w:val="25"/>
              </w:rPr>
              <w:t xml:space="preserve"> munície. V tejto súvislosti by bolo neefektívne, aby mal povinnosť sám pre svoju potrebu vyhotovovať protokoly o </w:t>
            </w:r>
            <w:proofErr w:type="spellStart"/>
            <w:r>
              <w:rPr>
                <w:rFonts w:ascii="Times" w:hAnsi="Times" w:cs="Times"/>
                <w:sz w:val="25"/>
                <w:szCs w:val="25"/>
              </w:rPr>
              <w:t>delaborácii</w:t>
            </w:r>
            <w:proofErr w:type="spellEnd"/>
            <w:r>
              <w:rPr>
                <w:rFonts w:ascii="Times" w:hAnsi="Times" w:cs="Times"/>
                <w:sz w:val="25"/>
                <w:szCs w:val="25"/>
              </w:rPr>
              <w:t xml:space="preserve"> a tým sám sebe deklarovať plnenie požiadaviek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V § 2 písm. a) žiadame slová „a vytvára“ nahradiť slovami „ a je schopná vytvárať“. Túto pripomienku považujeme za zásadnú. Odôvodnenie: Keďže definícia výbušniny v zákone má pokrývať všetky oblasti, ktorých sa problematika výbušnín dotýka, vrátane trestnoprávnej, ukazuje sa potreba doplnenia definície. Niektoré výbušniny vytvárajú plyny takej teploty, tlaku a rýchlosti, že za určitých špecifických podmienok pôsobia deštrukčne na okolie, a preto pri posudzovaní látky predovšetkým v trestnoprávnych otázkach je súčasná definícia nevhodná.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žiadame nasledovné znenie písmena c): „c) muníciou kompletné zariadenie vrátane častí zbraňových systémov a techniky, ktoré obsahuje, alebo obsahovalo výbušninu určenú pre dopravu munície, alebo jej časti na cieľ, alebo vyvolanie žiadaného účinku, strelivo s výbušnou alebo so zápalnou strelou a strelivo od kalibru 20 mm vrátane, okrem signálneho streliva kalibru 26,5 mm, brokového streliva v zmysle C.I.P a neletálneho streliva; za muníciu sa nepovažuje predmet, ktorý </w:t>
            </w:r>
            <w:r>
              <w:rPr>
                <w:rFonts w:ascii="Times" w:hAnsi="Times" w:cs="Times"/>
                <w:sz w:val="25"/>
                <w:szCs w:val="25"/>
              </w:rPr>
              <w:lastRenderedPageBreak/>
              <w:t xml:space="preserve">bol preukázateľne </w:t>
            </w:r>
            <w:proofErr w:type="spellStart"/>
            <w:r>
              <w:rPr>
                <w:rFonts w:ascii="Times" w:hAnsi="Times" w:cs="Times"/>
                <w:sz w:val="25"/>
                <w:szCs w:val="25"/>
              </w:rPr>
              <w:t>delaborovaný</w:t>
            </w:r>
            <w:proofErr w:type="spellEnd"/>
            <w:r>
              <w:rPr>
                <w:rFonts w:ascii="Times" w:hAnsi="Times" w:cs="Times"/>
                <w:sz w:val="25"/>
                <w:szCs w:val="25"/>
              </w:rPr>
              <w:t xml:space="preserve"> podľa § 59 odsek 7,“. Túto pripomienku považujeme za zásadnú. Odôvodnenie: V praxi sa často stretávame s neodbornou a nedovolenou </w:t>
            </w:r>
            <w:proofErr w:type="spellStart"/>
            <w:r>
              <w:rPr>
                <w:rFonts w:ascii="Times" w:hAnsi="Times" w:cs="Times"/>
                <w:sz w:val="25"/>
                <w:szCs w:val="25"/>
              </w:rPr>
              <w:t>delaboráciou</w:t>
            </w:r>
            <w:proofErr w:type="spellEnd"/>
            <w:r>
              <w:rPr>
                <w:rFonts w:ascii="Times" w:hAnsi="Times" w:cs="Times"/>
                <w:sz w:val="25"/>
                <w:szCs w:val="25"/>
              </w:rPr>
              <w:t xml:space="preserve"> munície, ktorej výsledkom je získanie výbušniny a zostávajúcich častí munície. Takto získané časti munície z ktorých bola výbušnina odstránená neoprávnene, sa podľa súčasnej úpravy v zákone nepovažuje za muníciu a jej vlastníctvo nie je </w:t>
            </w:r>
            <w:proofErr w:type="spellStart"/>
            <w:r>
              <w:rPr>
                <w:rFonts w:ascii="Times" w:hAnsi="Times" w:cs="Times"/>
                <w:sz w:val="25"/>
                <w:szCs w:val="25"/>
              </w:rPr>
              <w:t>postihovateľné</w:t>
            </w:r>
            <w:proofErr w:type="spellEnd"/>
            <w:r>
              <w:rPr>
                <w:rFonts w:ascii="Times" w:hAnsi="Times" w:cs="Times"/>
                <w:sz w:val="25"/>
                <w:szCs w:val="25"/>
              </w:rPr>
              <w:t xml:space="preserve"> napriek tomu, že slúžila ako zdroj neoprávnene získanej výbušniny. Tiež výbušnina týmto spôsobom získaná má nejasné určenie a použitie.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žiadame nasledovné znenie písmena j): „j) muničným elementom časť munície, určená pre </w:t>
            </w:r>
            <w:proofErr w:type="spellStart"/>
            <w:r>
              <w:rPr>
                <w:rFonts w:ascii="Times" w:hAnsi="Times" w:cs="Times"/>
                <w:sz w:val="25"/>
                <w:szCs w:val="25"/>
              </w:rPr>
              <w:t>nalaborovanie</w:t>
            </w:r>
            <w:proofErr w:type="spellEnd"/>
            <w:r>
              <w:rPr>
                <w:rFonts w:ascii="Times" w:hAnsi="Times" w:cs="Times"/>
                <w:sz w:val="25"/>
                <w:szCs w:val="25"/>
              </w:rPr>
              <w:t xml:space="preserve"> výbušniny, osobitne skonštruovaná pre muníciu a podstatná pre jej funkciu; za muničný element sa nepovažuje predmet, ktorý bol preukázateľne </w:t>
            </w:r>
            <w:proofErr w:type="spellStart"/>
            <w:r>
              <w:rPr>
                <w:rFonts w:ascii="Times" w:hAnsi="Times" w:cs="Times"/>
                <w:sz w:val="25"/>
                <w:szCs w:val="25"/>
              </w:rPr>
              <w:t>delaborovaný</w:t>
            </w:r>
            <w:proofErr w:type="spellEnd"/>
            <w:r>
              <w:rPr>
                <w:rFonts w:ascii="Times" w:hAnsi="Times" w:cs="Times"/>
                <w:sz w:val="25"/>
                <w:szCs w:val="25"/>
              </w:rPr>
              <w:t xml:space="preserve"> podľa § 59 odsek 7,“. Túto pripomienku považujeme za zásadnú. Odôvodnenie: V zákone je upravená možnosť nadobúdania, predaja a držby munície, no nezahŕňa oblasť muničných elementov. Muničné elementy sú z hľadiska bezpečnosti predmetmi na roveň postavenými s muníciou ako takou, preto je žiaduce upraviť pre ne režim rovnako ako pre muníciu.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žiadame nasledovné znenie písmena l): „l) iniciačným zariadením muničný element, alebo iné zariadenie, ktorého súčasťou je iniciátor určený na to, aby v požadovanom čase a mieste vytvoril počiatočný impulz, ktorý privedie výbušninu </w:t>
            </w:r>
            <w:r>
              <w:rPr>
                <w:rFonts w:ascii="Times" w:hAnsi="Times" w:cs="Times"/>
                <w:sz w:val="25"/>
                <w:szCs w:val="25"/>
              </w:rPr>
              <w:lastRenderedPageBreak/>
              <w:t xml:space="preserve">alebo muníciu k výbuchovej premene,“. Túto pripomienku považujeme za zásadnú. Odôvodnenie: Keďže definícia iniciačného zariadenia v zákone má pokrývať všetky oblasti ktorých sa problematika výbušnín, výbušných predmetov, výbušných systémov a munície dotýka vrátane trestnoprávnej, ukazuje sa potreba doplnenia definície. Iniciačné zariadenie je okrem munície aj súčasťou výbušných systémov používaných na páchanie trestnej činnosti. Popis takýchto systémov vrátane použitia pojmu „iniciačné zariadenie“ často tvorí súčasť dôkazného materiálu v trestnom konaní, čo je vzhľadom na súčasnú právnu úpravu napádané ako nesúlad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56 odsek 1</w:t>
            </w:r>
            <w:r>
              <w:rPr>
                <w:rFonts w:ascii="Times" w:hAnsi="Times" w:cs="Times"/>
                <w:sz w:val="25"/>
                <w:szCs w:val="25"/>
              </w:rPr>
              <w:br/>
              <w:t>V § 56 odsek 1 žiadame za slovo „muníciu“ vložiť slová „a muničné elementy“. Túto pripomienku považujeme za zásadnú. Odôvodnenie: V nadväznosti na úpravu v § 2 písm. j) je potrebné upraviť režim nadobúdania muničných elementov rovnako, ako pri munícii.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59</w:t>
            </w:r>
            <w:r>
              <w:rPr>
                <w:rFonts w:ascii="Times" w:hAnsi="Times" w:cs="Times"/>
                <w:sz w:val="25"/>
                <w:szCs w:val="25"/>
              </w:rPr>
              <w:br/>
              <w:t xml:space="preserve">V § 59 žiadame na konci pripojiť nový odsek 7, ktorý znie: „(7) </w:t>
            </w:r>
            <w:proofErr w:type="spellStart"/>
            <w:r>
              <w:rPr>
                <w:rFonts w:ascii="Times" w:hAnsi="Times" w:cs="Times"/>
                <w:sz w:val="25"/>
                <w:szCs w:val="25"/>
              </w:rPr>
              <w:t>Delaborácia</w:t>
            </w:r>
            <w:proofErr w:type="spellEnd"/>
            <w:r>
              <w:rPr>
                <w:rFonts w:ascii="Times" w:hAnsi="Times" w:cs="Times"/>
                <w:sz w:val="25"/>
                <w:szCs w:val="25"/>
              </w:rPr>
              <w:t xml:space="preserve"> munície alebo muničného elementu sa vykonáva za účelom revízie, opravy, likvidácie, vytvorenia učebnej pomôcky alebo zberateľstva. a) ak je munícia alebo muničný element </w:t>
            </w:r>
            <w:proofErr w:type="spellStart"/>
            <w:r>
              <w:rPr>
                <w:rFonts w:ascii="Times" w:hAnsi="Times" w:cs="Times"/>
                <w:sz w:val="25"/>
                <w:szCs w:val="25"/>
              </w:rPr>
              <w:t>delaborovaný</w:t>
            </w:r>
            <w:proofErr w:type="spellEnd"/>
            <w:r>
              <w:rPr>
                <w:rFonts w:ascii="Times" w:hAnsi="Times" w:cs="Times"/>
                <w:sz w:val="25"/>
                <w:szCs w:val="25"/>
              </w:rPr>
              <w:t xml:space="preserve"> za účelom likvidácie a má byť predmetom recyklácie, musí byť ku každej ucelenej dodávke pre spracovateľa priložený protokol o </w:t>
            </w:r>
            <w:proofErr w:type="spellStart"/>
            <w:r>
              <w:rPr>
                <w:rFonts w:ascii="Times" w:hAnsi="Times" w:cs="Times"/>
                <w:sz w:val="25"/>
                <w:szCs w:val="25"/>
              </w:rPr>
              <w:t>delaborácii</w:t>
            </w:r>
            <w:proofErr w:type="spellEnd"/>
            <w:r>
              <w:rPr>
                <w:rFonts w:ascii="Times" w:hAnsi="Times" w:cs="Times"/>
                <w:sz w:val="25"/>
                <w:szCs w:val="25"/>
              </w:rPr>
              <w:t xml:space="preserve"> oprávnenou osobou podľa § 41 písm. a) bod 2 a každý </w:t>
            </w:r>
            <w:proofErr w:type="spellStart"/>
            <w:r>
              <w:rPr>
                <w:rFonts w:ascii="Times" w:hAnsi="Times" w:cs="Times"/>
                <w:sz w:val="25"/>
                <w:szCs w:val="25"/>
              </w:rPr>
              <w:t>delaborovaný</w:t>
            </w:r>
            <w:proofErr w:type="spellEnd"/>
            <w:r>
              <w:rPr>
                <w:rFonts w:ascii="Times" w:hAnsi="Times" w:cs="Times"/>
                <w:sz w:val="25"/>
                <w:szCs w:val="25"/>
              </w:rPr>
              <w:t xml:space="preserve"> kus musí byť výrazne farebne označený, b) ak je munícia alebo </w:t>
            </w:r>
            <w:r>
              <w:rPr>
                <w:rFonts w:ascii="Times" w:hAnsi="Times" w:cs="Times"/>
                <w:sz w:val="25"/>
                <w:szCs w:val="25"/>
              </w:rPr>
              <w:lastRenderedPageBreak/>
              <w:t xml:space="preserve">muničný element </w:t>
            </w:r>
            <w:proofErr w:type="spellStart"/>
            <w:r>
              <w:rPr>
                <w:rFonts w:ascii="Times" w:hAnsi="Times" w:cs="Times"/>
                <w:sz w:val="25"/>
                <w:szCs w:val="25"/>
              </w:rPr>
              <w:t>delaborovaný</w:t>
            </w:r>
            <w:proofErr w:type="spellEnd"/>
            <w:r>
              <w:rPr>
                <w:rFonts w:ascii="Times" w:hAnsi="Times" w:cs="Times"/>
                <w:sz w:val="25"/>
                <w:szCs w:val="25"/>
              </w:rPr>
              <w:t xml:space="preserve"> za účelom vytvorenia učebnej pomôcky alebo zberateľstva, musí byť ku každému kusu munície alebo muničného elementu priložený protokol o </w:t>
            </w:r>
            <w:proofErr w:type="spellStart"/>
            <w:r>
              <w:rPr>
                <w:rFonts w:ascii="Times" w:hAnsi="Times" w:cs="Times"/>
                <w:sz w:val="25"/>
                <w:szCs w:val="25"/>
              </w:rPr>
              <w:t>delaborácii</w:t>
            </w:r>
            <w:proofErr w:type="spellEnd"/>
            <w:r>
              <w:rPr>
                <w:rFonts w:ascii="Times" w:hAnsi="Times" w:cs="Times"/>
                <w:sz w:val="25"/>
                <w:szCs w:val="25"/>
              </w:rPr>
              <w:t xml:space="preserve"> oprávnenou osobou podľa § 41 písm. a) bod 2 a na každom kuse musí byť nezmazateľne uvedené číslo tohto protokolu, c) protokol o </w:t>
            </w:r>
            <w:proofErr w:type="spellStart"/>
            <w:r>
              <w:rPr>
                <w:rFonts w:ascii="Times" w:hAnsi="Times" w:cs="Times"/>
                <w:sz w:val="25"/>
                <w:szCs w:val="25"/>
              </w:rPr>
              <w:t>delaborácii</w:t>
            </w:r>
            <w:proofErr w:type="spellEnd"/>
            <w:r>
              <w:rPr>
                <w:rFonts w:ascii="Times" w:hAnsi="Times" w:cs="Times"/>
                <w:sz w:val="25"/>
                <w:szCs w:val="25"/>
              </w:rPr>
              <w:t xml:space="preserve"> musí obsahovať: 1. názov a sídlo oprávnenej osoby, 2. číslo protokolu, 3. typ munície, prípadne jej kaliber, 4. prehlásenie, že predmet neobsahuje výbušniny, 5. dátum vyhotovenia, 6. pečiatku a podpis zástupcu oprávnenej osoby, 7. v prípade </w:t>
            </w:r>
            <w:proofErr w:type="spellStart"/>
            <w:r>
              <w:rPr>
                <w:rFonts w:ascii="Times" w:hAnsi="Times" w:cs="Times"/>
                <w:sz w:val="25"/>
                <w:szCs w:val="25"/>
              </w:rPr>
              <w:t>delaborácie</w:t>
            </w:r>
            <w:proofErr w:type="spellEnd"/>
            <w:r>
              <w:rPr>
                <w:rFonts w:ascii="Times" w:hAnsi="Times" w:cs="Times"/>
                <w:sz w:val="25"/>
                <w:szCs w:val="25"/>
              </w:rPr>
              <w:t xml:space="preserve"> podľa § 59 ods. 7 písm. a) aj množstvo obsiahnuté v dodávke pre spracovateľa.“. Túto pripomienku považujeme za zásadnú. Odôvodnenie: V nadväznosti na úpravu v § 2 písm. c) je potrebné upraviť spôsob </w:t>
            </w:r>
            <w:proofErr w:type="spellStart"/>
            <w:r>
              <w:rPr>
                <w:rFonts w:ascii="Times" w:hAnsi="Times" w:cs="Times"/>
                <w:sz w:val="25"/>
                <w:szCs w:val="25"/>
              </w:rPr>
              <w:t>delaborácie</w:t>
            </w:r>
            <w:proofErr w:type="spellEnd"/>
            <w:r>
              <w:rPr>
                <w:rFonts w:ascii="Times" w:hAnsi="Times" w:cs="Times"/>
                <w:sz w:val="25"/>
                <w:szCs w:val="25"/>
              </w:rPr>
              <w:t xml:space="preserve"> munície a označovanie </w:t>
            </w:r>
            <w:proofErr w:type="spellStart"/>
            <w:r>
              <w:rPr>
                <w:rFonts w:ascii="Times" w:hAnsi="Times" w:cs="Times"/>
                <w:sz w:val="25"/>
                <w:szCs w:val="25"/>
              </w:rPr>
              <w:t>delaborovanej</w:t>
            </w:r>
            <w:proofErr w:type="spellEnd"/>
            <w:r>
              <w:rPr>
                <w:rFonts w:ascii="Times" w:hAnsi="Times" w:cs="Times"/>
                <w:sz w:val="25"/>
                <w:szCs w:val="25"/>
              </w:rPr>
              <w:t xml:space="preserve"> munície pre účely priemyselnej likvidácie munície a následného nakladania s takto </w:t>
            </w:r>
            <w:proofErr w:type="spellStart"/>
            <w:r>
              <w:rPr>
                <w:rFonts w:ascii="Times" w:hAnsi="Times" w:cs="Times"/>
                <w:sz w:val="25"/>
                <w:szCs w:val="25"/>
              </w:rPr>
              <w:t>delaborovanou</w:t>
            </w:r>
            <w:proofErr w:type="spellEnd"/>
            <w:r>
              <w:rPr>
                <w:rFonts w:ascii="Times" w:hAnsi="Times" w:cs="Times"/>
                <w:sz w:val="25"/>
                <w:szCs w:val="25"/>
              </w:rPr>
              <w:t xml:space="preserve"> muníciou. Rovnako je účelné upraviť aj spôsob a označovanie </w:t>
            </w:r>
            <w:proofErr w:type="spellStart"/>
            <w:r>
              <w:rPr>
                <w:rFonts w:ascii="Times" w:hAnsi="Times" w:cs="Times"/>
                <w:sz w:val="25"/>
                <w:szCs w:val="25"/>
              </w:rPr>
              <w:t>delaborovanej</w:t>
            </w:r>
            <w:proofErr w:type="spellEnd"/>
            <w:r>
              <w:rPr>
                <w:rFonts w:ascii="Times" w:hAnsi="Times" w:cs="Times"/>
                <w:sz w:val="25"/>
                <w:szCs w:val="25"/>
              </w:rPr>
              <w:t xml:space="preserve"> munície pre účely vytvorenia učebných pomôcok, prípadne zberateľských predmetov.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navrhujeme vypustiť štvrtý odsek pre nadbytočnosť. Pripomienka podľa čl. 7 smernice na prípravu a predkladanie materiálov na rokovanie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uviesť úplný názov predpisu - doplniť skrátené citácie všetkých noviel, pripomienka podľa bodu 28.1. prílohy č. </w:t>
            </w:r>
            <w:r>
              <w:rPr>
                <w:rFonts w:ascii="Times" w:hAnsi="Times" w:cs="Times"/>
                <w:sz w:val="25"/>
                <w:szCs w:val="25"/>
              </w:rPr>
              <w:lastRenderedPageBreak/>
              <w:t>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Všeobecná pripomienka: predmetný zákon bol od doby svojej účinnosti novelizovaný celkom trikrát. Napriek tomu, že za dobu jeho účinnosti vyplynuli z aplikačnej praxe viaceré požiadavky na zmeny, neboli žiadnou z noviel vrátane tej, ktorá je v súčasnosti predkladaná, realizované. Realizované novelizácie riešili predovšetkým požiadavky úzkej skupiny zástupcov verejnosti, pričom požiadavky aplikačnej praxe dotknutých rezortov boli riešené len okrajovo, prípadne vôbec. Ministerstvo hospodárstva Slovenskej republiky v spolupráci s Ministerstvom vnútra Slovenskej republiky a Ministerstvom obrany Slovenskej republiky spracovalo koncom roka 2018 komplexný návrh novely zákona, ktorý mal tieto zmeny zabezpečiť. Predložená novela zákona však neobsahuje body, ktoré boli výsledkom spoločných rokovaní zainteresovaných ministerstiev. Rozsah predkladanej novely je veľmi skromný a máme za to, že realizovať proces novelizácie zákona v takomto malom rozsahu, ktorý rieši len nepatrnú časť skúseností a problémov z praxe je neefektívne. Na základe uvedeného predkladáme v rámci medzirezortného pripomienkového konania jednotlivé novelizačné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84</w:t>
            </w:r>
            <w:r>
              <w:rPr>
                <w:rFonts w:ascii="Times" w:hAnsi="Times" w:cs="Times"/>
                <w:sz w:val="25"/>
                <w:szCs w:val="25"/>
              </w:rPr>
              <w:br/>
              <w:t xml:space="preserve">Za § 84 žiadame vložiť nový § 84a, ktorý vrátane nadpisu znie: „§ 84a Zánik trestnosti nedovoleného držania </w:t>
            </w:r>
            <w:proofErr w:type="spellStart"/>
            <w:r>
              <w:rPr>
                <w:rFonts w:ascii="Times" w:hAnsi="Times" w:cs="Times"/>
                <w:sz w:val="25"/>
                <w:szCs w:val="25"/>
              </w:rPr>
              <w:t>delaborovanej</w:t>
            </w:r>
            <w:proofErr w:type="spellEnd"/>
            <w:r>
              <w:rPr>
                <w:rFonts w:ascii="Times" w:hAnsi="Times" w:cs="Times"/>
                <w:sz w:val="25"/>
                <w:szCs w:val="25"/>
              </w:rPr>
              <w:t xml:space="preserve"> munície alebo muničného elementu Trestnosť nedovoleného držania </w:t>
            </w:r>
            <w:proofErr w:type="spellStart"/>
            <w:r>
              <w:rPr>
                <w:rFonts w:ascii="Times" w:hAnsi="Times" w:cs="Times"/>
                <w:sz w:val="25"/>
                <w:szCs w:val="25"/>
              </w:rPr>
              <w:t>delaborovanej</w:t>
            </w:r>
            <w:proofErr w:type="spellEnd"/>
            <w:r>
              <w:rPr>
                <w:rFonts w:ascii="Times" w:hAnsi="Times" w:cs="Times"/>
                <w:sz w:val="25"/>
                <w:szCs w:val="25"/>
              </w:rPr>
              <w:t xml:space="preserve"> munície alebo </w:t>
            </w:r>
            <w:proofErr w:type="spellStart"/>
            <w:r>
              <w:rPr>
                <w:rFonts w:ascii="Times" w:hAnsi="Times" w:cs="Times"/>
                <w:sz w:val="25"/>
                <w:szCs w:val="25"/>
              </w:rPr>
              <w:t>delaborovaného</w:t>
            </w:r>
            <w:proofErr w:type="spellEnd"/>
            <w:r>
              <w:rPr>
                <w:rFonts w:ascii="Times" w:hAnsi="Times" w:cs="Times"/>
                <w:sz w:val="25"/>
                <w:szCs w:val="25"/>
              </w:rPr>
              <w:t xml:space="preserve"> muničného </w:t>
            </w:r>
            <w:r>
              <w:rPr>
                <w:rFonts w:ascii="Times" w:hAnsi="Times" w:cs="Times"/>
                <w:sz w:val="25"/>
                <w:szCs w:val="25"/>
              </w:rPr>
              <w:lastRenderedPageBreak/>
              <w:t xml:space="preserve">elementu ktorý nespĺňa požiadavky ustanovenia § 59 ods. 7 písm. b) zaniká, ak osoba, ktorá takúto vec drží, zabezpečí do 24 mesiacov od nadobudnutia účinnosti tohto zákona jej posúdenie a označenie podľa § 59 ods. 7 písm. b).“. Túto pripomienku považujeme za zásadnú. Odôvodnenie: V nadväznosti na úpravu v § 59 ods. 7) je potrebné vytvoriť primeraný časový priestor na splnenie zákonných požiadaviek, ktoré doteraz neexistovali.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čl. I</w:t>
            </w:r>
            <w:r>
              <w:rPr>
                <w:rFonts w:ascii="Times" w:hAnsi="Times" w:cs="Times"/>
                <w:sz w:val="25"/>
                <w:szCs w:val="25"/>
              </w:rPr>
              <w:br/>
              <w:t>V čl. I úvodnej vete odporúčame doplniť citácie všetkých predchádzajúcich noviel právneho predpisu. Zosúladenie s bodom 28.1.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čl. II</w:t>
            </w:r>
            <w:r>
              <w:rPr>
                <w:rFonts w:ascii="Times" w:hAnsi="Times" w:cs="Times"/>
                <w:sz w:val="25"/>
                <w:szCs w:val="25"/>
              </w:rPr>
              <w:br/>
              <w:t>V čl. II odporúčame vypustiť slovo "dňom" pre nadbytočnosť.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K čl. I úvodnej vete </w:t>
            </w:r>
            <w:r>
              <w:rPr>
                <w:rFonts w:ascii="Times" w:hAnsi="Times" w:cs="Times"/>
                <w:sz w:val="25"/>
                <w:szCs w:val="25"/>
              </w:rPr>
              <w:br/>
              <w:t xml:space="preserve">V čl. I úvodnej vete odporúčame za slovom „zákonov“ vložiť text: „v znení zákona č. 331/2015 Z. z., zákona č. 177/2018 Z. z a zákona č. 220/2018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V čl. II odporúčame slovo „dňom“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Členenie bodu 3 doložky zlučiteľnosti žiadame upraviť podľa prílohy č. 2 k Legislatívnym pravidlám vlády SR tak, že písmenom „a)“ sa označí primárne právo, písmenom „b)“ </w:t>
            </w:r>
            <w:r>
              <w:rPr>
                <w:rFonts w:ascii="Times" w:hAnsi="Times" w:cs="Times"/>
                <w:sz w:val="25"/>
                <w:szCs w:val="25"/>
              </w:rPr>
              <w:lastRenderedPageBreak/>
              <w:t>sekundárne právo a písmenom „c)“ judikatúra Súdneho dvora EÚ, ktorý zároveň žiadame vyplniť.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1. Dovoľujeme si upozorniť predkladateľa návrhu zákona, že podľa bodu 28.1. </w:t>
            </w:r>
            <w:proofErr w:type="spellStart"/>
            <w:r>
              <w:rPr>
                <w:rFonts w:ascii="Times" w:hAnsi="Times" w:cs="Times"/>
                <w:sz w:val="25"/>
                <w:szCs w:val="25"/>
              </w:rPr>
              <w:t>Legislatívno</w:t>
            </w:r>
            <w:proofErr w:type="spellEnd"/>
            <w:r>
              <w:rPr>
                <w:rFonts w:ascii="Times" w:hAnsi="Times" w:cs="Times"/>
                <w:sz w:val="25"/>
                <w:szCs w:val="25"/>
              </w:rPr>
              <w:t xml:space="preserve"> – technických pokynov tvoriacich Prílohu č. 1 k Legislatívnym pravidlám vlády SR sa v čl. I novely právneho predpisu v úvodnej vete uvádza úplný názov právneho predpisu, ktorý sa novelizuje, spolu s uvedením skrátenej citácie všetkých predchádzajúcich noviel právneho predpisu a uznesení Ústavného súdu SR o pozastavení účinnosti. Žiadame preto o náležitú úpravu úvodnej vety v čl. 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V treťom bode doložky zlučiteľnosti predkladateľ uvádza, že problematika návrhu zákona je upravená v smernici Európskeho parlamentu a Rady 2014/28/EÚ z 26. februára 2014 o harmonizácii právnych predpisov členských štátov týkajúcich sa sprístupňovania výbušnín na civilné použitie na trhu a ich kontroly (prepracované znenie) (Ú. v. EÚ L 96, 29.3.2014). Zákon č. 58/2014 Z. z. bol ako národné transpozičné opatrenie notifikovaný Európskej komisii dňa 18.05.2016, avšak v transpozičnej prílohe smernica 2014/28/EÚ absentuje. Predmetnú smernicu žiadame preto doplniť do transpozičnej prílohy k zákonu č. 58/2014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2. Návrh zákona v čl. I v 2. bode novo upravuje problematiku </w:t>
            </w:r>
            <w:r>
              <w:rPr>
                <w:rFonts w:ascii="Times" w:hAnsi="Times" w:cs="Times"/>
                <w:sz w:val="25"/>
                <w:szCs w:val="25"/>
              </w:rPr>
              <w:lastRenderedPageBreak/>
              <w:t>predĺženia platnosti „oprávnenia“ (na výkon funkcie podľa zákona č. 58/2014 Z. z. v znení neskorších predpisov) v § 36 ods. 2 zákona. Doterajšie ustanovenie § 36 ods. 2 však upravovalo uvedenú problematiku aj vo vzťahu k „osvedčeniu o odbornej spôsobilosti“. Ustanovenie § 36 ods. 1 zákona č. 58/2014 Z. z. znie: „Oprávnenie alebo osvedčenie platí päť rokov odo dňa jeho vydania.“ Nakoľko § 36 ods. 2 už neupravuje možnosť predĺženia platnosti osvedčenia o odbornej spôsobilosti, žiadame predkladateľa o vysvetlenie, či predĺženie platnosti osvedčenia už ďalej nebude možné resp. za akých podmienok, a to aspoň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V súvislosti s čl. 4 Legislatívnych pravidiel vlády SR dávame predkladateľovi do pozornosti, že hoci zákon č. 58/2014 Z. z. obsahuje v transpozičnej prílohe smernicu Komisie 2008/43/ES zo 4. apríla 2008, ktorou sa v súlade so smernicou Rady 93/15/EHS zriaďuje systém na identifikáciu a sledovateľnosť výbušnín na civilné použitie (Ú. v. EÚ L 94, 5. 4. 2008) v znení smernice Komisie 2012/4/EÚ z 22. februára 2012 (Ú. v. EÚ L 50, 23. 2. 2012), dosiaľ nebol ako transpozičné národné vykonávacie opatrenie notifikovaný Európskej komisii. V prípade, ak zákon transponuje smernicu 2008/43/ES, odporúčame zvážiť notifikovanie jeho znenia Európskej komisii, nakoľko aktuálne je ako národné vykonávacie opatrenie notifikované iba nariadenie vlády Slovenskej republiky č. 322/2010 Z. z. o systéme identifikácie a sledovanosti výbušnín na civilné použitie. Národným vykonávacím opatrením ku </w:t>
            </w:r>
            <w:r>
              <w:rPr>
                <w:rFonts w:ascii="Times" w:hAnsi="Times" w:cs="Times"/>
                <w:sz w:val="25"/>
                <w:szCs w:val="25"/>
              </w:rPr>
              <w:lastRenderedPageBreak/>
              <w:t xml:space="preserve">smernici 2012/4/EÚ je nariadenie vlády Slovenskej republiky č. 298/2012 Z. z. o systéme identifikácie a sledovateľnosti výbušnín na civilné použitie. Rovnako – ak zákon č. 58/2014 Z. z. transponuje ustanovenia tejto smernice, odporúčame predkladateľovi notifikovať jeho znenie Európskej komisii.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treťom bode doložky zlučiteľnosti predkladateľ uvádza, že problematika návrhu zákona je upravená v sekundárnom práve EÚ – a to v smernici Európskeho parlamentu a Rady 2013/29/EÚ z 12. júna 2013 o harmonizácii zákonov členských štátov týkajúcich sa sprístupňovania pyrotechnických výrobkov na trhu (prepracované znenie) (Ú. v. EÚ L 178, 28.6.2013). Máme za to, že návrhom zákona sa uvedená smernica netransponuje, preto ju žiadame z doložky zlučiteľnosti vypustiť. Rovnako žiadame primerane upraviť bod 4 písm. c)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žiadame doplniť gestora smernice 2014/28/EÚ.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3. V súvislosti s pripomienkou „Všeobecne k návrhu zákona, bod 1.“ žiadame do Čl. I návrhu zákona doplniť novelizačný bod „3.“, ktorým sa príloha č. 2 zákona č. 58/2014 Z. z. (transpozičná príloha) doplní podľa bodu 62.9. prílohy č. 1 k Legislatívnym pravidlám vlády SR o smernicu 2014/28/EÚ.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Žiadame predkladateľa primerane upraviť bod 4 písm. c) doložky zlučiteľnosti obsahujúci informáciu o všetkých právnych predpisoch, v ktorých je smernica 2014/28/EÚ už prebratá, spolu s uvedením rozsahu tohto prebrania.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Do predkladacej správy žiadame podľa čl. 18 ods. 1 písm. e) Legislatívnych pravidiel vlády SR doplniť informáciu, či návrh zákona má byť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alebo či sa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uskutočnilo.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K dôvodovej správe – všeobecnej časti: </w:t>
            </w:r>
            <w:r>
              <w:rPr>
                <w:rFonts w:ascii="Times" w:hAnsi="Times" w:cs="Times"/>
                <w:sz w:val="25"/>
                <w:szCs w:val="25"/>
              </w:rPr>
              <w:br/>
              <w:t xml:space="preserve">Žiadame predkladateľa návrhu zákona, aby upravil štvrtý odsek všeobecnej časti dôvodovej správy v súlade s čl. 19 ods. 2 druhou vetou Legislatívnych pravidiel vlády SR, podľa ktorej sa v dôvodovej správe musí uviesť súlad návrhu zákona „(...) s ústavou, s ústavnými zákonmi a nálezmi ústavného súdu, súvislosť s inými zákonmi a medzinárodnými zmluvami a inými medzinárodnými dokumentmi, ktorými je Slovenská republika viazaná, (...)“. Rovnakú pripomienku vzťahujeme aj na piaty odsek predkladacej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SAPF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 xml:space="preserve">K zákonu 58.2014 </w:t>
            </w:r>
            <w:proofErr w:type="spellStart"/>
            <w:r>
              <w:rPr>
                <w:rFonts w:ascii="Times" w:hAnsi="Times" w:cs="Times"/>
                <w:b/>
                <w:bCs/>
                <w:sz w:val="25"/>
                <w:szCs w:val="25"/>
              </w:rPr>
              <w:t>Z.z</w:t>
            </w:r>
            <w:proofErr w:type="spellEnd"/>
            <w:r>
              <w:rPr>
                <w:rFonts w:ascii="Times" w:hAnsi="Times" w:cs="Times"/>
                <w:b/>
                <w:bCs/>
                <w:sz w:val="25"/>
                <w:szCs w:val="25"/>
              </w:rPr>
              <w:t>. ako celku</w:t>
            </w:r>
            <w:r>
              <w:rPr>
                <w:rFonts w:ascii="Times" w:hAnsi="Times" w:cs="Times"/>
                <w:sz w:val="25"/>
                <w:szCs w:val="25"/>
              </w:rPr>
              <w:br/>
              <w:t xml:space="preserve">1. V § 2 Vymedzenie základných pojmov navrhujeme upraviť znenie písmena o), ktoré bude znieť nasledovne: o) </w:t>
            </w:r>
            <w:proofErr w:type="spellStart"/>
            <w:r>
              <w:rPr>
                <w:rFonts w:ascii="Times" w:hAnsi="Times" w:cs="Times"/>
                <w:sz w:val="25"/>
                <w:szCs w:val="25"/>
              </w:rPr>
              <w:t>ohňostrojnými</w:t>
            </w:r>
            <w:proofErr w:type="spellEnd"/>
            <w:r>
              <w:rPr>
                <w:rFonts w:ascii="Times" w:hAnsi="Times" w:cs="Times"/>
                <w:sz w:val="25"/>
                <w:szCs w:val="25"/>
              </w:rPr>
              <w:t xml:space="preserve"> prácami práce, pri ktorých sa používajú pyrotechnické výrobky6) kategórie F4 alebo T2, prípadne v </w:t>
            </w:r>
            <w:r>
              <w:rPr>
                <w:rFonts w:ascii="Times" w:hAnsi="Times" w:cs="Times"/>
                <w:sz w:val="25"/>
                <w:szCs w:val="25"/>
              </w:rPr>
              <w:lastRenderedPageBreak/>
              <w:t xml:space="preserve">kombinácii s pyrotechnickými výrobkami kategórie F2, F3, T1, k produkcii svetla, zvuku, dymu alebo kombinácii týchto efektov, 2. § 22 Ods. 3) upraviť znenie nasledovne: (3) V predajni sa môžu skladovať pyrotechnické výrobky v množstve obsahujúcom najviac 80 kg čistej hmotnosti výbušných látok. V § 22 Ods. 4) znie nasledovne: (4) V príručnom sklade sa môžu skladovať pyrotechnické výrobky v množstve obsahujúcom najviac a) 300 kg čistej hmotnosti výbušných látok, ak sa všetky nachádzajú v pôvodných prepravných obaloch výrobcu alebo dovozcu, označených v súlade s Európskou dohodou o medzinárodnej cestnej preprave nebezpečných vecí (ADR) klasifikačným kódom 1.4 G, z ktorých najviac jeden takýto obal každého druhu výrobku môže byť otvorený, b) 200 kg čistej hmotnosti výbušných látok, ak nie sú splnené podmienky uvedené v písmene a), alebo c) 750 kg čistej hmotnosti výbušných látok, pri skladovaní v kombinácii podľa písmena a) alebo b) spoločne s pyrotechnickými výrobkami nachádzajúcimi sa v pôvodných prepravných obaloch výrobcu alebo dovozcu, ktoré sú označené v súlade s Európskou dohodou o medzinárodnej cestnej preprave nebezpečných vecí (ADR) klasifikačným kódom 1.4 S. V § 22 sa ods. 5 a ods. 6 ruší. Doterajší ods. 7 sa označuje ako ods. 5. Ostatné odseky §-u 22 zostávajú bez zmeny Odôvodnenie. Skladovanie pyrotechnických výrobkov bolo potrebné upraviť z dôvodu, že doterajšia legislatíva brala do úvahy celkovú hmotnosť pyrotechnických výrobkov v predajni a príručnom sklade, teda aj váhu obalu, ktorý je zložený poväčšine z papiera a hliny. Z hľadiska bezpečnosti je potrebné, aby sa hmotnosť skladovania </w:t>
            </w:r>
            <w:r>
              <w:rPr>
                <w:rFonts w:ascii="Times" w:hAnsi="Times" w:cs="Times"/>
                <w:sz w:val="25"/>
                <w:szCs w:val="25"/>
              </w:rPr>
              <w:lastRenderedPageBreak/>
              <w:t xml:space="preserve">pyrotechnických výrobkov uvádzala v množstve NEC, čo je čistá váha pyrotechnických zloží. Takto upravená definícia skladovania je zavedená vo väčšine štátov EÚ. 3. V § 52 upraviť ods. 4 nasledovne: (4) Pyrotechnické výrobky podľa odseku 3 možno predávať len v predajniach, ktoré sú umiestnené v stavbe a to pultovým spôsobom a konečným zaplatením za tovar. Pyrotechnické výrobky uvedené v ods. 3 nie je možné predávať v samoobslužných predajniach akými sú supermarkety a </w:t>
            </w:r>
            <w:proofErr w:type="spellStart"/>
            <w:r>
              <w:rPr>
                <w:rFonts w:ascii="Times" w:hAnsi="Times" w:cs="Times"/>
                <w:sz w:val="25"/>
                <w:szCs w:val="25"/>
              </w:rPr>
              <w:t>hypermarkety</w:t>
            </w:r>
            <w:proofErr w:type="spellEnd"/>
            <w:r>
              <w:rPr>
                <w:rFonts w:ascii="Times" w:hAnsi="Times" w:cs="Times"/>
                <w:sz w:val="25"/>
                <w:szCs w:val="25"/>
              </w:rPr>
              <w:t xml:space="preserve"> s ponukou prevažne potravinárskeho tovaru a tovaru dennej potreby. Odôvodnenie. Navrhujeme doplniť odsek 4 paragrafu 52 o ďalšiu povinnosť, ktorou by sa zamedzil predaj pyrotechnických výrobkoch v </w:t>
            </w:r>
            <w:proofErr w:type="spellStart"/>
            <w:r>
              <w:rPr>
                <w:rFonts w:ascii="Times" w:hAnsi="Times" w:cs="Times"/>
                <w:sz w:val="25"/>
                <w:szCs w:val="25"/>
              </w:rPr>
              <w:t>hypermarketoch</w:t>
            </w:r>
            <w:proofErr w:type="spellEnd"/>
            <w:r>
              <w:rPr>
                <w:rFonts w:ascii="Times" w:hAnsi="Times" w:cs="Times"/>
                <w:sz w:val="25"/>
                <w:szCs w:val="25"/>
              </w:rPr>
              <w:t xml:space="preserve"> systémom, aký je v týchto predajniach zavedený. Takýto predaj je totiž nebezpečný v tom zmysle, že odborne spôsobilý predavač predá pyrotechnický výrobok zákazníkovi, ktorý však s týmto výrobkom ďalej nakupuje a pohybuje sa v predajni mimo kontrolu predávajúceho. Tento stav je nebezpečný a predaj v supermarketoch a </w:t>
            </w:r>
            <w:proofErr w:type="spellStart"/>
            <w:r>
              <w:rPr>
                <w:rFonts w:ascii="Times" w:hAnsi="Times" w:cs="Times"/>
                <w:sz w:val="25"/>
                <w:szCs w:val="25"/>
              </w:rPr>
              <w:t>hypermaketoch</w:t>
            </w:r>
            <w:proofErr w:type="spellEnd"/>
            <w:r>
              <w:rPr>
                <w:rFonts w:ascii="Times" w:hAnsi="Times" w:cs="Times"/>
                <w:sz w:val="25"/>
                <w:szCs w:val="25"/>
              </w:rPr>
              <w:t xml:space="preserve"> je už v niektorých štátoch EÚ zakázaný. 4. Navrhujeme zrušiť ustanovenie § 52 ods. 11 ktoré znie: (11) Predávať pyrotechnické výrobky kategórie F2 a F3 okrem pyrotechnických výrobkov podľa odseku 10 spotrebiteľovi21a) možno len od 1. decembra do 31. decembra kalendárneho roka. Odôvodnenie. Obmedzenie predaja pyrotechnických výrobkov považujeme za nesystémové opatrenie, ktoré postihuje predajcov a podnikateľov a bráni im v podnikaní. Zodpovednosť za používanie zakúpených pyrotechnických výrobkov je na spotrebiteľoch a nemá byť prenášaná na predajcov. 5. Navrhujeme vypustiť v § 53 ods. 2 </w:t>
            </w:r>
            <w:r>
              <w:rPr>
                <w:rFonts w:ascii="Times" w:hAnsi="Times" w:cs="Times"/>
                <w:sz w:val="25"/>
                <w:szCs w:val="25"/>
              </w:rPr>
              <w:lastRenderedPageBreak/>
              <w:t xml:space="preserve">ktorý znie: 2) Obec môže z dôvodu ochrany verejného poriadku všeobecne záväzným nariadením obmedziť alebo zakázať používanie pyrotechnických výrobkov kategórie F2, F3, P1 a T1 na území obce alebo v jej častiach nad rámec obmedzenia podľa odseku 3. Odôvodnenie Oprávnene obcí obmedziť používanie pyrotechnických výrobkov kat. F2, F3, P1 a T1 sa nám zdá zbytočné a duplicitné vzhľadom k poslednej novele, ktorou bol ods. 3 zavedený úplný zákaz používanie pyrotechnických výrobkov F2 a F3 počas celého roka okrem Silvestra. 6. Navrhujeme zmeniť § 53 ods.3 a ods.4 ktoré budú znieť nasledovne: (3) Používať pyrotechnické výrobky kategórie F2 a F3 a pyrotechnické výrobky kategórie F4 uvedené v prílohe č. 3 možno len v období od 31. decembra príslušného kalendárneho roka do 1. januára nasledujúceho kalendárneho roka, ak ďalej nie je ustanovené inak. (4) Používať pyrotechnické výrobky kategórie F2, F3 a kategórie F4 uvedené v prílohe č. 3 v období od 2. januára do 30. decembra príslušného kalendárneho roka možno iba s predchádzajúcim súhlasom obce na základe písomnej žiadosti o súhlas na použitie pyrotechnických výrobkov kategórie F2 a F3. Žiadosť podľa predchádzajúcej vety musí byť podaná najneskôr desať pracovných dní pred plánovaným použitím a musí obsahovať a) meno, priezvisko a adresu trvalého alebo prechodného pobytu, ak ide o fyzickú osobu, názov a sídlo, ak ide o právnickú osobu, a v prípade, že pyrotechnické výrobky priamo použije iná osoba ako žiadateľ, aj meno, priezvisko a adresu trvalého alebo prechodného pobytu tejto osoby, ak ide o fyzickú osobu, alebo názov a sídlo, ak ide o právnickú osobu, b) dátum a miesto použitia pyrotechnických </w:t>
            </w:r>
            <w:r>
              <w:rPr>
                <w:rFonts w:ascii="Times" w:hAnsi="Times" w:cs="Times"/>
                <w:sz w:val="25"/>
                <w:szCs w:val="25"/>
              </w:rPr>
              <w:lastRenderedPageBreak/>
              <w:t xml:space="preserve">výrobkov, kategóriu a druh pyrotechnických výrobkov spolu s uvedením času predpokladaného začiatku a predpokladaného trvania používania. Navrhujeme doplniť ods. 6 ktorý bude znieť: (6) Pyrotechnické výrobky kategórie F4 uvedené v prílohe č. 3 môže používať len osoba s odbornou spôsobilosťou odpaľovača ohňostrojov. Navrhujeme novú prílohu č. 3 k Zákonu, v ktorej budú definované pyrotechnické výrobky kategórie F4, na ktorých použitie sa nebude považovať za </w:t>
            </w:r>
            <w:proofErr w:type="spellStart"/>
            <w:r>
              <w:rPr>
                <w:rFonts w:ascii="Times" w:hAnsi="Times" w:cs="Times"/>
                <w:sz w:val="25"/>
                <w:szCs w:val="25"/>
              </w:rPr>
              <w:t>ohňostrojné</w:t>
            </w:r>
            <w:proofErr w:type="spellEnd"/>
            <w:r>
              <w:rPr>
                <w:rFonts w:ascii="Times" w:hAnsi="Times" w:cs="Times"/>
                <w:sz w:val="25"/>
                <w:szCs w:val="25"/>
              </w:rPr>
              <w:t xml:space="preserve"> práce. Príloha č. 3 k zákonu č. 58/2014 </w:t>
            </w:r>
            <w:proofErr w:type="spellStart"/>
            <w:r>
              <w:rPr>
                <w:rFonts w:ascii="Times" w:hAnsi="Times" w:cs="Times"/>
                <w:sz w:val="25"/>
                <w:szCs w:val="25"/>
              </w:rPr>
              <w:t>Z.z</w:t>
            </w:r>
            <w:proofErr w:type="spellEnd"/>
            <w:r>
              <w:rPr>
                <w:rFonts w:ascii="Times" w:hAnsi="Times" w:cs="Times"/>
                <w:sz w:val="25"/>
                <w:szCs w:val="25"/>
              </w:rPr>
              <w:t xml:space="preserve">. o výbušninách, výbušných predmetoch a munícii F4: - Guľové bomby a míny priemeru efektovej časti do 125 mm (5 palcov) vrátane, mimo guľových bômb s opakovacím efektom; - </w:t>
            </w:r>
            <w:proofErr w:type="spellStart"/>
            <w:r>
              <w:rPr>
                <w:rFonts w:ascii="Times" w:hAnsi="Times" w:cs="Times"/>
                <w:sz w:val="25"/>
                <w:szCs w:val="25"/>
              </w:rPr>
              <w:t>Cylyndrické</w:t>
            </w:r>
            <w:proofErr w:type="spellEnd"/>
            <w:r>
              <w:rPr>
                <w:rFonts w:ascii="Times" w:hAnsi="Times" w:cs="Times"/>
                <w:sz w:val="25"/>
                <w:szCs w:val="25"/>
              </w:rPr>
              <w:t xml:space="preserve"> (valcové) bomby a míny o priemere do 100 mm (4 palce) vrátane, mimo valcových bômb s opakovacím efektom; - Batérie a kombinácie s celkovou čistou hmotnosťou výbušných látok „NEC“ v jednom výrobku do 4000g vrátane; - Rímske sviece s celkovou čistou hmotnosťou výbušných látok „NEC“ v jednom výrobku do 1000g vrátane; - Jednorazové </w:t>
            </w:r>
            <w:proofErr w:type="spellStart"/>
            <w:r>
              <w:rPr>
                <w:rFonts w:ascii="Times" w:hAnsi="Times" w:cs="Times"/>
                <w:sz w:val="25"/>
                <w:szCs w:val="25"/>
              </w:rPr>
              <w:t>výmetníky</w:t>
            </w:r>
            <w:proofErr w:type="spellEnd"/>
            <w:r>
              <w:rPr>
                <w:rFonts w:ascii="Times" w:hAnsi="Times" w:cs="Times"/>
                <w:sz w:val="25"/>
                <w:szCs w:val="25"/>
              </w:rPr>
              <w:t xml:space="preserve"> s celkovou čistou hmotnosťou výbušných látok „NEC“ v jednom výrobku do 90g vrátane; - Jednoradová batéria </w:t>
            </w:r>
            <w:proofErr w:type="spellStart"/>
            <w:r>
              <w:rPr>
                <w:rFonts w:ascii="Times" w:hAnsi="Times" w:cs="Times"/>
                <w:sz w:val="25"/>
                <w:szCs w:val="25"/>
              </w:rPr>
              <w:t>výmetníc</w:t>
            </w:r>
            <w:proofErr w:type="spellEnd"/>
            <w:r>
              <w:rPr>
                <w:rFonts w:ascii="Times" w:hAnsi="Times" w:cs="Times"/>
                <w:sz w:val="25"/>
                <w:szCs w:val="25"/>
              </w:rPr>
              <w:t xml:space="preserve"> s celkovou čistou hmotnosťou výbušných látok „NEC“ v jednom výrobku do 800g vrátane; - Fontány s celkovou čistou hmotnosťou výbušných látok „NEC“ v jednom výrobku do 1000g vrátane. T2: - Pyrotechnické výrobky kategórie T2 s celkovou čistou hmotnosťou výbušných látok „NEC“ v jednom výrobku do 250g vrátane.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 xml:space="preserve">Pripomienky sú nad rámec navrhovanej úpravy zákona. K bodu 2. si dovoľujeme uviesť, že aj súčasná legislatíva uvádza čistú váhu pyrotechnických zloží, avšak v </w:t>
            </w:r>
            <w:r>
              <w:rPr>
                <w:rFonts w:ascii="Times" w:hAnsi="Times" w:cs="Times"/>
                <w:sz w:val="25"/>
                <w:szCs w:val="25"/>
              </w:rPr>
              <w:lastRenderedPageBreak/>
              <w:t>množstve podstatne nižšom, ako je v navrhovanej úprave pre predajne (40 kg pre 1.4G, 20 kg pre 1.3G a 10 kg pre 1.2G) obdobne aj v príručnom sklade (120 kg pre 1.4G, 60 kg pre 1.3G, 20 kg pre 1.2G a 10kg pre 1.1G). Pre rôzne druhy klasifikačných kódov je predpísaná aditívna metóda určenia celkového množstva. Pričom treba zdôrazniť, že uvádzané množstvá sú maximálne. Zvýšenie množstva pyrotechnických výrobkov na dvojnásobok nie je v návrhu odôvodnené. Súčasná legislatíva nerieši skladovanie pyrotechnických výrobkov klasifikačnej triedy 1.4 S. Ak ho je potrebné zaviesť, potom je potrebné aj určenie jeho množstiev v predajni a v príručnom sklade.</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r>
            <w:r>
              <w:rPr>
                <w:rFonts w:ascii="Times" w:hAnsi="Times" w:cs="Times"/>
                <w:sz w:val="25"/>
                <w:szCs w:val="25"/>
              </w:rPr>
              <w:lastRenderedPageBreak/>
              <w:t>§ 1 ods. 2 písm. a) v nadväznosti na právny status strelivín Zákon č. 58/2014 Z. z. uvádza, že sa okrem iného nevzťahuje ani na strelné zbrane a strelivo, nakoľko tie upravuje osobitný zákon. Strelivina je druh výbušniny, takže by sa mala spravovať zákonom č. 58/2014, ktorý obsahuje aj jej pojmové vymedzenie v § 2 písm. e). Avšak zákon č. 190/2003 Z. z. o strelných zbraniach a strelive v súvislosti so strelivinami uvádza v prílohe č. 6 tohto zákona pojem výmetová náplň: výmetová náplň je strelivina (strelný prach) určenej hmotnosti, schopná horieť v uzavretom priestore, zabezpečujúca požadované balistické charakteristiky. V § 2 ods. 1 písm. g) a h) uvádza tento zákon nasledovné: - komponentom streliva je zápalka, výmetová náplň alebo strela, ktoré sa používajú v zbraniach - strelivom je náboj alebo nábojka; za strelivo sa považuje aj komponent streliva Odôvodnenie: Podľa nášho názoru ide o duplicitu právnej úpravy strelivín a bolo by na mieste, aby sa jednoznačne právne zakotvilo, ktorým právnym predpisom sa oblasť strelivín riadi.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rsidP="004571B6">
            <w:pPr>
              <w:rPr>
                <w:rFonts w:ascii="Times" w:hAnsi="Times" w:cs="Times"/>
                <w:sz w:val="25"/>
                <w:szCs w:val="25"/>
              </w:rPr>
            </w:pPr>
            <w:r>
              <w:rPr>
                <w:rFonts w:ascii="Times" w:hAnsi="Times" w:cs="Times"/>
                <w:sz w:val="25"/>
                <w:szCs w:val="25"/>
              </w:rPr>
              <w:t>Návrhom zákona dochá</w:t>
            </w:r>
            <w:r w:rsidR="004571B6">
              <w:rPr>
                <w:rFonts w:ascii="Times" w:hAnsi="Times" w:cs="Times"/>
                <w:sz w:val="25"/>
                <w:szCs w:val="25"/>
              </w:rPr>
              <w:t xml:space="preserve">dza k úpravám </w:t>
            </w:r>
            <w:r w:rsidR="004571B6">
              <w:rPr>
                <w:rFonts w:ascii="Times" w:hAnsi="Times" w:cs="Times"/>
                <w:sz w:val="25"/>
                <w:szCs w:val="25"/>
              </w:rPr>
              <w:lastRenderedPageBreak/>
              <w:t>v definíciách poj</w:t>
            </w:r>
            <w:r>
              <w:rPr>
                <w:rFonts w:ascii="Times" w:hAnsi="Times" w:cs="Times"/>
                <w:sz w:val="25"/>
                <w:szCs w:val="25"/>
              </w:rPr>
              <w:t>mov uvedených v § 2 zákona,</w:t>
            </w:r>
            <w:r w:rsidR="004571B6">
              <w:rPr>
                <w:rFonts w:ascii="Times" w:hAnsi="Times" w:cs="Times"/>
                <w:sz w:val="25"/>
                <w:szCs w:val="25"/>
              </w:rPr>
              <w:t xml:space="preserve"> </w:t>
            </w:r>
            <w:r>
              <w:rPr>
                <w:rFonts w:ascii="Times" w:hAnsi="Times" w:cs="Times"/>
                <w:sz w:val="25"/>
                <w:szCs w:val="25"/>
              </w:rPr>
              <w:t>a to najmä na základe návrhov Ministerstva vnútra SR, vzhľado</w:t>
            </w:r>
            <w:r w:rsidR="004571B6">
              <w:rPr>
                <w:rFonts w:ascii="Times" w:hAnsi="Times" w:cs="Times"/>
                <w:sz w:val="25"/>
                <w:szCs w:val="25"/>
              </w:rPr>
              <w:t>m na ich vecnú príslušnosť považ</w:t>
            </w:r>
            <w:r>
              <w:rPr>
                <w:rFonts w:ascii="Times" w:hAnsi="Times" w:cs="Times"/>
                <w:sz w:val="25"/>
                <w:szCs w:val="25"/>
              </w:rPr>
              <w:t>uj</w:t>
            </w:r>
            <w:r w:rsidR="004571B6">
              <w:rPr>
                <w:rFonts w:ascii="Times" w:hAnsi="Times" w:cs="Times"/>
                <w:sz w:val="25"/>
                <w:szCs w:val="25"/>
              </w:rPr>
              <w:t xml:space="preserve">eme nimi </w:t>
            </w:r>
            <w:r>
              <w:rPr>
                <w:rFonts w:ascii="Times" w:hAnsi="Times" w:cs="Times"/>
                <w:sz w:val="25"/>
                <w:szCs w:val="25"/>
              </w:rPr>
              <w:t>navrhovanú úpravu za dostatočnú.</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 19 V rámci tohto paragrafu navrhujeme doplniť informáciu týkajúcu sa obmedzení v ochrannom pásme. Zákonodarca by podľa nášho názoru mal vymedziť aspoň minimálny rozsah obmedzení v ochrannom pásme. ODÔVODNENIE: Zakaždým, keď sa v súčasnosti žiada o vydanie súhlasných stanovísk k výpočtu ochranných pásiem zo strany dotknutých subjektov, tie najviac zaujíma otázka, aké obmedzenia im budú vyplývať z vydania rozhodnutia o určení ochranného pásma. Aj keď návrh rozsahu obmedzenia by mal predkladať žiadateľ, sme toho </w:t>
            </w:r>
            <w:r>
              <w:rPr>
                <w:rFonts w:ascii="Times" w:hAnsi="Times" w:cs="Times"/>
                <w:sz w:val="25"/>
                <w:szCs w:val="25"/>
              </w:rPr>
              <w:lastRenderedPageBreak/>
              <w:t xml:space="preserve">názoru, že stanovenie aspoň minimálneho rozsahu obmedzení by dalo aj dotknutým subjektom lepšiu predstavu o tomto inštitúte.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Pripomienk</w:t>
            </w:r>
            <w:r w:rsidR="004571B6">
              <w:rPr>
                <w:rFonts w:ascii="Times" w:hAnsi="Times" w:cs="Times"/>
                <w:sz w:val="25"/>
                <w:szCs w:val="25"/>
              </w:rPr>
              <w:t xml:space="preserve">a smeruje nad rámec navrhovanej </w:t>
            </w:r>
            <w:bookmarkStart w:id="0" w:name="_GoBack"/>
            <w:bookmarkEnd w:id="0"/>
            <w:r>
              <w:rPr>
                <w:rFonts w:ascii="Times" w:hAnsi="Times" w:cs="Times"/>
                <w:sz w:val="25"/>
                <w:szCs w:val="25"/>
              </w:rPr>
              <w:t xml:space="preserve">zmeny zákona. Navyše z jej znenia nie je celkom zrejmé akej konkrétnej úpravy sa predkladateľ pripomienky domáha, čo je v rozpore s LPV SR. </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 3 ods. 3 „Oprávnenou osobou je podnikateľ, ktorý v rámci svojej činnosti a povolenia podľa tohto zákona vykonáva výskum, vývoj, pokusnú výrobu, výrobu, spracovanie, nadobúdanie, skladovanie, evidenciu, skúšanie, </w:t>
            </w:r>
            <w:proofErr w:type="spellStart"/>
            <w:r>
              <w:rPr>
                <w:rFonts w:ascii="Times" w:hAnsi="Times" w:cs="Times"/>
                <w:sz w:val="25"/>
                <w:szCs w:val="25"/>
              </w:rPr>
              <w:t>delaboráciu</w:t>
            </w:r>
            <w:proofErr w:type="spellEnd"/>
            <w:r>
              <w:rPr>
                <w:rFonts w:ascii="Times" w:hAnsi="Times" w:cs="Times"/>
                <w:sz w:val="25"/>
                <w:szCs w:val="25"/>
              </w:rPr>
              <w:t xml:space="preserve">, zneškodňovanie, likvidáciu alebo ničenie výbušnín, výbušných predmetov a munície, vyhľadáva nevybuchnutú muníciu, vykonáva trhacie práce alebo </w:t>
            </w:r>
            <w:proofErr w:type="spellStart"/>
            <w:r>
              <w:rPr>
                <w:rFonts w:ascii="Times" w:hAnsi="Times" w:cs="Times"/>
                <w:sz w:val="25"/>
                <w:szCs w:val="25"/>
              </w:rPr>
              <w:t>ohňostrojné</w:t>
            </w:r>
            <w:proofErr w:type="spellEnd"/>
            <w:r>
              <w:rPr>
                <w:rFonts w:ascii="Times" w:hAnsi="Times" w:cs="Times"/>
                <w:sz w:val="25"/>
                <w:szCs w:val="25"/>
              </w:rPr>
              <w:t xml:space="preserve"> práce, uvádza výbušniny, výbušné predmety a muníciu na trh alebo ich dováža.“ Navrhujeme, aby sa jednoznačne uviedlo, že ide o oprávnenú osobu v zmysle zákona č. 58/2014 Z. z., a nie o oprávnenú osobu v zmysle držiteľa živnostenského oprávnenia. ODÔVODNENIE: V praxi často dochádza k zamieňaniu pojmov medzi oprávnenou osobou ako podnikateľom, resp. firmou a oprávnenou osobou ako osobou, ktorá je držiteľom živnostenského oprávnenia na základe osobitného predpisu, a ktorá je poverenou v rámci spoločnosti k vykonávaniu činností spojených s predmetom činnosti danej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Pripomienka smeruje nad rámec navrhovanej zmeny zákona.</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 3 v nadväznosti na § 26 resp. § 27 Navrhujeme doplniť ustanovenie, podľa ktorého má oprávnená osoba povinnosť zabezpečiť, aby novoprijatí zamestnanci, ktorí pri svojej práci prichádzajú do kontaktu s výbušninami, výbušnými predmetmi a muníciou, absolvovali do pol roka od nástupu do práce odbornú prípravu na získanie osvedčenia na práce s výbušninami, </w:t>
            </w:r>
            <w:r>
              <w:rPr>
                <w:rFonts w:ascii="Times" w:hAnsi="Times" w:cs="Times"/>
                <w:sz w:val="25"/>
                <w:szCs w:val="25"/>
              </w:rPr>
              <w:lastRenderedPageBreak/>
              <w:t xml:space="preserve">výbušnými predmetmi a muníciou, pričom dovtedy môžu pracovať iba pod dohľadom odborne spôsobilej osoby. ODÔVODNENIE: Účelom je, aby mal každý zamestnanec aspoň základný prehľad o práci s výbušninami, výbušnými predmetmi a muníciou, najmä vzhľadom na dôležitosť dodržiavania technologických postupov a zásad BOZP.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Pripomienka je nad rámec navrhovanej zmeny zákona. Z vecného hľadiska sme toho názoru, že každý kto zaobchádza s výbušninami musí mať odbornú spôsobilosť.</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 44 ods. 7 „Zneškodňovanie alebo ničenie výbušnín a výbušných predmetov, okrem jednotlivého ničenia pyrotechnických výrobkov, oprávnená osoba písomne oznámi najneskôr osem pracovných dní vopred príslušnému obvodnému banskému úradu. Prílohou písomného oznámenia je technologický postup zneškodňovania alebo ničenia výbušnín a výbušných predmetov.“ - Navrhujeme doplniť na koniec vety túto formuláciu: ,,to neplatí, ak zneškodňovanie alebo ničenie výbušnín a výbušných predmetov vzhľadom na povahu veci neznesie odklad.“ ODÔVODNENIE: Môže nastať situácia, kedy si povaha veci vyžaduje promptné zneškodnenie výbušniny vzhľadom na nebezpečenstvo výbuchu a riziká s tým spojené. Preto by bolo vhodné v odôvodnených prípadoch nedodržať lehotu 8 pracovných dní. O tejto skutočnosti by oprávnená osoba mala následne povinnosť informovať obvodný banský úrad v zápisnici k zneškodneniu alebo zničeniu výbušnín a výbušných predmetov.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 xml:space="preserve">Pripomienka je nad rámec navrhovanej zmeny zákona. </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 8 „Oprávnená osoba je povinná zabezpečiť zatriedenie výbušnín, výbušných predmetov a munície podľa </w:t>
            </w:r>
            <w:r>
              <w:rPr>
                <w:rFonts w:ascii="Times" w:hAnsi="Times" w:cs="Times"/>
                <w:sz w:val="25"/>
                <w:szCs w:val="25"/>
              </w:rPr>
              <w:lastRenderedPageBreak/>
              <w:t xml:space="preserve">nebezpečenstva pri výbuchovej premene do tried a podtried nebezpečenstva a skupín znášanlivosti.“ - V zmysle tohto paragrafu navrhujeme upraviť zatriedenie výbušnín, výbušných predmetov a munície vymedzené v Prílohe č. 1 k vyhláške č. 288/2015 Z. z. podľa pôvodného označovania do tried A,B,C a podtried a skupín znášanlivosti v zmysle ADR. ODÔVODNENIE: súčasná právna úprava nesprávne prevzala zatriedenie od pôvodného označovania písmenami A I, A II, A III, B a C a momentálne ich označuje ako 1.1 – 1.6, pričom niektoré druhy výbušnín, výbušných predmetov a munície sú v dôsledku tohto prevzatia nesprávne zatriedené, čo spôsobuje okrem iného aj to, že sa na nich vzťahuje iná, </w:t>
            </w:r>
            <w:proofErr w:type="spellStart"/>
            <w:r>
              <w:rPr>
                <w:rFonts w:ascii="Times" w:hAnsi="Times" w:cs="Times"/>
                <w:sz w:val="25"/>
                <w:szCs w:val="25"/>
              </w:rPr>
              <w:t>častokrát</w:t>
            </w:r>
            <w:proofErr w:type="spellEnd"/>
            <w:r>
              <w:rPr>
                <w:rFonts w:ascii="Times" w:hAnsi="Times" w:cs="Times"/>
                <w:sz w:val="25"/>
                <w:szCs w:val="25"/>
              </w:rPr>
              <w:t xml:space="preserve"> prísnejšia právna úprava, než by mala byť.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Pripomienka smeruje nad rámec navrhovanej zmeny zákona.</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zákonu č. 58.2014 Z. z. (nad rámec novely)</w:t>
            </w:r>
            <w:r>
              <w:rPr>
                <w:rFonts w:ascii="Times" w:hAnsi="Times" w:cs="Times"/>
                <w:sz w:val="25"/>
                <w:szCs w:val="25"/>
              </w:rPr>
              <w:br/>
              <w:t>V poznámkach pod čiarou k odkazom 9, 11, 17 a 18 sa uvádza zákon č. 264/1999 Z. z. o technických požiadavkách na výrobky a o posudzovaní zhody a o zmene a doplnení niektorých zákonov v znení neskorších predpisov. Nakoľko zákon č. 264/1999 Z. z. bol zrušený zákonom č. 56/2018 Z. z. o posudzovaní zhody výrobku, sprístupňovaní určeného výrobku na trhu a o zmene a doplnení niektorých zákonov, navrhujeme predmetné ustanovenia zákona č. 264/1999 Z. z. nahradiť aktuálnou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 xml:space="preserve">Poznámky pod čiarou sa v súlade s Legislatívnymi pravidlami vlády SR spravidla nenovelizujú v samostatných ustanoveniach. </w:t>
            </w: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sa vložiť nasledujúci novelizačný bod, ktorým sa mení zákon č. 58/2014 Z. z.: V § 86 sa slová "všeobecný predpis o správnom konaní" nahrádzajú slovami </w:t>
            </w:r>
            <w:r>
              <w:rPr>
                <w:rFonts w:ascii="Times" w:hAnsi="Times" w:cs="Times"/>
                <w:sz w:val="25"/>
                <w:szCs w:val="25"/>
              </w:rPr>
              <w:lastRenderedPageBreak/>
              <w:t>"správny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p>
        </w:tc>
      </w:tr>
      <w:tr w:rsidR="000857DF">
        <w:trPr>
          <w:divId w:val="168423939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b/>
                <w:bCs/>
                <w:sz w:val="25"/>
                <w:szCs w:val="25"/>
              </w:rPr>
            </w:pPr>
            <w:r>
              <w:rPr>
                <w:rFonts w:ascii="Times" w:hAnsi="Times" w:cs="Times"/>
                <w:b/>
                <w:bCs/>
                <w:sz w:val="25"/>
                <w:szCs w:val="25"/>
              </w:rPr>
              <w:lastRenderedPageBreak/>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br/>
              <w:t>V §2 písm. e) odporúčame text „je úmerná okolitému tlaku“ nahradiť textom „je menšia ako rýchlosť zvuku“. V písm. f) odstrániť text „od explozívneho horenia“. V písm. g) slovo „</w:t>
            </w:r>
            <w:proofErr w:type="spellStart"/>
            <w:r>
              <w:rPr>
                <w:rFonts w:ascii="Times" w:hAnsi="Times" w:cs="Times"/>
                <w:sz w:val="25"/>
                <w:szCs w:val="25"/>
              </w:rPr>
              <w:t>zložou</w:t>
            </w:r>
            <w:proofErr w:type="spellEnd"/>
            <w:r>
              <w:rPr>
                <w:rFonts w:ascii="Times" w:hAnsi="Times" w:cs="Times"/>
                <w:sz w:val="25"/>
                <w:szCs w:val="25"/>
              </w:rPr>
              <w:t>“ nahradiť slovom „zmesou“ a pred slovo „horenia“ uviesť slovo „explozívneho“. V písm. i) slovo „</w:t>
            </w:r>
            <w:proofErr w:type="spellStart"/>
            <w:r>
              <w:rPr>
                <w:rFonts w:ascii="Times" w:hAnsi="Times" w:cs="Times"/>
                <w:sz w:val="25"/>
                <w:szCs w:val="25"/>
              </w:rPr>
              <w:t>ohňostrojných</w:t>
            </w:r>
            <w:proofErr w:type="spellEnd"/>
            <w:r>
              <w:rPr>
                <w:rFonts w:ascii="Times" w:hAnsi="Times" w:cs="Times"/>
                <w:sz w:val="25"/>
                <w:szCs w:val="25"/>
              </w:rPr>
              <w:t xml:space="preserve">“ nahradiť slovom „ohňostrojových“. V písm. k) slovo „počiatočným“ nahradiť slovom „začiatočným“. V písm. l) slovo „počiatočný“ nahradiť slovom „začiatočný“. V písm. n) 1. vetu upraviť nasledovne: „súbor pracovných operácií, ktorými sú plnenie trhavinami, príprava výbušného iniciačného reťazca, iniciovanie náloží, výbuch náloží a zneškodňovanie nevybuchnutých náloží a elementov“, Vysvetlenie: tzv. roznet vytvára na konci plameň (taktiež zlá, resp. veľmi obecná definícia aj v pravidlách slovenského jazyka, ktorá zahŕňa i detonáciu). Pretože sa jedná trhacie práce, tak navrhujeme použiť výbušný iniciačný reťazec. Nabíja sa zbraň! </w:t>
            </w:r>
            <w:proofErr w:type="spellStart"/>
            <w:r>
              <w:rPr>
                <w:rFonts w:ascii="Times" w:hAnsi="Times" w:cs="Times"/>
                <w:sz w:val="25"/>
                <w:szCs w:val="25"/>
              </w:rPr>
              <w:t>Zlyhavka</w:t>
            </w:r>
            <w:proofErr w:type="spellEnd"/>
            <w:r>
              <w:rPr>
                <w:rFonts w:ascii="Times" w:hAnsi="Times" w:cs="Times"/>
                <w:sz w:val="25"/>
                <w:szCs w:val="25"/>
              </w:rPr>
              <w:t xml:space="preserve"> je slangové slovo, resp. čechizmus. V </w:t>
            </w:r>
            <w:proofErr w:type="spellStart"/>
            <w:r>
              <w:rPr>
                <w:rFonts w:ascii="Times" w:hAnsi="Times" w:cs="Times"/>
                <w:sz w:val="25"/>
                <w:szCs w:val="25"/>
              </w:rPr>
              <w:t>odst</w:t>
            </w:r>
            <w:proofErr w:type="spellEnd"/>
            <w:r>
              <w:rPr>
                <w:rFonts w:ascii="Times" w:hAnsi="Times" w:cs="Times"/>
                <w:sz w:val="25"/>
                <w:szCs w:val="25"/>
              </w:rPr>
              <w:t xml:space="preserve">. 2. slovo „výbušninou“ nahradiť slovom „výbušninami“ a slovo „výbušnina“ nahradiť slovom „trhavina“ . Vysvetlenie: výbušnina je pomenovanie pre </w:t>
            </w:r>
            <w:r>
              <w:rPr>
                <w:rFonts w:ascii="Times" w:hAnsi="Times" w:cs="Times"/>
                <w:sz w:val="25"/>
                <w:szCs w:val="25"/>
              </w:rPr>
              <w:lastRenderedPageBreak/>
              <w:t xml:space="preserve">jej štyri podskupiny: - strelivina; - pyrotechnická zmes (obe explozívne horia); -trhavina; - traskavina (obe detonujú). Výbuch = detonácia. V písm. r) </w:t>
            </w:r>
            <w:proofErr w:type="spellStart"/>
            <w:r>
              <w:rPr>
                <w:rFonts w:ascii="Times" w:hAnsi="Times" w:cs="Times"/>
                <w:sz w:val="25"/>
                <w:szCs w:val="25"/>
              </w:rPr>
              <w:t>slovo“ničením</w:t>
            </w:r>
            <w:proofErr w:type="spellEnd"/>
            <w:r>
              <w:rPr>
                <w:rFonts w:ascii="Times" w:hAnsi="Times" w:cs="Times"/>
                <w:sz w:val="25"/>
                <w:szCs w:val="25"/>
              </w:rPr>
              <w:t xml:space="preserve">“ nahradiť slovom „zneškodňovaním“ a za slovné spojenie „zničenie výbušniny“ vložiť slovo „buď“. V </w:t>
            </w:r>
            <w:proofErr w:type="spellStart"/>
            <w:r>
              <w:rPr>
                <w:rFonts w:ascii="Times" w:hAnsi="Times" w:cs="Times"/>
                <w:sz w:val="25"/>
                <w:szCs w:val="25"/>
              </w:rPr>
              <w:t>písm.s</w:t>
            </w:r>
            <w:proofErr w:type="spellEnd"/>
            <w:r>
              <w:rPr>
                <w:rFonts w:ascii="Times" w:hAnsi="Times" w:cs="Times"/>
                <w:sz w:val="25"/>
                <w:szCs w:val="25"/>
              </w:rPr>
              <w:t>) „</w:t>
            </w:r>
            <w:proofErr w:type="spellStart"/>
            <w:r>
              <w:rPr>
                <w:rFonts w:ascii="Times" w:hAnsi="Times" w:cs="Times"/>
                <w:sz w:val="25"/>
                <w:szCs w:val="25"/>
              </w:rPr>
              <w:t>zlyhavkou</w:t>
            </w:r>
            <w:proofErr w:type="spellEnd"/>
            <w:r>
              <w:rPr>
                <w:rFonts w:ascii="Times" w:hAnsi="Times" w:cs="Times"/>
                <w:sz w:val="25"/>
                <w:szCs w:val="25"/>
              </w:rPr>
              <w:t xml:space="preserve"> nevybuchnutá nálož výbušniny alebo jej časť“ odstrániť. V písm. l) prerokovať s výrobcom, dovozcom alebo distribútorom „</w:t>
            </w:r>
            <w:proofErr w:type="spellStart"/>
            <w:r>
              <w:rPr>
                <w:rFonts w:ascii="Times" w:hAnsi="Times" w:cs="Times"/>
                <w:sz w:val="25"/>
                <w:szCs w:val="25"/>
              </w:rPr>
              <w:t>zlyhavky</w:t>
            </w:r>
            <w:proofErr w:type="spellEnd"/>
            <w:r>
              <w:rPr>
                <w:rFonts w:ascii="Times" w:hAnsi="Times" w:cs="Times"/>
                <w:sz w:val="25"/>
                <w:szCs w:val="25"/>
              </w:rPr>
              <w:t>“ spôsobené nedostatočnou kvalitou výbušniny a výbušného predmetu a túto skutočnosť oznámiť Hlavnému banskému úradu; v oznámení sa uvedú výrobné údaje „</w:t>
            </w:r>
            <w:proofErr w:type="spellStart"/>
            <w:r>
              <w:rPr>
                <w:rFonts w:ascii="Times" w:hAnsi="Times" w:cs="Times"/>
                <w:sz w:val="25"/>
                <w:szCs w:val="25"/>
              </w:rPr>
              <w:t>zlyhavky</w:t>
            </w:r>
            <w:proofErr w:type="spellEnd"/>
            <w:r>
              <w:rPr>
                <w:rFonts w:ascii="Times" w:hAnsi="Times" w:cs="Times"/>
                <w:sz w:val="25"/>
                <w:szCs w:val="25"/>
              </w:rPr>
              <w:t>“ , dávame na zváženie, nakoľko zlyhanie, resp. nevybuchnutie trhaviny môže byť spôsobené aj zlým iniciačným reťazcom alebo pri banských trhavinách aj zlým skladovaním (navlhnutie trhaviny). Čo s tým má výrobca spoločné? Podobne v § 55 e) riadi likvidáciu „</w:t>
            </w:r>
            <w:proofErr w:type="spellStart"/>
            <w:r>
              <w:rPr>
                <w:rFonts w:ascii="Times" w:hAnsi="Times" w:cs="Times"/>
                <w:sz w:val="25"/>
                <w:szCs w:val="25"/>
              </w:rPr>
              <w:t>zlyhaviek</w:t>
            </w:r>
            <w:proofErr w:type="spellEnd"/>
            <w:r>
              <w:rPr>
                <w:rFonts w:ascii="Times" w:hAnsi="Times" w:cs="Times"/>
                <w:sz w:val="25"/>
                <w:szCs w:val="25"/>
              </w:rPr>
              <w:t xml:space="preserve">“. V paragrafoch 4,15 a 22 všade nahradiť slovo „zlož“ slovom „zmes“. K § 25 (4) Ak sú pochybnosti o psychickom stave fyzickej osoby, ktorá žiada o lekársky posudok o zdravotnej spôsobilosti, je posudzujúci lekár povinný vyžiadať si od klinického psychológa psychologický posudok o psychickej spôsobilosti tejto fyzickej osoby na prácu s výbušninami, výbušnými predmetmi alebo muníciou. Pozn.: To by malo byť predsa automaticky, veď na zbrane a strelivo je potrebné mať vyšetrenie u psychológa. Výbušniny majú predsa väčšiu účinnosť a následky a je ich možné použiť v utajenej forme! V § 32 (7) slovo „vystreľovanie“ nahradiť slovom „hĺbenie“, slovo „rozstreľovanie“ nahradiť slovom „trhanie“ a za slová „stromy“, „pňov“ a „horniny“ uviesť slovo „výbuchom“. V § 40 2) za slovo „historických“ doplniť slovo „palných“. V § 44 (1) za </w:t>
            </w:r>
            <w:r>
              <w:rPr>
                <w:rFonts w:ascii="Times" w:hAnsi="Times" w:cs="Times"/>
                <w:sz w:val="25"/>
                <w:szCs w:val="25"/>
              </w:rPr>
              <w:lastRenderedPageBreak/>
              <w:t>slovom „postupu“ doplniť slovo „buď“ V § 52 (10) slovo „</w:t>
            </w:r>
            <w:proofErr w:type="spellStart"/>
            <w:r>
              <w:rPr>
                <w:rFonts w:ascii="Times" w:hAnsi="Times" w:cs="Times"/>
                <w:sz w:val="25"/>
                <w:szCs w:val="25"/>
              </w:rPr>
              <w:t>výmetnice</w:t>
            </w:r>
            <w:proofErr w:type="spellEnd"/>
            <w:r>
              <w:rPr>
                <w:rFonts w:ascii="Times" w:hAnsi="Times" w:cs="Times"/>
                <w:sz w:val="25"/>
                <w:szCs w:val="25"/>
              </w:rPr>
              <w:t>“ nahradiť slovom „</w:t>
            </w:r>
            <w:proofErr w:type="spellStart"/>
            <w:r>
              <w:rPr>
                <w:rFonts w:ascii="Times" w:hAnsi="Times" w:cs="Times"/>
                <w:sz w:val="25"/>
                <w:szCs w:val="25"/>
              </w:rPr>
              <w:t>vystreľovače</w:t>
            </w:r>
            <w:proofErr w:type="spellEnd"/>
            <w:r>
              <w:rPr>
                <w:rFonts w:ascii="Times" w:hAnsi="Times" w:cs="Times"/>
                <w:sz w:val="25"/>
                <w:szCs w:val="25"/>
              </w:rPr>
              <w:t xml:space="preserve">“ (pozn. jedná sa o čechizmus)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857DF" w:rsidRDefault="000857DF">
            <w:pPr>
              <w:rPr>
                <w:rFonts w:ascii="Times" w:hAnsi="Times" w:cs="Times"/>
                <w:sz w:val="25"/>
                <w:szCs w:val="25"/>
              </w:rPr>
            </w:pPr>
            <w:r>
              <w:rPr>
                <w:rFonts w:ascii="Times" w:hAnsi="Times" w:cs="Times"/>
                <w:sz w:val="25"/>
                <w:szCs w:val="25"/>
              </w:rPr>
              <w:t>Pripomienka je nad rámec predkladanej novely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49" w:rsidRDefault="00130249" w:rsidP="000A67D5">
      <w:pPr>
        <w:spacing w:after="0" w:line="240" w:lineRule="auto"/>
      </w:pPr>
      <w:r>
        <w:separator/>
      </w:r>
    </w:p>
  </w:endnote>
  <w:endnote w:type="continuationSeparator" w:id="0">
    <w:p w:rsidR="00130249" w:rsidRDefault="0013024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49" w:rsidRDefault="00130249" w:rsidP="000A67D5">
      <w:pPr>
        <w:spacing w:after="0" w:line="240" w:lineRule="auto"/>
      </w:pPr>
      <w:r>
        <w:separator/>
      </w:r>
    </w:p>
  </w:footnote>
  <w:footnote w:type="continuationSeparator" w:id="0">
    <w:p w:rsidR="00130249" w:rsidRDefault="0013024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857DF"/>
    <w:rsid w:val="000A67D5"/>
    <w:rsid w:val="000E25CA"/>
    <w:rsid w:val="000F7A42"/>
    <w:rsid w:val="00130249"/>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571B6"/>
    <w:rsid w:val="00474A9D"/>
    <w:rsid w:val="00532574"/>
    <w:rsid w:val="0059081C"/>
    <w:rsid w:val="005E7C53"/>
    <w:rsid w:val="00642FB8"/>
    <w:rsid w:val="006A3681"/>
    <w:rsid w:val="007156F5"/>
    <w:rsid w:val="007856C8"/>
    <w:rsid w:val="007A1010"/>
    <w:rsid w:val="007B7F1A"/>
    <w:rsid w:val="007D7AE6"/>
    <w:rsid w:val="007E4294"/>
    <w:rsid w:val="00841FA6"/>
    <w:rsid w:val="008A1964"/>
    <w:rsid w:val="008E2844"/>
    <w:rsid w:val="0090100E"/>
    <w:rsid w:val="009239D9"/>
    <w:rsid w:val="00927118"/>
    <w:rsid w:val="00943EB2"/>
    <w:rsid w:val="0099665B"/>
    <w:rsid w:val="009B1325"/>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4894">
      <w:bodyDiv w:val="1"/>
      <w:marLeft w:val="0"/>
      <w:marRight w:val="0"/>
      <w:marTop w:val="0"/>
      <w:marBottom w:val="0"/>
      <w:divBdr>
        <w:top w:val="none" w:sz="0" w:space="0" w:color="auto"/>
        <w:left w:val="none" w:sz="0" w:space="0" w:color="auto"/>
        <w:bottom w:val="none" w:sz="0" w:space="0" w:color="auto"/>
        <w:right w:val="none" w:sz="0" w:space="0" w:color="auto"/>
      </w:divBdr>
    </w:div>
    <w:div w:id="611399944">
      <w:bodyDiv w:val="1"/>
      <w:marLeft w:val="0"/>
      <w:marRight w:val="0"/>
      <w:marTop w:val="0"/>
      <w:marBottom w:val="0"/>
      <w:divBdr>
        <w:top w:val="none" w:sz="0" w:space="0" w:color="auto"/>
        <w:left w:val="none" w:sz="0" w:space="0" w:color="auto"/>
        <w:bottom w:val="none" w:sz="0" w:space="0" w:color="auto"/>
        <w:right w:val="none" w:sz="0" w:space="0" w:color="auto"/>
      </w:divBdr>
    </w:div>
    <w:div w:id="635572588">
      <w:bodyDiv w:val="1"/>
      <w:marLeft w:val="0"/>
      <w:marRight w:val="0"/>
      <w:marTop w:val="0"/>
      <w:marBottom w:val="0"/>
      <w:divBdr>
        <w:top w:val="none" w:sz="0" w:space="0" w:color="auto"/>
        <w:left w:val="none" w:sz="0" w:space="0" w:color="auto"/>
        <w:bottom w:val="none" w:sz="0" w:space="0" w:color="auto"/>
        <w:right w:val="none" w:sz="0" w:space="0" w:color="auto"/>
      </w:divBdr>
    </w:div>
    <w:div w:id="1243490254">
      <w:bodyDiv w:val="1"/>
      <w:marLeft w:val="0"/>
      <w:marRight w:val="0"/>
      <w:marTop w:val="0"/>
      <w:marBottom w:val="0"/>
      <w:divBdr>
        <w:top w:val="none" w:sz="0" w:space="0" w:color="auto"/>
        <w:left w:val="none" w:sz="0" w:space="0" w:color="auto"/>
        <w:bottom w:val="none" w:sz="0" w:space="0" w:color="auto"/>
        <w:right w:val="none" w:sz="0" w:space="0" w:color="auto"/>
      </w:divBdr>
    </w:div>
    <w:div w:id="1295018698">
      <w:bodyDiv w:val="1"/>
      <w:marLeft w:val="0"/>
      <w:marRight w:val="0"/>
      <w:marTop w:val="0"/>
      <w:marBottom w:val="0"/>
      <w:divBdr>
        <w:top w:val="none" w:sz="0" w:space="0" w:color="auto"/>
        <w:left w:val="none" w:sz="0" w:space="0" w:color="auto"/>
        <w:bottom w:val="none" w:sz="0" w:space="0" w:color="auto"/>
        <w:right w:val="none" w:sz="0" w:space="0" w:color="auto"/>
      </w:divBdr>
    </w:div>
    <w:div w:id="1415740307">
      <w:bodyDiv w:val="1"/>
      <w:marLeft w:val="0"/>
      <w:marRight w:val="0"/>
      <w:marTop w:val="0"/>
      <w:marBottom w:val="0"/>
      <w:divBdr>
        <w:top w:val="none" w:sz="0" w:space="0" w:color="auto"/>
        <w:left w:val="none" w:sz="0" w:space="0" w:color="auto"/>
        <w:bottom w:val="none" w:sz="0" w:space="0" w:color="auto"/>
        <w:right w:val="none" w:sz="0" w:space="0" w:color="auto"/>
      </w:divBdr>
    </w:div>
    <w:div w:id="1684239394">
      <w:bodyDiv w:val="1"/>
      <w:marLeft w:val="0"/>
      <w:marRight w:val="0"/>
      <w:marTop w:val="0"/>
      <w:marBottom w:val="0"/>
      <w:divBdr>
        <w:top w:val="none" w:sz="0" w:space="0" w:color="auto"/>
        <w:left w:val="none" w:sz="0" w:space="0" w:color="auto"/>
        <w:bottom w:val="none" w:sz="0" w:space="0" w:color="auto"/>
        <w:right w:val="none" w:sz="0" w:space="0" w:color="auto"/>
      </w:divBdr>
    </w:div>
    <w:div w:id="17445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8.2019 14:56:44"/>
    <f:field ref="objchangedby" par="" text="Administrator, System"/>
    <f:field ref="objmodifiedat" par="" text="28.8.2019 14:56:4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7768</Words>
  <Characters>44278</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2019-08-28T12:58:00Z</dcterms:created>
  <dcterms:modified xsi:type="dcterms:W3CDTF">2019-09-03T08:23:00Z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border="1" cellpadding="0" cellspacing="0" style="width: 631px;" width="631"&gt;	&lt;tbody&gt;		&lt;tr&gt;			&lt;td colspan="5" style="width: 631px; height: 16px;"&gt;			&lt;p align="center"&gt;&amp;nbsp;&lt;/p&gt;			&lt;p&gt;&lt;strong&gt;Scenár 1: Verejnosť je inform</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Michala Borovská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58/2014 Z. z. o výbušninách, výbušných predmetoch a munícii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B.36 uznesenia vlády SR č. 51/2019</vt:lpwstr>
  </property>
  <property fmtid="{D5CDD505-2E9C-101B-9397-08002B2CF9AE}" pid="22" name="FSC#SKEDITIONSLOVLEX@103.510:plnynazovpredpis">
    <vt:lpwstr> Zákon, ktorým sa mení a dopĺňa zákon č. 58/2014 Z. z. o výbušninách, výbušných predmetoch a munícii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15701/2019-2062-27994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Hlava II Voľný pohyb tovaru, čl. 28 – 37 Zmluvy o fungovaní Európskej únie</vt:lpwstr>
  </property>
  <property fmtid="{D5CDD505-2E9C-101B-9397-08002B2CF9AE}" pid="46" name="FSC#SKEDITIONSLOVLEX@103.510:AttrStrListDocPropSekundarneLegPravoPO">
    <vt:lpwstr>Smernica Európskeho parlamentu a Rady 2013/29/EÚ z 12. júna 2013 o harmonizácii zákonov členských štátov týkajúcich sa sprístupňovania pyrotechnických výrobkov na trhu (prepracované znenie) (Ú. v. EÚ L 178, 28. 6. 2013)_x000d_
Smernica Európskeho parlamentu a 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vt:lpwstr>
  </property>
  <property fmtid="{D5CDD505-2E9C-101B-9397-08002B2CF9AE}" pid="51" name="FSC#SKEDITIONSLOVLEX@103.510:AttrStrListDocPropLehotaPrebratieSmernice">
    <vt:lpwstr>Smernica Európskeho parlamentu a Rady 2013/29/EÚ do 30. júna 2015 a Smernica Európskeho parlamentu a Rady 2014/28/EÚ do 19. apríla 2016 a do 30. júna 2015.</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vt:lpwstr>
  </property>
  <property fmtid="{D5CDD505-2E9C-101B-9397-08002B2CF9AE}" pid="54" name="FSC#SKEDITIONSLOVLEX@103.510:AttrStrListDocPropInfoUzPreberanePP">
    <vt:lpwstr>Nariadenie vlády Slovenskej republiky č. 70/2015 Z. z. o sprístupňovaní pyrotechnických výrobkov na trhu._x000d_
Nariadenie vlády Slovenskej republiky č. 131/2016 Z. z. o sprístupňovaní výbušnín na civilné použitie na trhu._x000d_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11. 4. 2019</vt:lpwstr>
  </property>
  <property fmtid="{D5CDD505-2E9C-101B-9397-08002B2CF9AE}" pid="58" name="FSC#SKEDITIONSLOVLEX@103.510:AttrDateDocPropUkonceniePKK">
    <vt:lpwstr>29. 4. 2019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opatreniach na zlepšenie podnikateľského prostredia III. bod 35. Zníženie záťaže v banskej činnosti je v popise vybraných vplyvov identifikovaný pozitívny vplyvy návrhu zákona na podnikateľské prostredie. Podľa získaných informácií od oprávnených osôb Z</vt:lpwstr>
  </property>
  <property fmtid="{D5CDD505-2E9C-101B-9397-08002B2CF9AE}" pid="65" name="FSC#SKEDITIONSLOVLEX@103.510:AttrStrListDocPropAltRiesenia">
    <vt:lpwstr>Vzhľadom na charakter a ciele návrhu neboli zvažované alternatívne riešenia definovaných problémov.</vt:lpwstr>
  </property>
  <property fmtid="{D5CDD505-2E9C-101B-9397-08002B2CF9AE}" pid="66" name="FSC#SKEDITIONSLOVLEX@103.510:AttrStrListDocPropStanoviskoGest">
    <vt:lpwstr>&lt;p&gt;&lt;strong&gt;I. Úvod: &lt;/strong&gt;Ministerstvo hospodárstva SR dňa 11. apríla 2019 predložilo Stálej pracovnej komisii na posudzovanie vybraných vplyvov (ďalej len „Komisia“) na predbežné pripomienkové konanie materiál:&lt;em&gt; „Návrh zákona, ktorým sa mení a dopĺ</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58/2014&amp;nbsp; Z. z.&amp;nbsp; o výbušninách, výbušných predmetoch a munícii a o zmene a doplnení niektorých zákonov v&amp;nbsp;znení neskorších predpisov (ďalej len „zákon o&amp;nbsp;výbuš</vt:lpwstr>
  </property>
  <property fmtid="{D5CDD505-2E9C-101B-9397-08002B2CF9AE}" pid="149" name="FSC#COOSYSTEM@1.1:Container">
    <vt:lpwstr>COO.2145.1000.3.3557874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28. 8. 2019</vt:lpwstr>
  </property>
</Properties>
</file>