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3B" w:rsidRPr="00F77C54" w:rsidRDefault="006B1A62" w:rsidP="00FE483B">
      <w:pPr>
        <w:pStyle w:val="Nzov"/>
        <w:rPr>
          <w:noProof/>
        </w:rPr>
      </w:pPr>
      <w:r>
        <w:rPr>
          <w:noProof/>
        </w:rPr>
        <w:t xml:space="preserve">DOLOŽKA </w:t>
      </w:r>
      <w:r w:rsidR="00FE483B" w:rsidRPr="00F77C54">
        <w:rPr>
          <w:noProof/>
        </w:rPr>
        <w:t>ZLUČITEĽNOSTI</w:t>
      </w:r>
    </w:p>
    <w:p w:rsidR="009C5467" w:rsidRPr="00F77C54" w:rsidRDefault="00AC2222" w:rsidP="006B1A62">
      <w:pPr>
        <w:jc w:val="center"/>
        <w:rPr>
          <w:b/>
          <w:noProof/>
        </w:rPr>
      </w:pPr>
      <w:r w:rsidRPr="00F77C54">
        <w:rPr>
          <w:b/>
          <w:noProof/>
        </w:rPr>
        <w:t>n</w:t>
      </w:r>
      <w:r w:rsidR="009C5467" w:rsidRPr="00F77C54">
        <w:rPr>
          <w:b/>
          <w:noProof/>
        </w:rPr>
        <w:t>ávrh</w:t>
      </w:r>
      <w:r w:rsidRPr="00F77C54">
        <w:rPr>
          <w:b/>
          <w:noProof/>
        </w:rPr>
        <w:t>u</w:t>
      </w:r>
      <w:r w:rsidR="009C5467" w:rsidRPr="00F77C54">
        <w:rPr>
          <w:b/>
          <w:noProof/>
        </w:rPr>
        <w:t xml:space="preserve"> zákona, ktorým sa mení a dopĺňa zákon č. </w:t>
      </w:r>
      <w:r w:rsidR="006B1A62">
        <w:rPr>
          <w:b/>
          <w:noProof/>
        </w:rPr>
        <w:t>106/2004</w:t>
      </w:r>
      <w:r w:rsidR="009C5467" w:rsidRPr="00F77C54">
        <w:rPr>
          <w:b/>
          <w:noProof/>
        </w:rPr>
        <w:t xml:space="preserve"> Z. z. o spotrebnej dani </w:t>
      </w:r>
      <w:r w:rsidR="00B3372B">
        <w:rPr>
          <w:b/>
          <w:noProof/>
        </w:rPr>
        <w:br/>
      </w:r>
      <w:r w:rsidR="006B1A62">
        <w:rPr>
          <w:b/>
          <w:noProof/>
        </w:rPr>
        <w:t>z tabakových výrobkov</w:t>
      </w:r>
      <w:r w:rsidRPr="00F77C54">
        <w:rPr>
          <w:b/>
          <w:bCs/>
          <w:noProof/>
        </w:rPr>
        <w:t xml:space="preserve"> v znení neskorších predpisov s právom Európskej únie</w:t>
      </w:r>
    </w:p>
    <w:p w:rsidR="00FE483B" w:rsidRPr="00F77C54" w:rsidRDefault="00FE483B" w:rsidP="006F7BA1">
      <w:pPr>
        <w:pBdr>
          <w:bottom w:val="single" w:sz="12" w:space="1" w:color="auto"/>
        </w:pBdr>
        <w:jc w:val="center"/>
        <w:rPr>
          <w:noProof/>
        </w:rPr>
      </w:pPr>
    </w:p>
    <w:p w:rsidR="00FE483B" w:rsidRPr="00F77C54" w:rsidRDefault="00FE483B" w:rsidP="00FE483B">
      <w:pPr>
        <w:pStyle w:val="Zkladntext0"/>
        <w:tabs>
          <w:tab w:val="left" w:pos="284"/>
        </w:tabs>
        <w:spacing w:before="120"/>
        <w:rPr>
          <w:b/>
          <w:bCs/>
          <w:noProof/>
          <w:sz w:val="24"/>
          <w:szCs w:val="24"/>
        </w:rPr>
      </w:pPr>
    </w:p>
    <w:p w:rsidR="00FE483B" w:rsidRPr="00F77C54" w:rsidRDefault="00AC2222" w:rsidP="00FE483B">
      <w:pPr>
        <w:pStyle w:val="Zkladntext0"/>
        <w:tabs>
          <w:tab w:val="left" w:pos="284"/>
        </w:tabs>
        <w:spacing w:before="120"/>
        <w:rPr>
          <w:b/>
          <w:bCs/>
          <w:noProof/>
          <w:sz w:val="24"/>
          <w:szCs w:val="24"/>
        </w:rPr>
      </w:pPr>
      <w:r w:rsidRPr="00F77C54">
        <w:rPr>
          <w:b/>
          <w:bCs/>
          <w:noProof/>
          <w:sz w:val="24"/>
          <w:szCs w:val="24"/>
        </w:rPr>
        <w:t>1.</w:t>
      </w:r>
      <w:r w:rsidRPr="00F77C54">
        <w:rPr>
          <w:b/>
          <w:bCs/>
          <w:noProof/>
          <w:sz w:val="24"/>
          <w:szCs w:val="24"/>
        </w:rPr>
        <w:tab/>
        <w:t xml:space="preserve">Navrhovateľ </w:t>
      </w:r>
      <w:r w:rsidR="00FE483B" w:rsidRPr="00F77C54">
        <w:rPr>
          <w:b/>
          <w:bCs/>
          <w:noProof/>
          <w:sz w:val="24"/>
          <w:szCs w:val="24"/>
        </w:rPr>
        <w:t xml:space="preserve">zákona: </w:t>
      </w:r>
    </w:p>
    <w:p w:rsidR="00FE483B" w:rsidRPr="00F77C54" w:rsidRDefault="00FE483B" w:rsidP="00FE483B">
      <w:pPr>
        <w:pStyle w:val="Zkladntext0"/>
        <w:spacing w:before="120"/>
        <w:ind w:left="284"/>
        <w:jc w:val="both"/>
        <w:rPr>
          <w:noProof/>
          <w:sz w:val="24"/>
          <w:szCs w:val="24"/>
        </w:rPr>
      </w:pPr>
      <w:r w:rsidRPr="00F77C54">
        <w:rPr>
          <w:noProof/>
          <w:sz w:val="24"/>
          <w:szCs w:val="24"/>
        </w:rPr>
        <w:t>Vláda Slovenskej republiky.</w:t>
      </w:r>
    </w:p>
    <w:p w:rsidR="00FE483B" w:rsidRPr="00F77C54" w:rsidRDefault="00FE483B" w:rsidP="00FE483B">
      <w:pPr>
        <w:pStyle w:val="Zkladntext0"/>
        <w:numPr>
          <w:ilvl w:val="0"/>
          <w:numId w:val="2"/>
        </w:numPr>
        <w:tabs>
          <w:tab w:val="clear" w:pos="360"/>
          <w:tab w:val="left" w:pos="284"/>
        </w:tabs>
        <w:spacing w:before="120" w:after="120"/>
        <w:ind w:left="0" w:firstLine="0"/>
        <w:jc w:val="both"/>
        <w:rPr>
          <w:b/>
          <w:bCs/>
          <w:noProof/>
          <w:sz w:val="24"/>
          <w:szCs w:val="24"/>
        </w:rPr>
      </w:pPr>
      <w:r w:rsidRPr="00F77C54">
        <w:rPr>
          <w:b/>
          <w:bCs/>
          <w:noProof/>
          <w:sz w:val="24"/>
          <w:szCs w:val="24"/>
        </w:rPr>
        <w:t xml:space="preserve">Názov návrhu zákona: </w:t>
      </w:r>
    </w:p>
    <w:p w:rsidR="00FE483B" w:rsidRPr="00F77C54" w:rsidRDefault="009C5467" w:rsidP="00897796">
      <w:pPr>
        <w:spacing w:line="276" w:lineRule="auto"/>
        <w:ind w:left="284"/>
        <w:jc w:val="both"/>
        <w:rPr>
          <w:noProof/>
        </w:rPr>
      </w:pPr>
      <w:r w:rsidRPr="00F77C54">
        <w:rPr>
          <w:noProof/>
        </w:rPr>
        <w:t xml:space="preserve">Návrh zákona, ktorým sa mení a dopĺňa zákon č. </w:t>
      </w:r>
      <w:r w:rsidR="006B1A62">
        <w:rPr>
          <w:noProof/>
        </w:rPr>
        <w:t>106/2004</w:t>
      </w:r>
      <w:r w:rsidRPr="00F77C54">
        <w:rPr>
          <w:noProof/>
        </w:rPr>
        <w:t xml:space="preserve"> Z. z. o spotrebnej dani z</w:t>
      </w:r>
      <w:r w:rsidR="006B1A62">
        <w:rPr>
          <w:noProof/>
        </w:rPr>
        <w:t> tabakových výrobkov</w:t>
      </w:r>
      <w:r w:rsidR="00323BA4">
        <w:rPr>
          <w:noProof/>
        </w:rPr>
        <w:t xml:space="preserve"> </w:t>
      </w:r>
      <w:r w:rsidR="00AC2222" w:rsidRPr="00F77C54">
        <w:rPr>
          <w:bCs/>
          <w:noProof/>
        </w:rPr>
        <w:t>v znení neskorších predpisov</w:t>
      </w:r>
      <w:r w:rsidR="00FE483B" w:rsidRPr="00F77C54">
        <w:rPr>
          <w:noProof/>
        </w:rPr>
        <w:t>.</w:t>
      </w:r>
    </w:p>
    <w:p w:rsidR="00FE483B" w:rsidRPr="00F77C54" w:rsidRDefault="00FE483B" w:rsidP="00AC2222">
      <w:pPr>
        <w:pStyle w:val="Zkladntext0"/>
        <w:numPr>
          <w:ilvl w:val="0"/>
          <w:numId w:val="2"/>
        </w:numPr>
        <w:tabs>
          <w:tab w:val="clear" w:pos="360"/>
          <w:tab w:val="left" w:pos="284"/>
        </w:tabs>
        <w:spacing w:before="120" w:after="120"/>
        <w:ind w:left="0" w:firstLine="0"/>
        <w:jc w:val="both"/>
        <w:rPr>
          <w:b/>
          <w:bCs/>
          <w:noProof/>
          <w:sz w:val="24"/>
          <w:szCs w:val="24"/>
        </w:rPr>
      </w:pPr>
      <w:r w:rsidRPr="00F77C54">
        <w:rPr>
          <w:b/>
          <w:bCs/>
          <w:noProof/>
          <w:sz w:val="24"/>
          <w:szCs w:val="24"/>
        </w:rPr>
        <w:t>Pr</w:t>
      </w:r>
      <w:r w:rsidR="00AC2222" w:rsidRPr="00F77C54">
        <w:rPr>
          <w:b/>
          <w:bCs/>
          <w:noProof/>
          <w:sz w:val="24"/>
          <w:szCs w:val="24"/>
        </w:rPr>
        <w:t xml:space="preserve">edmet </w:t>
      </w:r>
      <w:r w:rsidRPr="00F77C54">
        <w:rPr>
          <w:b/>
          <w:bCs/>
          <w:noProof/>
          <w:sz w:val="24"/>
          <w:szCs w:val="24"/>
        </w:rPr>
        <w:t>návrhu zákona</w:t>
      </w:r>
      <w:r w:rsidR="00AC2222" w:rsidRPr="00F77C54">
        <w:rPr>
          <w:b/>
          <w:bCs/>
          <w:noProof/>
          <w:sz w:val="24"/>
          <w:szCs w:val="24"/>
        </w:rPr>
        <w:t xml:space="preserve"> </w:t>
      </w:r>
      <w:r w:rsidRPr="00F77C54">
        <w:rPr>
          <w:b/>
          <w:noProof/>
          <w:sz w:val="24"/>
          <w:szCs w:val="24"/>
        </w:rPr>
        <w:t>je upraven</w:t>
      </w:r>
      <w:r w:rsidR="00AC2222" w:rsidRPr="00F77C54">
        <w:rPr>
          <w:b/>
          <w:noProof/>
          <w:sz w:val="24"/>
          <w:szCs w:val="24"/>
        </w:rPr>
        <w:t>ý</w:t>
      </w:r>
      <w:r w:rsidRPr="00F77C54">
        <w:rPr>
          <w:b/>
          <w:noProof/>
          <w:sz w:val="24"/>
          <w:szCs w:val="24"/>
        </w:rPr>
        <w:t xml:space="preserve"> v práve Európskej únie: </w:t>
      </w:r>
    </w:p>
    <w:p w:rsidR="00FE483B" w:rsidRPr="00F77C54" w:rsidRDefault="00FE483B" w:rsidP="00897796">
      <w:pPr>
        <w:pStyle w:val="Zkladntext0"/>
        <w:numPr>
          <w:ilvl w:val="0"/>
          <w:numId w:val="6"/>
        </w:numPr>
        <w:spacing w:after="120"/>
        <w:ind w:left="641" w:hanging="357"/>
        <w:rPr>
          <w:b/>
          <w:noProof/>
          <w:sz w:val="24"/>
          <w:szCs w:val="24"/>
        </w:rPr>
      </w:pPr>
      <w:r w:rsidRPr="00F77C54">
        <w:rPr>
          <w:b/>
          <w:noProof/>
          <w:sz w:val="24"/>
          <w:szCs w:val="24"/>
        </w:rPr>
        <w:t>Primárne právo:</w:t>
      </w:r>
    </w:p>
    <w:p w:rsidR="004839D9" w:rsidRPr="00F77C54" w:rsidRDefault="00FE483B" w:rsidP="00FE483B">
      <w:pPr>
        <w:pStyle w:val="Zkladntext0"/>
        <w:numPr>
          <w:ilvl w:val="0"/>
          <w:numId w:val="1"/>
        </w:numPr>
        <w:spacing w:after="120"/>
        <w:ind w:left="658" w:hanging="357"/>
        <w:rPr>
          <w:noProof/>
          <w:sz w:val="24"/>
          <w:szCs w:val="24"/>
        </w:rPr>
      </w:pPr>
      <w:r w:rsidRPr="00F77C54">
        <w:rPr>
          <w:noProof/>
          <w:sz w:val="24"/>
          <w:szCs w:val="24"/>
        </w:rPr>
        <w:t xml:space="preserve">čl. </w:t>
      </w:r>
      <w:r w:rsidR="004839D9" w:rsidRPr="00F77C54">
        <w:rPr>
          <w:noProof/>
          <w:sz w:val="24"/>
          <w:szCs w:val="24"/>
        </w:rPr>
        <w:t>52 Zmluvy o Európskej únii,</w:t>
      </w:r>
    </w:p>
    <w:p w:rsidR="00FE483B" w:rsidRPr="00F77C54" w:rsidRDefault="005A5A28" w:rsidP="00920E2F">
      <w:pPr>
        <w:pStyle w:val="Zkladntext0"/>
        <w:numPr>
          <w:ilvl w:val="0"/>
          <w:numId w:val="1"/>
        </w:numPr>
        <w:spacing w:after="240"/>
        <w:ind w:left="658" w:hanging="357"/>
        <w:rPr>
          <w:noProof/>
          <w:sz w:val="24"/>
          <w:szCs w:val="24"/>
        </w:rPr>
      </w:pPr>
      <w:r w:rsidRPr="00F77C54">
        <w:rPr>
          <w:noProof/>
          <w:sz w:val="24"/>
          <w:szCs w:val="24"/>
        </w:rPr>
        <w:t xml:space="preserve">čl. </w:t>
      </w:r>
      <w:r w:rsidR="00FE483B" w:rsidRPr="00F77C54">
        <w:rPr>
          <w:noProof/>
          <w:sz w:val="24"/>
          <w:szCs w:val="24"/>
        </w:rPr>
        <w:t>110 až 113</w:t>
      </w:r>
      <w:r w:rsidR="00A055C8" w:rsidRPr="00F77C54">
        <w:rPr>
          <w:noProof/>
          <w:sz w:val="24"/>
          <w:szCs w:val="24"/>
        </w:rPr>
        <w:t xml:space="preserve"> a</w:t>
      </w:r>
      <w:r w:rsidRPr="00F77C54">
        <w:rPr>
          <w:noProof/>
          <w:sz w:val="24"/>
          <w:szCs w:val="24"/>
        </w:rPr>
        <w:t xml:space="preserve"> čl. </w:t>
      </w:r>
      <w:r w:rsidR="00A055C8" w:rsidRPr="00F77C54">
        <w:rPr>
          <w:noProof/>
          <w:sz w:val="24"/>
          <w:szCs w:val="24"/>
        </w:rPr>
        <w:t>355</w:t>
      </w:r>
      <w:r w:rsidR="00FE483B" w:rsidRPr="00F77C54">
        <w:rPr>
          <w:noProof/>
          <w:sz w:val="24"/>
          <w:szCs w:val="24"/>
        </w:rPr>
        <w:t xml:space="preserve"> Zm</w:t>
      </w:r>
      <w:r w:rsidR="004839D9" w:rsidRPr="00F77C54">
        <w:rPr>
          <w:noProof/>
          <w:sz w:val="24"/>
          <w:szCs w:val="24"/>
        </w:rPr>
        <w:t>luvy o fungovaní Európskej únie.</w:t>
      </w:r>
    </w:p>
    <w:p w:rsidR="00FE483B" w:rsidRPr="00F77C54" w:rsidRDefault="00FE483B" w:rsidP="00AC2222">
      <w:pPr>
        <w:pStyle w:val="Odsekzoznamu"/>
        <w:numPr>
          <w:ilvl w:val="0"/>
          <w:numId w:val="6"/>
        </w:numPr>
        <w:autoSpaceDE w:val="0"/>
        <w:autoSpaceDN w:val="0"/>
        <w:jc w:val="both"/>
        <w:rPr>
          <w:noProof/>
        </w:rPr>
      </w:pPr>
      <w:r w:rsidRPr="00F77C54">
        <w:rPr>
          <w:b/>
          <w:noProof/>
        </w:rPr>
        <w:t>Sekundárne právo</w:t>
      </w:r>
      <w:r w:rsidR="00A055C8" w:rsidRPr="00F77C54">
        <w:rPr>
          <w:noProof/>
        </w:rPr>
        <w:t>:</w:t>
      </w:r>
    </w:p>
    <w:p w:rsidR="00A055C8" w:rsidRPr="00F77C54" w:rsidRDefault="00A055C8" w:rsidP="00A055C8">
      <w:pPr>
        <w:autoSpaceDE w:val="0"/>
        <w:autoSpaceDN w:val="0"/>
        <w:ind w:left="454"/>
        <w:jc w:val="both"/>
        <w:rPr>
          <w:noProof/>
        </w:rPr>
      </w:pPr>
    </w:p>
    <w:p w:rsidR="00F92A4A" w:rsidRPr="00D31A40" w:rsidRDefault="00F92A4A" w:rsidP="00F92A4A">
      <w:pPr>
        <w:widowControl/>
        <w:numPr>
          <w:ilvl w:val="0"/>
          <w:numId w:val="1"/>
        </w:numPr>
        <w:adjustRightInd/>
        <w:spacing w:after="240"/>
        <w:ind w:left="658" w:hanging="357"/>
        <w:jc w:val="both"/>
      </w:pPr>
      <w:r w:rsidRPr="00D31A40">
        <w:t xml:space="preserve">nariadenie Komisie (ES) č. </w:t>
      </w:r>
      <w:r w:rsidRPr="00D31A40">
        <w:rPr>
          <w:u w:val="single"/>
        </w:rPr>
        <w:t>684/2009</w:t>
      </w:r>
      <w:r w:rsidRPr="00D31A40">
        <w:t xml:space="preserve"> z 24. júla 2009, ktorým sa implementuje smernica Rady 2008/118/ES, pokiaľ ide o elektronické postupy pri preprave tovaru podliehajúceho spotrebnej dani v režime pozastavenia dane (Ú. v. EÚ L 197, 29.7.2009) v platnom znení</w:t>
      </w:r>
      <w:r>
        <w:t xml:space="preserve">, </w:t>
      </w:r>
      <w:r w:rsidRPr="00F77C54">
        <w:rPr>
          <w:rStyle w:val="Zvraznenie"/>
          <w:i w:val="0"/>
          <w:noProof/>
        </w:rPr>
        <w:t xml:space="preserve">gestor: </w:t>
      </w:r>
      <w:r w:rsidRPr="00F77C54">
        <w:rPr>
          <w:noProof/>
        </w:rPr>
        <w:t>MF SR</w:t>
      </w:r>
      <w:r w:rsidRPr="00D31A40">
        <w:t>.</w:t>
      </w:r>
    </w:p>
    <w:p w:rsidR="006B1A62" w:rsidRPr="00D31A40" w:rsidRDefault="006B1A62" w:rsidP="006B1A62">
      <w:pPr>
        <w:widowControl/>
        <w:numPr>
          <w:ilvl w:val="0"/>
          <w:numId w:val="1"/>
        </w:numPr>
        <w:adjustRightInd/>
        <w:spacing w:after="120"/>
        <w:ind w:left="660"/>
        <w:jc w:val="both"/>
        <w:rPr>
          <w:rStyle w:val="Zvraznenie"/>
          <w:iCs w:val="0"/>
        </w:rPr>
      </w:pPr>
      <w:r>
        <w:t>nariadenie Rady (EÚ</w:t>
      </w:r>
      <w:r w:rsidRPr="00D31A40">
        <w:t xml:space="preserve">) č. </w:t>
      </w:r>
      <w:r w:rsidRPr="00D31A40">
        <w:rPr>
          <w:u w:val="single"/>
        </w:rPr>
        <w:t>389/2012</w:t>
      </w:r>
      <w:r w:rsidRPr="00D31A40">
        <w:t xml:space="preserve"> zo 2. mája 2012 o administratívnej spolupráci v oblasti spotrebných daní a zrušení nariadenia </w:t>
      </w:r>
      <w:r>
        <w:t xml:space="preserve">ES č. </w:t>
      </w:r>
      <w:r w:rsidRPr="00D31A40">
        <w:t>2073/2004 (</w:t>
      </w:r>
      <w:r w:rsidRPr="00D31A40">
        <w:rPr>
          <w:rStyle w:val="Zvraznenie"/>
          <w:i w:val="0"/>
        </w:rPr>
        <w:t>Ú. v. EÚ L 121, 8.5. 2012) v platnom znení</w:t>
      </w:r>
      <w:r>
        <w:rPr>
          <w:rStyle w:val="Zvraznenie"/>
          <w:i w:val="0"/>
        </w:rPr>
        <w:t xml:space="preserve">, </w:t>
      </w:r>
      <w:r w:rsidRPr="00F77C54">
        <w:rPr>
          <w:rStyle w:val="Zvraznenie"/>
          <w:i w:val="0"/>
          <w:noProof/>
        </w:rPr>
        <w:t xml:space="preserve">gestor: </w:t>
      </w:r>
      <w:r w:rsidRPr="00F77C54">
        <w:rPr>
          <w:noProof/>
        </w:rPr>
        <w:t>MF SR</w:t>
      </w:r>
      <w:r w:rsidRPr="00D31A40">
        <w:rPr>
          <w:rStyle w:val="Zvraznenie"/>
          <w:i w:val="0"/>
        </w:rPr>
        <w:t>,</w:t>
      </w:r>
    </w:p>
    <w:p w:rsidR="006B1A62" w:rsidRPr="00D31A40" w:rsidRDefault="006B1A62" w:rsidP="006B1A62">
      <w:pPr>
        <w:widowControl/>
        <w:numPr>
          <w:ilvl w:val="0"/>
          <w:numId w:val="1"/>
        </w:numPr>
        <w:adjustRightInd/>
        <w:spacing w:after="120"/>
        <w:ind w:left="658" w:hanging="357"/>
        <w:jc w:val="both"/>
        <w:rPr>
          <w:rStyle w:val="Zvraznenie"/>
          <w:iCs w:val="0"/>
        </w:rPr>
      </w:pPr>
      <w:r w:rsidRPr="00D31A40">
        <w:t xml:space="preserve">smernica Rady </w:t>
      </w:r>
      <w:r w:rsidRPr="00D31A40">
        <w:rPr>
          <w:u w:val="single"/>
        </w:rPr>
        <w:t>2006/79/ES</w:t>
      </w:r>
      <w:r w:rsidRPr="00D31A40">
        <w:t xml:space="preserve"> z  5. októbra 2006 o oslobodení od daní pri dovoze malých zásielok tovaru neobchodného charakteru z tretích krajín </w:t>
      </w:r>
      <w:r w:rsidRPr="006B1A62">
        <w:rPr>
          <w:rStyle w:val="Siln"/>
          <w:b w:val="0"/>
        </w:rPr>
        <w:t>(kodifikované znenie)</w:t>
      </w:r>
      <w:r w:rsidRPr="006B1A62">
        <w:rPr>
          <w:b/>
        </w:rPr>
        <w:t xml:space="preserve"> </w:t>
      </w:r>
      <w:r w:rsidRPr="00323BA4">
        <w:t>(</w:t>
      </w:r>
      <w:r w:rsidRPr="00323BA4">
        <w:rPr>
          <w:rStyle w:val="Zvraznenie"/>
          <w:i w:val="0"/>
        </w:rPr>
        <w:t>Ú. v.</w:t>
      </w:r>
      <w:r w:rsidRPr="00D31A40">
        <w:rPr>
          <w:rStyle w:val="Zvraznenie"/>
          <w:i w:val="0"/>
        </w:rPr>
        <w:t xml:space="preserve"> EÚ</w:t>
      </w:r>
      <w:r>
        <w:rPr>
          <w:rStyle w:val="Zvraznenie"/>
          <w:i w:val="0"/>
        </w:rPr>
        <w:t xml:space="preserve"> </w:t>
      </w:r>
      <w:r w:rsidRPr="00D31A40">
        <w:rPr>
          <w:rStyle w:val="Zvraznenie"/>
          <w:i w:val="0"/>
        </w:rPr>
        <w:t>L 286, 17.10.2006)</w:t>
      </w:r>
      <w:r>
        <w:rPr>
          <w:rStyle w:val="Zvraznenie"/>
          <w:i w:val="0"/>
        </w:rPr>
        <w:t xml:space="preserve">, </w:t>
      </w:r>
      <w:r w:rsidRPr="00F77C54">
        <w:rPr>
          <w:rStyle w:val="Zvraznenie"/>
          <w:i w:val="0"/>
          <w:noProof/>
        </w:rPr>
        <w:t xml:space="preserve">gestor: </w:t>
      </w:r>
      <w:r w:rsidRPr="00F77C54">
        <w:rPr>
          <w:noProof/>
        </w:rPr>
        <w:t>MF SR</w:t>
      </w:r>
      <w:r w:rsidRPr="00D31A40">
        <w:rPr>
          <w:rStyle w:val="Zvraznenie"/>
          <w:i w:val="0"/>
        </w:rPr>
        <w:t>,</w:t>
      </w:r>
    </w:p>
    <w:p w:rsidR="006B1A62" w:rsidRPr="00D31A40" w:rsidRDefault="006B1A62" w:rsidP="006B1A62">
      <w:pPr>
        <w:widowControl/>
        <w:numPr>
          <w:ilvl w:val="0"/>
          <w:numId w:val="1"/>
        </w:numPr>
        <w:adjustRightInd/>
        <w:spacing w:after="120"/>
        <w:ind w:left="658" w:hanging="357"/>
        <w:jc w:val="both"/>
        <w:rPr>
          <w:i/>
        </w:rPr>
      </w:pPr>
      <w:r w:rsidRPr="00D31A40">
        <w:t xml:space="preserve">smernica Rady </w:t>
      </w:r>
      <w:r w:rsidRPr="00D31A40">
        <w:rPr>
          <w:u w:val="single"/>
        </w:rPr>
        <w:t>2007/74/ES</w:t>
      </w:r>
      <w:r w:rsidRPr="00D31A40">
        <w:t xml:space="preserve"> z 20. decembra 2007 o oslobodení tovaru, ktorý dovážajú osoby cestujúce z tretích krajín, od dane z pridanej hodnoty a spotrebnej dane (Ú. v. EÚ L 346,</w:t>
      </w:r>
      <w:r>
        <w:t xml:space="preserve"> </w:t>
      </w:r>
      <w:r w:rsidRPr="00D31A40">
        <w:t>29. 12. 2007)</w:t>
      </w:r>
      <w:r>
        <w:t xml:space="preserve">, </w:t>
      </w:r>
      <w:r w:rsidRPr="00F77C54">
        <w:rPr>
          <w:rStyle w:val="Zvraznenie"/>
          <w:i w:val="0"/>
          <w:noProof/>
        </w:rPr>
        <w:t xml:space="preserve">gestor: </w:t>
      </w:r>
      <w:r w:rsidRPr="00F77C54">
        <w:rPr>
          <w:noProof/>
        </w:rPr>
        <w:t>MF SR</w:t>
      </w:r>
      <w:r w:rsidRPr="00D31A40">
        <w:t>,</w:t>
      </w:r>
    </w:p>
    <w:p w:rsidR="006B1A62" w:rsidRDefault="006B1A62" w:rsidP="006B1A62">
      <w:pPr>
        <w:widowControl/>
        <w:numPr>
          <w:ilvl w:val="0"/>
          <w:numId w:val="1"/>
        </w:numPr>
        <w:adjustRightInd/>
        <w:spacing w:before="120" w:after="120"/>
        <w:ind w:left="658" w:hanging="357"/>
        <w:jc w:val="both"/>
      </w:pPr>
      <w:r w:rsidRPr="00D31A40">
        <w:t xml:space="preserve">smernica Rady </w:t>
      </w:r>
      <w:r w:rsidRPr="00D31A40">
        <w:rPr>
          <w:u w:val="single"/>
        </w:rPr>
        <w:t>2008/118/ES</w:t>
      </w:r>
      <w:r w:rsidRPr="00D31A40">
        <w:t xml:space="preserve"> z 16. decembra 2008 o všeobecnom systéme spotrebných daní a o zrušení smernice 92/12/EHS  (Ú. v. EÚ L 9, 14.1. 2009) v platnom znení</w:t>
      </w:r>
      <w:r>
        <w:t xml:space="preserve"> </w:t>
      </w:r>
      <w:r w:rsidRPr="00F77C54">
        <w:rPr>
          <w:rStyle w:val="Zvraznenie"/>
          <w:i w:val="0"/>
          <w:noProof/>
        </w:rPr>
        <w:t xml:space="preserve">gestor: </w:t>
      </w:r>
      <w:r w:rsidRPr="00F77C54">
        <w:rPr>
          <w:noProof/>
        </w:rPr>
        <w:t>MF SR</w:t>
      </w:r>
      <w:r w:rsidRPr="00D31A40">
        <w:t>,</w:t>
      </w:r>
    </w:p>
    <w:p w:rsidR="00F92A4A" w:rsidRPr="00F92A4A" w:rsidRDefault="00F92A4A" w:rsidP="00F92A4A">
      <w:pPr>
        <w:widowControl/>
        <w:numPr>
          <w:ilvl w:val="0"/>
          <w:numId w:val="1"/>
        </w:numPr>
        <w:adjustRightInd/>
        <w:spacing w:after="120"/>
        <w:ind w:left="660"/>
        <w:jc w:val="both"/>
        <w:rPr>
          <w:rStyle w:val="Zvraznenie"/>
          <w:i w:val="0"/>
          <w:iCs w:val="0"/>
        </w:rPr>
      </w:pPr>
      <w:r w:rsidRPr="00D31A40">
        <w:t xml:space="preserve">smernica Rady </w:t>
      </w:r>
      <w:r w:rsidRPr="00D31A40">
        <w:rPr>
          <w:u w:val="single"/>
        </w:rPr>
        <w:t>2011/64/EÚ</w:t>
      </w:r>
      <w:r w:rsidRPr="00D31A40">
        <w:t xml:space="preserve"> </w:t>
      </w:r>
      <w:r w:rsidRPr="00F92A4A">
        <w:rPr>
          <w:rStyle w:val="Siln"/>
          <w:b w:val="0"/>
        </w:rPr>
        <w:t>z 21. júna 2011 o štruktúre a sadzbách spotrebnej dane z tabakových výrobkov (kodifikované znenie)</w:t>
      </w:r>
      <w:r w:rsidRPr="00D31A40">
        <w:t xml:space="preserve"> (</w:t>
      </w:r>
      <w:r w:rsidRPr="00D31A40">
        <w:rPr>
          <w:rStyle w:val="Zvraznenie"/>
          <w:i w:val="0"/>
        </w:rPr>
        <w:t>Ú. v. EÚ L 176, 5.7. 2011)</w:t>
      </w:r>
      <w:r w:rsidR="00323BA4" w:rsidRPr="00323BA4">
        <w:rPr>
          <w:rStyle w:val="Zvraznenie"/>
          <w:i w:val="0"/>
          <w:noProof/>
        </w:rPr>
        <w:t xml:space="preserve"> </w:t>
      </w:r>
      <w:r w:rsidR="00323BA4" w:rsidRPr="00F77C54">
        <w:rPr>
          <w:rStyle w:val="Zvraznenie"/>
          <w:i w:val="0"/>
          <w:noProof/>
        </w:rPr>
        <w:t xml:space="preserve">gestor: </w:t>
      </w:r>
      <w:r w:rsidR="00323BA4" w:rsidRPr="00F77C54">
        <w:rPr>
          <w:noProof/>
        </w:rPr>
        <w:t>MF SR</w:t>
      </w:r>
      <w:r w:rsidR="00323BA4">
        <w:rPr>
          <w:noProof/>
        </w:rPr>
        <w:t>,</w:t>
      </w:r>
    </w:p>
    <w:p w:rsidR="00D753D0" w:rsidRDefault="00F92A4A" w:rsidP="00D420DE">
      <w:pPr>
        <w:widowControl/>
        <w:numPr>
          <w:ilvl w:val="0"/>
          <w:numId w:val="1"/>
        </w:numPr>
        <w:adjustRightInd/>
        <w:spacing w:after="120"/>
        <w:ind w:left="660"/>
        <w:jc w:val="both"/>
      </w:pPr>
      <w:r w:rsidRPr="00323BA4">
        <w:t xml:space="preserve">smernice Rady (EÚ) </w:t>
      </w:r>
      <w:r w:rsidRPr="00323BA4">
        <w:rPr>
          <w:u w:val="single"/>
        </w:rPr>
        <w:t>2019/475</w:t>
      </w:r>
      <w:r w:rsidRPr="00323BA4">
        <w:t xml:space="preserve"> z 18. februára 2019, ktorou sa menia smernice 2006/112/ES a 2008/11</w:t>
      </w:r>
      <w:r w:rsidR="00F420A7">
        <w:t>8</w:t>
      </w:r>
      <w:r w:rsidRPr="00323BA4">
        <w:t xml:space="preserve">/ES, pokiaľ ide o začlenenie talianskej obce </w:t>
      </w:r>
      <w:proofErr w:type="spellStart"/>
      <w:r w:rsidRPr="00323BA4">
        <w:t>Campione</w:t>
      </w:r>
      <w:proofErr w:type="spellEnd"/>
      <w:r w:rsidRPr="00323BA4">
        <w:t xml:space="preserve"> </w:t>
      </w:r>
      <w:proofErr w:type="spellStart"/>
      <w:r w:rsidRPr="00323BA4">
        <w:t>d´Italia</w:t>
      </w:r>
      <w:proofErr w:type="spellEnd"/>
      <w:r w:rsidRPr="00323BA4">
        <w:t xml:space="preserve"> a talianskych vôd jazera </w:t>
      </w:r>
      <w:proofErr w:type="spellStart"/>
      <w:r w:rsidRPr="00323BA4">
        <w:t>Lugano</w:t>
      </w:r>
      <w:proofErr w:type="spellEnd"/>
      <w:r w:rsidRPr="00323BA4">
        <w:t xml:space="preserve"> do colného územia Únie a do územnej pôsobnosti smernice 2008/118/ES</w:t>
      </w:r>
      <w:r w:rsidR="00323BA4" w:rsidRPr="00323BA4">
        <w:t xml:space="preserve"> (</w:t>
      </w:r>
      <w:r w:rsidR="00323BA4" w:rsidRPr="00323BA4">
        <w:rPr>
          <w:iCs/>
        </w:rPr>
        <w:t>Ú. v. EÚ L 83, 25.3.2019), gestor smernice zatiaľ nebol určený</w:t>
      </w:r>
      <w:r w:rsidR="00B64B62" w:rsidRPr="00323BA4">
        <w:t>.</w:t>
      </w:r>
    </w:p>
    <w:p w:rsidR="005E1EA7" w:rsidRDefault="005E1EA7" w:rsidP="005E1EA7">
      <w:pPr>
        <w:widowControl/>
        <w:adjustRightInd/>
        <w:spacing w:after="120"/>
        <w:ind w:left="660"/>
        <w:jc w:val="both"/>
      </w:pPr>
    </w:p>
    <w:p w:rsidR="005E1EA7" w:rsidRPr="00323BA4" w:rsidRDefault="005E1EA7" w:rsidP="005E1EA7">
      <w:pPr>
        <w:widowControl/>
        <w:adjustRightInd/>
        <w:spacing w:after="120"/>
        <w:ind w:left="660"/>
        <w:jc w:val="both"/>
      </w:pPr>
    </w:p>
    <w:p w:rsidR="00FE483B" w:rsidRPr="00F77C54" w:rsidRDefault="00AC2222" w:rsidP="00FE483B">
      <w:pPr>
        <w:pStyle w:val="Zkladntext"/>
        <w:ind w:left="681" w:hanging="397"/>
        <w:rPr>
          <w:b/>
          <w:noProof/>
          <w:lang w:val="sk-SK"/>
        </w:rPr>
      </w:pPr>
      <w:r w:rsidRPr="00F77C54">
        <w:rPr>
          <w:b/>
          <w:noProof/>
          <w:lang w:val="sk-SK"/>
        </w:rPr>
        <w:lastRenderedPageBreak/>
        <w:t>c</w:t>
      </w:r>
      <w:r w:rsidR="00FE483B" w:rsidRPr="00F77C54">
        <w:rPr>
          <w:b/>
          <w:noProof/>
          <w:lang w:val="sk-SK"/>
        </w:rPr>
        <w:t>)</w:t>
      </w:r>
      <w:r w:rsidR="00FE483B" w:rsidRPr="00F77C54">
        <w:rPr>
          <w:b/>
          <w:noProof/>
          <w:lang w:val="sk-SK"/>
        </w:rPr>
        <w:tab/>
      </w:r>
      <w:r w:rsidRPr="00F77C54">
        <w:rPr>
          <w:b/>
          <w:noProof/>
          <w:lang w:val="sk-SK"/>
        </w:rPr>
        <w:t>J</w:t>
      </w:r>
      <w:r w:rsidR="00FE483B" w:rsidRPr="00F77C54">
        <w:rPr>
          <w:b/>
          <w:noProof/>
          <w:lang w:val="sk-SK"/>
        </w:rPr>
        <w:t>udikatú</w:t>
      </w:r>
      <w:r w:rsidRPr="00F77C54">
        <w:rPr>
          <w:b/>
          <w:noProof/>
          <w:lang w:val="sk-SK"/>
        </w:rPr>
        <w:t>ra</w:t>
      </w:r>
      <w:r w:rsidR="00E54EE2" w:rsidRPr="00F77C54">
        <w:rPr>
          <w:b/>
          <w:noProof/>
          <w:lang w:val="sk-SK"/>
        </w:rPr>
        <w:t xml:space="preserve"> Súdneho dvora Európskej únie</w:t>
      </w:r>
      <w:r w:rsidR="00FE483B" w:rsidRPr="00F77C54">
        <w:rPr>
          <w:b/>
          <w:noProof/>
          <w:lang w:val="sk-SK"/>
        </w:rPr>
        <w:t>:</w:t>
      </w:r>
    </w:p>
    <w:p w:rsidR="006B1A62" w:rsidRPr="004B2A87" w:rsidRDefault="006B1A62" w:rsidP="002B58C3">
      <w:pPr>
        <w:pStyle w:val="Zkladntext"/>
        <w:numPr>
          <w:ilvl w:val="0"/>
          <w:numId w:val="1"/>
        </w:numPr>
        <w:autoSpaceDE w:val="0"/>
        <w:autoSpaceDN w:val="0"/>
        <w:spacing w:after="240"/>
        <w:ind w:left="660"/>
        <w:jc w:val="both"/>
        <w:rPr>
          <w:lang w:val="sk-SK"/>
        </w:rPr>
      </w:pPr>
      <w:r w:rsidRPr="006B1A62">
        <w:rPr>
          <w:bCs/>
          <w:lang w:val="sk-SK"/>
        </w:rPr>
        <w:t xml:space="preserve">rozhodnutie Súdneho dvora (druhá komora) vo veci C - 140/05, </w:t>
      </w:r>
      <w:proofErr w:type="spellStart"/>
      <w:r w:rsidRPr="006B1A62">
        <w:rPr>
          <w:bCs/>
          <w:lang w:val="sk-SK"/>
        </w:rPr>
        <w:t>Amalia</w:t>
      </w:r>
      <w:proofErr w:type="spellEnd"/>
      <w:r w:rsidRPr="006B1A62">
        <w:rPr>
          <w:bCs/>
          <w:lang w:val="sk-SK"/>
        </w:rPr>
        <w:t xml:space="preserve"> </w:t>
      </w:r>
      <w:proofErr w:type="spellStart"/>
      <w:r w:rsidRPr="006B1A62">
        <w:rPr>
          <w:bCs/>
          <w:lang w:val="sk-SK"/>
        </w:rPr>
        <w:t>Valeško</w:t>
      </w:r>
      <w:proofErr w:type="spellEnd"/>
      <w:r w:rsidRPr="006B1A62">
        <w:rPr>
          <w:bCs/>
          <w:lang w:val="sk-SK"/>
        </w:rPr>
        <w:t xml:space="preserve"> p</w:t>
      </w:r>
      <w:r w:rsidR="004B2A87">
        <w:rPr>
          <w:bCs/>
          <w:lang w:val="sk-SK"/>
        </w:rPr>
        <w:t xml:space="preserve">roti </w:t>
      </w:r>
      <w:proofErr w:type="spellStart"/>
      <w:r w:rsidR="004B2A87">
        <w:rPr>
          <w:bCs/>
          <w:lang w:val="sk-SK"/>
        </w:rPr>
        <w:t>Zollamt</w:t>
      </w:r>
      <w:proofErr w:type="spellEnd"/>
      <w:r w:rsidR="004B2A87">
        <w:rPr>
          <w:bCs/>
          <w:lang w:val="sk-SK"/>
        </w:rPr>
        <w:t xml:space="preserve"> </w:t>
      </w:r>
      <w:proofErr w:type="spellStart"/>
      <w:r w:rsidR="004B2A87">
        <w:rPr>
          <w:bCs/>
          <w:lang w:val="sk-SK"/>
        </w:rPr>
        <w:t>Klagenfurt</w:t>
      </w:r>
      <w:proofErr w:type="spellEnd"/>
      <w:r w:rsidR="004B2A87">
        <w:rPr>
          <w:bCs/>
          <w:lang w:val="sk-SK"/>
        </w:rPr>
        <w:t>, [2006].</w:t>
      </w:r>
    </w:p>
    <w:p w:rsidR="004B2A87" w:rsidRPr="002B58C3" w:rsidRDefault="004B2A87" w:rsidP="005B1D6C">
      <w:pPr>
        <w:pStyle w:val="Zkladntext"/>
        <w:autoSpaceDE w:val="0"/>
        <w:autoSpaceDN w:val="0"/>
        <w:ind w:left="644"/>
        <w:jc w:val="both"/>
        <w:rPr>
          <w:b/>
          <w:lang w:val="sk-SK"/>
        </w:rPr>
      </w:pPr>
      <w:r w:rsidRPr="002B58C3">
        <w:rPr>
          <w:b/>
          <w:lang w:val="sk-SK"/>
        </w:rPr>
        <w:t>Výrok rozhodnutia:</w:t>
      </w:r>
    </w:p>
    <w:p w:rsidR="002B58C3" w:rsidRPr="002B58C3" w:rsidRDefault="002B58C3" w:rsidP="005B1D6C">
      <w:pPr>
        <w:widowControl/>
        <w:adjustRightInd/>
        <w:spacing w:after="240"/>
        <w:ind w:left="709"/>
        <w:jc w:val="both"/>
        <w:rPr>
          <w:bCs/>
        </w:rPr>
      </w:pPr>
      <w:r w:rsidRPr="002B58C3">
        <w:rPr>
          <w:bCs/>
        </w:rPr>
        <w:t>1. Bod 6 ods. 2 prílohy XIII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sa má vykladať tak, že mu neodporuje to, aby Rakúska republika prechodne zachovala svoju právnu úpravu týkajúcu sa oslobodenia od spotrebnej dane obmedzeného na 25 kusov pre cigarety pochádzajúce zo Slovinska, dovezené na územie Rakúskej republiky v osobnej batožine cestujúcich, ktorí majú bydlisko v Rakúskej republike a vstupujú priamo na jej územie cez pozemnú hranicu alebo vnútrozemské vody tohto členského štátu.</w:t>
      </w:r>
    </w:p>
    <w:p w:rsidR="002B58C3" w:rsidRPr="002B58C3" w:rsidRDefault="002B58C3" w:rsidP="002B58C3">
      <w:pPr>
        <w:widowControl/>
        <w:adjustRightInd/>
        <w:spacing w:before="100" w:beforeAutospacing="1" w:after="240"/>
        <w:ind w:left="709"/>
        <w:jc w:val="both"/>
        <w:rPr>
          <w:bCs/>
        </w:rPr>
      </w:pPr>
      <w:r w:rsidRPr="002B58C3">
        <w:rPr>
          <w:bCs/>
        </w:rPr>
        <w:t xml:space="preserve">2.  Články 23 ES, 25 ES a 26 ES sa majú vykladať tak, že im neodporuje vnútroštátna právna úprava, akou je právna úprava sporná v konaní vo veci samej, podľa ktorej je oslobodenie od spotrebnej dane obmedzené na 25 kusov pre cigarety dovážané v osobnej batožine cestujúcich pri vstupe na územie Rakúskej republiky z niektorých iných členských štátov, najmä Slovinskej republiky, bez ohľadu na skutočnosť, že v dôsledku posledného rozšírenia Únie sa už toto obmedzené oslobodenie od spotrebnej dane neuplatňuje na žiadny tretí štát s jedinou výnimkou švajčiarskeho slobodného colného pásma </w:t>
      </w:r>
      <w:proofErr w:type="spellStart"/>
      <w:r w:rsidRPr="002B58C3">
        <w:rPr>
          <w:bCs/>
        </w:rPr>
        <w:t>Samnauntal</w:t>
      </w:r>
      <w:proofErr w:type="spellEnd"/>
      <w:r w:rsidRPr="002B58C3">
        <w:rPr>
          <w:bCs/>
        </w:rPr>
        <w:t xml:space="preserve"> a že pri dovozoch cigariet pochádzajúcich z tretích krajín sa vo všeobecnosti oslobodenie od spotrebnej dane vzťahuje na 200 kusov.</w:t>
      </w:r>
    </w:p>
    <w:p w:rsidR="002608AE" w:rsidRPr="005B1D6C" w:rsidRDefault="006B1A62" w:rsidP="005B1D6C">
      <w:pPr>
        <w:pStyle w:val="Zkladntext"/>
        <w:numPr>
          <w:ilvl w:val="0"/>
          <w:numId w:val="1"/>
        </w:numPr>
        <w:autoSpaceDE w:val="0"/>
        <w:autoSpaceDN w:val="0"/>
        <w:spacing w:after="0"/>
        <w:ind w:left="660"/>
        <w:jc w:val="both"/>
        <w:rPr>
          <w:rStyle w:val="Zvraznenie"/>
          <w:i w:val="0"/>
          <w:iCs w:val="0"/>
          <w:lang w:val="sk-SK"/>
        </w:rPr>
      </w:pPr>
      <w:r w:rsidRPr="006B1A62">
        <w:rPr>
          <w:bCs/>
          <w:lang w:val="sk-SK"/>
        </w:rPr>
        <w:t>rozhodnutie Súdneho dvora (prvá komora) vo veci C - 197/04, EK proti Spolkovej republike Nemecko, [</w:t>
      </w:r>
      <w:r w:rsidRPr="006B1A62">
        <w:rPr>
          <w:rStyle w:val="Zvraznenie"/>
          <w:i w:val="0"/>
          <w:lang w:val="sk-SK"/>
        </w:rPr>
        <w:t>2005].</w:t>
      </w:r>
    </w:p>
    <w:p w:rsidR="005B1D6C" w:rsidRPr="004B2A87" w:rsidRDefault="005B1D6C" w:rsidP="005B1D6C">
      <w:pPr>
        <w:pStyle w:val="Zkladntext"/>
        <w:autoSpaceDE w:val="0"/>
        <w:autoSpaceDN w:val="0"/>
        <w:spacing w:after="0"/>
        <w:ind w:left="660"/>
        <w:jc w:val="both"/>
        <w:rPr>
          <w:rStyle w:val="Zvraznenie"/>
          <w:i w:val="0"/>
          <w:iCs w:val="0"/>
          <w:lang w:val="sk-SK"/>
        </w:rPr>
      </w:pPr>
    </w:p>
    <w:p w:rsidR="004B2A87" w:rsidRPr="002B58C3" w:rsidRDefault="004B2A87" w:rsidP="005B1D6C">
      <w:pPr>
        <w:pStyle w:val="Zkladntext"/>
        <w:autoSpaceDE w:val="0"/>
        <w:autoSpaceDN w:val="0"/>
        <w:ind w:left="644"/>
        <w:jc w:val="both"/>
        <w:rPr>
          <w:b/>
          <w:lang w:val="sk-SK"/>
        </w:rPr>
      </w:pPr>
      <w:r w:rsidRPr="002B58C3">
        <w:rPr>
          <w:b/>
          <w:lang w:val="sk-SK"/>
        </w:rPr>
        <w:t>Výrok rozhodnutia:</w:t>
      </w:r>
    </w:p>
    <w:p w:rsidR="002B58C3" w:rsidRPr="002B58C3" w:rsidRDefault="002B58C3" w:rsidP="005B1D6C">
      <w:pPr>
        <w:widowControl/>
        <w:adjustRightInd/>
        <w:spacing w:after="240"/>
        <w:ind w:left="709"/>
        <w:jc w:val="both"/>
        <w:rPr>
          <w:bCs/>
        </w:rPr>
      </w:pPr>
      <w:r>
        <w:rPr>
          <w:bCs/>
        </w:rPr>
        <w:t>1. </w:t>
      </w:r>
      <w:r w:rsidRPr="002B58C3">
        <w:rPr>
          <w:bCs/>
        </w:rPr>
        <w:t xml:space="preserve">Spolková republika Nemecko si tým, že na tabakové rolky predávané pod názvom „West Single </w:t>
      </w:r>
      <w:proofErr w:type="spellStart"/>
      <w:r w:rsidRPr="002B58C3">
        <w:rPr>
          <w:bCs/>
        </w:rPr>
        <w:t>Packs</w:t>
      </w:r>
      <w:proofErr w:type="spellEnd"/>
      <w:r w:rsidRPr="002B58C3">
        <w:rPr>
          <w:bCs/>
        </w:rPr>
        <w:t>“ uplatnila daňovú sadzbu platnú pre jemne rezaný tabak určený na vlastnoručne šúľané cigarety, nesplnila povinnosti, ktoré jej vyplývajú z článku 4 ods. 1 písm. b) smernice Rady 95/59/ES z 27. novembra 1995 o iných daniach, ktoré ovplyvňujú spotrebu vyrobeného tabaku, ako je daň z obratu, a článku 2 prvého odseku smernice Rady 92/79/EHS z 19. októbra 1992 o aproximácii daní z cigariet.</w:t>
      </w:r>
    </w:p>
    <w:p w:rsidR="002B58C3" w:rsidRPr="002B58C3" w:rsidRDefault="002B58C3" w:rsidP="002B58C3">
      <w:pPr>
        <w:widowControl/>
        <w:adjustRightInd/>
        <w:spacing w:before="100" w:beforeAutospacing="1" w:after="240"/>
        <w:ind w:left="709"/>
        <w:jc w:val="both"/>
        <w:rPr>
          <w:bCs/>
        </w:rPr>
      </w:pPr>
      <w:r w:rsidRPr="002B58C3">
        <w:rPr>
          <w:bCs/>
        </w:rPr>
        <w:t>2. Spolková republika Nemecko je povinná nahradiť trovy konania.</w:t>
      </w:r>
    </w:p>
    <w:p w:rsidR="00FE483B" w:rsidRPr="00F77C54" w:rsidRDefault="00FE483B" w:rsidP="0022297E">
      <w:pPr>
        <w:pStyle w:val="Zkladntext0"/>
        <w:tabs>
          <w:tab w:val="left" w:pos="284"/>
        </w:tabs>
        <w:spacing w:before="120" w:after="120"/>
        <w:ind w:left="3"/>
        <w:jc w:val="both"/>
        <w:rPr>
          <w:b/>
          <w:bCs/>
          <w:noProof/>
          <w:sz w:val="24"/>
          <w:szCs w:val="24"/>
        </w:rPr>
      </w:pPr>
      <w:r w:rsidRPr="00F77C54">
        <w:rPr>
          <w:b/>
          <w:bCs/>
          <w:noProof/>
          <w:sz w:val="24"/>
          <w:szCs w:val="24"/>
        </w:rPr>
        <w:t>4.</w:t>
      </w:r>
      <w:r w:rsidRPr="00F77C54">
        <w:rPr>
          <w:b/>
          <w:bCs/>
          <w:noProof/>
          <w:sz w:val="24"/>
          <w:szCs w:val="24"/>
        </w:rPr>
        <w:tab/>
        <w:t>Záväzky Slovenskej republiky vo vzťahu Európskej únii:</w:t>
      </w:r>
    </w:p>
    <w:p w:rsidR="006B1A62" w:rsidRPr="006B1A62" w:rsidRDefault="006B1A62" w:rsidP="006B1A62">
      <w:pPr>
        <w:pStyle w:val="Zkladntext"/>
        <w:numPr>
          <w:ilvl w:val="1"/>
          <w:numId w:val="5"/>
        </w:numPr>
        <w:tabs>
          <w:tab w:val="clear" w:pos="1440"/>
          <w:tab w:val="num" w:pos="851"/>
        </w:tabs>
        <w:ind w:left="851" w:hanging="567"/>
        <w:jc w:val="both"/>
        <w:rPr>
          <w:bCs/>
          <w:lang w:val="sk-SK"/>
        </w:rPr>
      </w:pPr>
      <w:r w:rsidRPr="006B1A62">
        <w:rPr>
          <w:bCs/>
          <w:lang w:val="sk-SK"/>
        </w:rPr>
        <w:t xml:space="preserve">Lehota </w:t>
      </w:r>
      <w:r w:rsidRPr="006B1A62">
        <w:rPr>
          <w:lang w:val="sk-SK"/>
        </w:rPr>
        <w:t>na prebratie smernice</w:t>
      </w:r>
      <w:r w:rsidR="00323BA4">
        <w:rPr>
          <w:lang w:val="sk-SK"/>
        </w:rPr>
        <w:t xml:space="preserve"> </w:t>
      </w:r>
      <w:r w:rsidR="00323BA4" w:rsidRPr="002B58C3">
        <w:t>2019/475</w:t>
      </w:r>
      <w:r w:rsidR="00323BA4" w:rsidRPr="00323BA4">
        <w:t xml:space="preserve"> </w:t>
      </w:r>
      <w:r w:rsidR="00323BA4">
        <w:t>bola stanovená do 31.12. 2019</w:t>
      </w:r>
      <w:r w:rsidRPr="006B1A62">
        <w:rPr>
          <w:bCs/>
          <w:lang w:val="sk-SK"/>
        </w:rPr>
        <w:t>.</w:t>
      </w:r>
    </w:p>
    <w:p w:rsidR="006B1A62" w:rsidRPr="004B2A87" w:rsidRDefault="006B1A62" w:rsidP="004B2A87">
      <w:pPr>
        <w:pStyle w:val="Zkladntext"/>
        <w:numPr>
          <w:ilvl w:val="1"/>
          <w:numId w:val="5"/>
        </w:numPr>
        <w:tabs>
          <w:tab w:val="clear" w:pos="1440"/>
          <w:tab w:val="num" w:pos="851"/>
        </w:tabs>
        <w:ind w:left="851" w:hanging="567"/>
        <w:jc w:val="both"/>
        <w:rPr>
          <w:bCs/>
          <w:lang w:val="sk-SK"/>
        </w:rPr>
      </w:pPr>
      <w:r w:rsidRPr="004B2A87">
        <w:rPr>
          <w:lang w:val="sk-SK"/>
        </w:rPr>
        <w:t xml:space="preserve">Proti SR </w:t>
      </w:r>
      <w:r w:rsidR="004B2A87" w:rsidRPr="004B2A87">
        <w:rPr>
          <w:noProof/>
        </w:rPr>
        <w:t xml:space="preserve">nebolo začaté konanie v rámci „EÚ Pilot“, ani nebol začatý postup EK ako aj </w:t>
      </w:r>
      <w:r w:rsidRPr="004B2A87">
        <w:rPr>
          <w:lang w:val="sk-SK"/>
        </w:rPr>
        <w:t>nebolo začaté konanie o porušení Zmluvy o fungovaní Európskej únie podľa čl. 258 až 260.</w:t>
      </w:r>
    </w:p>
    <w:p w:rsidR="004B2A87" w:rsidRPr="004B2A87" w:rsidRDefault="002B58C3" w:rsidP="005B1D6C">
      <w:pPr>
        <w:pStyle w:val="Zkladntext"/>
        <w:numPr>
          <w:ilvl w:val="1"/>
          <w:numId w:val="5"/>
        </w:numPr>
        <w:tabs>
          <w:tab w:val="clear" w:pos="1440"/>
          <w:tab w:val="num" w:pos="851"/>
        </w:tabs>
        <w:spacing w:after="240"/>
        <w:ind w:left="851" w:hanging="567"/>
        <w:jc w:val="both"/>
        <w:rPr>
          <w:bCs/>
          <w:lang w:val="sk-SK"/>
        </w:rPr>
      </w:pPr>
      <w:r>
        <w:rPr>
          <w:bCs/>
          <w:lang w:val="sk-SK"/>
        </w:rPr>
        <w:t>Bezpredmetné.</w:t>
      </w:r>
    </w:p>
    <w:p w:rsidR="00FE483B" w:rsidRPr="00F77C54" w:rsidRDefault="00FE483B" w:rsidP="00FE483B">
      <w:pPr>
        <w:pStyle w:val="Zkladntext0"/>
        <w:tabs>
          <w:tab w:val="left" w:pos="284"/>
        </w:tabs>
        <w:spacing w:before="120"/>
        <w:ind w:firstLine="11"/>
        <w:jc w:val="both"/>
        <w:rPr>
          <w:b/>
          <w:noProof/>
          <w:sz w:val="24"/>
          <w:szCs w:val="24"/>
        </w:rPr>
      </w:pPr>
      <w:r w:rsidRPr="00F77C54">
        <w:rPr>
          <w:b/>
          <w:noProof/>
          <w:sz w:val="24"/>
          <w:szCs w:val="24"/>
        </w:rPr>
        <w:t>5.</w:t>
      </w:r>
      <w:r w:rsidRPr="00F77C54">
        <w:rPr>
          <w:b/>
          <w:noProof/>
          <w:sz w:val="24"/>
          <w:szCs w:val="24"/>
        </w:rPr>
        <w:tab/>
      </w:r>
      <w:r w:rsidR="00BB2AEC" w:rsidRPr="00F77C54">
        <w:rPr>
          <w:b/>
          <w:noProof/>
          <w:sz w:val="24"/>
          <w:szCs w:val="24"/>
        </w:rPr>
        <w:t xml:space="preserve">Návrh zákona je zlučiteľný </w:t>
      </w:r>
      <w:r w:rsidRPr="00F77C54">
        <w:rPr>
          <w:b/>
          <w:noProof/>
          <w:sz w:val="24"/>
          <w:szCs w:val="24"/>
        </w:rPr>
        <w:t>s právom Európskej únie:</w:t>
      </w:r>
    </w:p>
    <w:p w:rsidR="00B01218" w:rsidRPr="00F77C54" w:rsidRDefault="00FE483B" w:rsidP="007B034B">
      <w:pPr>
        <w:pStyle w:val="Zkladntext0"/>
        <w:spacing w:before="120"/>
        <w:ind w:left="284"/>
        <w:jc w:val="both"/>
        <w:rPr>
          <w:noProof/>
        </w:rPr>
      </w:pPr>
      <w:r w:rsidRPr="00F77C54">
        <w:rPr>
          <w:noProof/>
          <w:sz w:val="24"/>
          <w:szCs w:val="24"/>
        </w:rPr>
        <w:t>Úpln</w:t>
      </w:r>
      <w:r w:rsidR="00BB2AEC" w:rsidRPr="00F77C54">
        <w:rPr>
          <w:noProof/>
          <w:sz w:val="24"/>
          <w:szCs w:val="24"/>
        </w:rPr>
        <w:t>e</w:t>
      </w:r>
      <w:r w:rsidRPr="00F77C54">
        <w:rPr>
          <w:noProof/>
          <w:sz w:val="24"/>
          <w:szCs w:val="24"/>
        </w:rPr>
        <w:t>.</w:t>
      </w:r>
      <w:bookmarkStart w:id="0" w:name="_GoBack"/>
      <w:bookmarkEnd w:id="0"/>
    </w:p>
    <w:sectPr w:rsidR="00B01218" w:rsidRPr="00F77C54" w:rsidSect="00B012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9B4" w:rsidRDefault="00F069B4" w:rsidP="00886039">
      <w:r>
        <w:separator/>
      </w:r>
    </w:p>
  </w:endnote>
  <w:endnote w:type="continuationSeparator" w:id="0">
    <w:p w:rsidR="00F069B4" w:rsidRDefault="00F069B4" w:rsidP="008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29765"/>
      <w:docPartObj>
        <w:docPartGallery w:val="Page Numbers (Bottom of Page)"/>
        <w:docPartUnique/>
      </w:docPartObj>
    </w:sdtPr>
    <w:sdtEndPr/>
    <w:sdtContent>
      <w:p w:rsidR="00886039" w:rsidRDefault="00886039">
        <w:pPr>
          <w:pStyle w:val="Pta"/>
          <w:jc w:val="center"/>
        </w:pPr>
        <w:r>
          <w:fldChar w:fldCharType="begin"/>
        </w:r>
        <w:r>
          <w:instrText>PAGE   \* MERGEFORMAT</w:instrText>
        </w:r>
        <w:r>
          <w:fldChar w:fldCharType="separate"/>
        </w:r>
        <w:r w:rsidR="007B034B">
          <w:rPr>
            <w:noProof/>
          </w:rPr>
          <w:t>1</w:t>
        </w:r>
        <w:r>
          <w:fldChar w:fldCharType="end"/>
        </w:r>
      </w:p>
    </w:sdtContent>
  </w:sdt>
  <w:p w:rsidR="00886039" w:rsidRDefault="008860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9B4" w:rsidRDefault="00F069B4" w:rsidP="00886039">
      <w:r>
        <w:separator/>
      </w:r>
    </w:p>
  </w:footnote>
  <w:footnote w:type="continuationSeparator" w:id="0">
    <w:p w:rsidR="00F069B4" w:rsidRDefault="00F069B4" w:rsidP="0088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cs="Times New Roman" w:hint="default"/>
      </w:rPr>
    </w:lvl>
    <w:lvl w:ilvl="1" w:tplc="041B0019">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abstractNum w:abstractNumId="1" w15:restartNumberingAfterBreak="0">
    <w:nsid w:val="0CF261C3"/>
    <w:multiLevelType w:val="hybridMultilevel"/>
    <w:tmpl w:val="C4488A20"/>
    <w:lvl w:ilvl="0" w:tplc="041B0017">
      <w:start w:val="1"/>
      <w:numFmt w:val="lowerLetter"/>
      <w:lvlText w:val="%1)"/>
      <w:lvlJc w:val="left"/>
      <w:pPr>
        <w:tabs>
          <w:tab w:val="num" w:pos="357"/>
        </w:tabs>
        <w:ind w:left="2277" w:hanging="360"/>
      </w:pPr>
      <w:rPr>
        <w:rFonts w:cs="Times New Roman" w:hint="default"/>
      </w:rPr>
    </w:lvl>
    <w:lvl w:ilvl="1" w:tplc="041B0017">
      <w:start w:val="1"/>
      <w:numFmt w:val="lowerLetter"/>
      <w:lvlText w:val="%2)"/>
      <w:lvlJc w:val="left"/>
      <w:pPr>
        <w:tabs>
          <w:tab w:val="num" w:pos="1294"/>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D0B44FF"/>
    <w:multiLevelType w:val="hybridMultilevel"/>
    <w:tmpl w:val="8C3E8A70"/>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2835AA"/>
    <w:multiLevelType w:val="hybridMultilevel"/>
    <w:tmpl w:val="83C6E62A"/>
    <w:lvl w:ilvl="0" w:tplc="EC622E82">
      <w:start w:val="1"/>
      <w:numFmt w:val="decimal"/>
      <w:lvlText w:val="%1."/>
      <w:lvlJc w:val="left"/>
      <w:pPr>
        <w:ind w:left="644" w:hanging="360"/>
      </w:pPr>
      <w:rPr>
        <w:rFonts w:cs="Arial Narro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6"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hint="default"/>
      </w:rPr>
    </w:lvl>
  </w:abstractNum>
  <w:abstractNum w:abstractNumId="7" w15:restartNumberingAfterBreak="0">
    <w:nsid w:val="74011C4B"/>
    <w:multiLevelType w:val="hybridMultilevel"/>
    <w:tmpl w:val="3F1EC88E"/>
    <w:lvl w:ilvl="0" w:tplc="71D8E1E8">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7F1E6760"/>
    <w:multiLevelType w:val="hybridMultilevel"/>
    <w:tmpl w:val="CD34C702"/>
    <w:lvl w:ilvl="0" w:tplc="0F162244">
      <w:start w:val="1"/>
      <w:numFmt w:val="lowerLetter"/>
      <w:lvlText w:val="%1)"/>
      <w:lvlJc w:val="left"/>
      <w:pPr>
        <w:tabs>
          <w:tab w:val="num" w:pos="644"/>
        </w:tabs>
        <w:ind w:left="644" w:hanging="360"/>
      </w:pPr>
      <w:rPr>
        <w:rFonts w:cs="Times New Roman" w:hint="default"/>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6"/>
  </w:num>
  <w:num w:numId="3">
    <w:abstractNumId w:val="8"/>
  </w:num>
  <w:num w:numId="4">
    <w:abstractNumId w:val="1"/>
  </w:num>
  <w:num w:numId="5">
    <w:abstractNumId w:val="3"/>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3B"/>
    <w:rsid w:val="00001A07"/>
    <w:rsid w:val="00070885"/>
    <w:rsid w:val="000E2DB0"/>
    <w:rsid w:val="00115B6B"/>
    <w:rsid w:val="0022297E"/>
    <w:rsid w:val="00232480"/>
    <w:rsid w:val="002553B5"/>
    <w:rsid w:val="002608AE"/>
    <w:rsid w:val="002650ED"/>
    <w:rsid w:val="00285631"/>
    <w:rsid w:val="002B58C3"/>
    <w:rsid w:val="00302A8C"/>
    <w:rsid w:val="0032323C"/>
    <w:rsid w:val="00323BA4"/>
    <w:rsid w:val="00332139"/>
    <w:rsid w:val="003B3E17"/>
    <w:rsid w:val="003D366C"/>
    <w:rsid w:val="003F78B4"/>
    <w:rsid w:val="0040070D"/>
    <w:rsid w:val="00402318"/>
    <w:rsid w:val="00414936"/>
    <w:rsid w:val="004570D9"/>
    <w:rsid w:val="004839D9"/>
    <w:rsid w:val="004B2A87"/>
    <w:rsid w:val="004C0574"/>
    <w:rsid w:val="00562771"/>
    <w:rsid w:val="005A5A28"/>
    <w:rsid w:val="005B1D6C"/>
    <w:rsid w:val="005B416D"/>
    <w:rsid w:val="005C73F4"/>
    <w:rsid w:val="005E1EA7"/>
    <w:rsid w:val="006003AA"/>
    <w:rsid w:val="00606B29"/>
    <w:rsid w:val="00637235"/>
    <w:rsid w:val="00684421"/>
    <w:rsid w:val="00684669"/>
    <w:rsid w:val="006B1A62"/>
    <w:rsid w:val="006C6DC8"/>
    <w:rsid w:val="006F7BA1"/>
    <w:rsid w:val="0071559E"/>
    <w:rsid w:val="007440EC"/>
    <w:rsid w:val="007B034B"/>
    <w:rsid w:val="00886039"/>
    <w:rsid w:val="00897796"/>
    <w:rsid w:val="0090502D"/>
    <w:rsid w:val="00920E2F"/>
    <w:rsid w:val="009737B7"/>
    <w:rsid w:val="009C5467"/>
    <w:rsid w:val="009E3766"/>
    <w:rsid w:val="00A055C8"/>
    <w:rsid w:val="00A06EDF"/>
    <w:rsid w:val="00A173F4"/>
    <w:rsid w:val="00AB6B7D"/>
    <w:rsid w:val="00AC2222"/>
    <w:rsid w:val="00B01218"/>
    <w:rsid w:val="00B3372B"/>
    <w:rsid w:val="00B5369F"/>
    <w:rsid w:val="00B64B62"/>
    <w:rsid w:val="00B811E5"/>
    <w:rsid w:val="00BB2AEC"/>
    <w:rsid w:val="00C003B1"/>
    <w:rsid w:val="00C129EF"/>
    <w:rsid w:val="00C54F6B"/>
    <w:rsid w:val="00C85E21"/>
    <w:rsid w:val="00CD2DCC"/>
    <w:rsid w:val="00D27249"/>
    <w:rsid w:val="00D424BD"/>
    <w:rsid w:val="00D753D0"/>
    <w:rsid w:val="00E46233"/>
    <w:rsid w:val="00E47E18"/>
    <w:rsid w:val="00E54EE2"/>
    <w:rsid w:val="00E63E09"/>
    <w:rsid w:val="00E82BD2"/>
    <w:rsid w:val="00E84E73"/>
    <w:rsid w:val="00EB5BF1"/>
    <w:rsid w:val="00EC093A"/>
    <w:rsid w:val="00F069B4"/>
    <w:rsid w:val="00F420A7"/>
    <w:rsid w:val="00F77C54"/>
    <w:rsid w:val="00F92A4A"/>
    <w:rsid w:val="00FD0C44"/>
    <w:rsid w:val="00FD0F1D"/>
    <w:rsid w:val="00FE483B"/>
    <w:rsid w:val="00FE7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342572-719E-45E0-8B0C-8BBE9EB4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483B"/>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FE483B"/>
    <w:pPr>
      <w:widowControl/>
      <w:adjustRightInd/>
      <w:spacing w:after="120"/>
    </w:pPr>
    <w:rPr>
      <w:lang w:val="cs-CZ" w:eastAsia="cs-CZ"/>
    </w:rPr>
  </w:style>
  <w:style w:type="character" w:customStyle="1" w:styleId="ZkladntextChar">
    <w:name w:val="Základný text Char"/>
    <w:basedOn w:val="Predvolenpsmoodseku"/>
    <w:link w:val="Zkladntext"/>
    <w:locked/>
    <w:rsid w:val="00FE483B"/>
    <w:rPr>
      <w:rFonts w:ascii="Times New Roman" w:hAnsi="Times New Roman" w:cs="Times New Roman"/>
      <w:sz w:val="24"/>
      <w:szCs w:val="24"/>
      <w:lang w:val="cs-CZ" w:eastAsia="cs-CZ"/>
    </w:rPr>
  </w:style>
  <w:style w:type="paragraph" w:customStyle="1" w:styleId="Zkladntext0">
    <w:name w:val="Zkladn text"/>
    <w:rsid w:val="00FE483B"/>
    <w:pPr>
      <w:widowControl w:val="0"/>
      <w:autoSpaceDE w:val="0"/>
      <w:autoSpaceDN w:val="0"/>
      <w:spacing w:after="0" w:line="240" w:lineRule="auto"/>
    </w:pPr>
    <w:rPr>
      <w:rFonts w:ascii="Times New Roman" w:hAnsi="Times New Roman" w:cs="Times New Roman"/>
      <w:color w:val="000000"/>
      <w:sz w:val="20"/>
      <w:szCs w:val="20"/>
      <w:lang w:eastAsia="sk-SK"/>
    </w:rPr>
  </w:style>
  <w:style w:type="paragraph" w:customStyle="1" w:styleId="dka">
    <w:name w:val="dka"/>
    <w:rsid w:val="00FE483B"/>
    <w:pPr>
      <w:widowControl w:val="0"/>
      <w:autoSpaceDE w:val="0"/>
      <w:autoSpaceDN w:val="0"/>
      <w:spacing w:after="0" w:line="240" w:lineRule="auto"/>
    </w:pPr>
    <w:rPr>
      <w:rFonts w:ascii="Times New Roman" w:hAnsi="Times New Roman" w:cs="Times New Roman"/>
      <w:color w:val="000000"/>
      <w:sz w:val="20"/>
      <w:szCs w:val="20"/>
      <w:lang w:eastAsia="sk-SK"/>
    </w:rPr>
  </w:style>
  <w:style w:type="paragraph" w:customStyle="1" w:styleId="Zkladntext1">
    <w:name w:val="Základní text"/>
    <w:aliases w:val="Základný text Char Char"/>
    <w:rsid w:val="00FE483B"/>
    <w:pPr>
      <w:widowControl w:val="0"/>
      <w:spacing w:after="0" w:line="240" w:lineRule="auto"/>
    </w:pPr>
    <w:rPr>
      <w:rFonts w:ascii="Times New Roman" w:hAnsi="Times New Roman" w:cs="Times New Roman"/>
      <w:color w:val="000000"/>
      <w:sz w:val="20"/>
      <w:szCs w:val="20"/>
      <w:lang w:val="cs-CZ" w:eastAsia="sk-SK"/>
    </w:rPr>
  </w:style>
  <w:style w:type="paragraph" w:styleId="Nzov">
    <w:name w:val="Title"/>
    <w:basedOn w:val="Normlny"/>
    <w:link w:val="NzovChar"/>
    <w:uiPriority w:val="10"/>
    <w:qFormat/>
    <w:rsid w:val="00FE483B"/>
    <w:pPr>
      <w:widowControl/>
      <w:autoSpaceDE w:val="0"/>
      <w:autoSpaceDN w:val="0"/>
      <w:adjustRightInd/>
      <w:jc w:val="center"/>
    </w:pPr>
    <w:rPr>
      <w:b/>
      <w:bCs/>
    </w:rPr>
  </w:style>
  <w:style w:type="character" w:customStyle="1" w:styleId="NzovChar">
    <w:name w:val="Názov Char"/>
    <w:basedOn w:val="Predvolenpsmoodseku"/>
    <w:link w:val="Nzov"/>
    <w:uiPriority w:val="10"/>
    <w:locked/>
    <w:rsid w:val="00FE483B"/>
    <w:rPr>
      <w:rFonts w:ascii="Times New Roman" w:hAnsi="Times New Roman" w:cs="Times New Roman"/>
      <w:b/>
      <w:bCs/>
      <w:sz w:val="24"/>
      <w:szCs w:val="24"/>
      <w:lang w:val="x-none" w:eastAsia="sk-SK"/>
    </w:rPr>
  </w:style>
  <w:style w:type="character" w:styleId="Zvraznenie">
    <w:name w:val="Emphasis"/>
    <w:basedOn w:val="Predvolenpsmoodseku"/>
    <w:uiPriority w:val="20"/>
    <w:qFormat/>
    <w:rsid w:val="00FE483B"/>
    <w:rPr>
      <w:rFonts w:cs="Times New Roman"/>
      <w:i/>
      <w:iCs/>
    </w:rPr>
  </w:style>
  <w:style w:type="character" w:styleId="Siln">
    <w:name w:val="Strong"/>
    <w:basedOn w:val="Predvolenpsmoodseku"/>
    <w:uiPriority w:val="22"/>
    <w:qFormat/>
    <w:rsid w:val="00D27249"/>
    <w:rPr>
      <w:rFonts w:cs="Times New Roman"/>
      <w:b/>
      <w:bCs/>
    </w:rPr>
  </w:style>
  <w:style w:type="paragraph" w:styleId="Normlnywebov">
    <w:name w:val="Normal (Web)"/>
    <w:basedOn w:val="Normlny"/>
    <w:uiPriority w:val="99"/>
    <w:rsid w:val="00D27249"/>
    <w:pPr>
      <w:widowControl/>
      <w:adjustRightInd/>
      <w:spacing w:before="100" w:beforeAutospacing="1" w:after="100" w:afterAutospacing="1"/>
    </w:pPr>
  </w:style>
  <w:style w:type="paragraph" w:styleId="Odsekzoznamu">
    <w:name w:val="List Paragraph"/>
    <w:basedOn w:val="Normlny"/>
    <w:uiPriority w:val="34"/>
    <w:qFormat/>
    <w:rsid w:val="009C5467"/>
    <w:pPr>
      <w:ind w:left="720"/>
      <w:contextualSpacing/>
    </w:pPr>
  </w:style>
  <w:style w:type="paragraph" w:customStyle="1" w:styleId="c08dispositif">
    <w:name w:val="c08dispositif"/>
    <w:basedOn w:val="Normlny"/>
    <w:rsid w:val="00A173F4"/>
    <w:pPr>
      <w:widowControl/>
      <w:adjustRightInd/>
      <w:spacing w:before="100" w:beforeAutospacing="1" w:after="240"/>
      <w:ind w:left="1134" w:hanging="567"/>
      <w:jc w:val="both"/>
    </w:pPr>
    <w:rPr>
      <w:b/>
      <w:bCs/>
    </w:rPr>
  </w:style>
  <w:style w:type="paragraph" w:styleId="Hlavika">
    <w:name w:val="header"/>
    <w:basedOn w:val="Normlny"/>
    <w:link w:val="HlavikaChar"/>
    <w:uiPriority w:val="99"/>
    <w:rsid w:val="00886039"/>
    <w:pPr>
      <w:tabs>
        <w:tab w:val="center" w:pos="4536"/>
        <w:tab w:val="right" w:pos="9072"/>
      </w:tabs>
    </w:pPr>
  </w:style>
  <w:style w:type="character" w:customStyle="1" w:styleId="HlavikaChar">
    <w:name w:val="Hlavička Char"/>
    <w:basedOn w:val="Predvolenpsmoodseku"/>
    <w:link w:val="Hlavika"/>
    <w:uiPriority w:val="99"/>
    <w:rsid w:val="00886039"/>
    <w:rPr>
      <w:rFonts w:ascii="Times New Roman" w:hAnsi="Times New Roman" w:cs="Times New Roman"/>
      <w:sz w:val="24"/>
      <w:szCs w:val="24"/>
      <w:lang w:eastAsia="sk-SK"/>
    </w:rPr>
  </w:style>
  <w:style w:type="paragraph" w:styleId="Pta">
    <w:name w:val="footer"/>
    <w:basedOn w:val="Normlny"/>
    <w:link w:val="PtaChar"/>
    <w:uiPriority w:val="99"/>
    <w:rsid w:val="00886039"/>
    <w:pPr>
      <w:tabs>
        <w:tab w:val="center" w:pos="4536"/>
        <w:tab w:val="right" w:pos="9072"/>
      </w:tabs>
    </w:pPr>
  </w:style>
  <w:style w:type="character" w:customStyle="1" w:styleId="PtaChar">
    <w:name w:val="Päta Char"/>
    <w:basedOn w:val="Predvolenpsmoodseku"/>
    <w:link w:val="Pta"/>
    <w:uiPriority w:val="99"/>
    <w:rsid w:val="00886039"/>
    <w:rPr>
      <w:rFonts w:ascii="Times New Roman" w:hAnsi="Times New Roman" w:cs="Times New Roman"/>
      <w:sz w:val="24"/>
      <w:szCs w:val="24"/>
      <w:lang w:eastAsia="sk-SK"/>
    </w:rPr>
  </w:style>
  <w:style w:type="paragraph" w:styleId="Textbubliny">
    <w:name w:val="Balloon Text"/>
    <w:basedOn w:val="Normlny"/>
    <w:link w:val="TextbublinyChar"/>
    <w:uiPriority w:val="99"/>
    <w:rsid w:val="00AB6B7D"/>
    <w:rPr>
      <w:rFonts w:ascii="Segoe UI" w:hAnsi="Segoe UI" w:cs="Segoe UI"/>
      <w:sz w:val="18"/>
      <w:szCs w:val="18"/>
    </w:rPr>
  </w:style>
  <w:style w:type="character" w:customStyle="1" w:styleId="TextbublinyChar">
    <w:name w:val="Text bubliny Char"/>
    <w:basedOn w:val="Predvolenpsmoodseku"/>
    <w:link w:val="Textbubliny"/>
    <w:uiPriority w:val="99"/>
    <w:rsid w:val="00AB6B7D"/>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5227">
      <w:bodyDiv w:val="1"/>
      <w:marLeft w:val="0"/>
      <w:marRight w:val="0"/>
      <w:marTop w:val="0"/>
      <w:marBottom w:val="0"/>
      <w:divBdr>
        <w:top w:val="none" w:sz="0" w:space="0" w:color="auto"/>
        <w:left w:val="none" w:sz="0" w:space="0" w:color="auto"/>
        <w:bottom w:val="none" w:sz="0" w:space="0" w:color="auto"/>
        <w:right w:val="none" w:sz="0" w:space="0" w:color="auto"/>
      </w:divBdr>
    </w:div>
    <w:div w:id="675036098">
      <w:bodyDiv w:val="1"/>
      <w:marLeft w:val="0"/>
      <w:marRight w:val="0"/>
      <w:marTop w:val="0"/>
      <w:marBottom w:val="0"/>
      <w:divBdr>
        <w:top w:val="none" w:sz="0" w:space="0" w:color="auto"/>
        <w:left w:val="none" w:sz="0" w:space="0" w:color="auto"/>
        <w:bottom w:val="none" w:sz="0" w:space="0" w:color="auto"/>
        <w:right w:val="none" w:sz="0" w:space="0" w:color="auto"/>
      </w:divBdr>
      <w:divsChild>
        <w:div w:id="1800222268">
          <w:marLeft w:val="0"/>
          <w:marRight w:val="0"/>
          <w:marTop w:val="0"/>
          <w:marBottom w:val="0"/>
          <w:divBdr>
            <w:top w:val="none" w:sz="0" w:space="0" w:color="auto"/>
            <w:left w:val="none" w:sz="0" w:space="0" w:color="auto"/>
            <w:bottom w:val="none" w:sz="0" w:space="0" w:color="auto"/>
            <w:right w:val="none" w:sz="0" w:space="0" w:color="auto"/>
          </w:divBdr>
          <w:divsChild>
            <w:div w:id="906037968">
              <w:marLeft w:val="0"/>
              <w:marRight w:val="0"/>
              <w:marTop w:val="0"/>
              <w:marBottom w:val="0"/>
              <w:divBdr>
                <w:top w:val="none" w:sz="0" w:space="0" w:color="auto"/>
                <w:left w:val="none" w:sz="0" w:space="0" w:color="auto"/>
                <w:bottom w:val="none" w:sz="0" w:space="0" w:color="auto"/>
                <w:right w:val="none" w:sz="0" w:space="0" w:color="auto"/>
              </w:divBdr>
              <w:divsChild>
                <w:div w:id="2094933663">
                  <w:marLeft w:val="0"/>
                  <w:marRight w:val="0"/>
                  <w:marTop w:val="0"/>
                  <w:marBottom w:val="0"/>
                  <w:divBdr>
                    <w:top w:val="none" w:sz="0" w:space="0" w:color="auto"/>
                    <w:left w:val="none" w:sz="0" w:space="0" w:color="auto"/>
                    <w:bottom w:val="none" w:sz="0" w:space="0" w:color="auto"/>
                    <w:right w:val="none" w:sz="0" w:space="0" w:color="auto"/>
                  </w:divBdr>
                  <w:divsChild>
                    <w:div w:id="2048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88495">
      <w:bodyDiv w:val="1"/>
      <w:marLeft w:val="0"/>
      <w:marRight w:val="0"/>
      <w:marTop w:val="0"/>
      <w:marBottom w:val="0"/>
      <w:divBdr>
        <w:top w:val="none" w:sz="0" w:space="0" w:color="auto"/>
        <w:left w:val="none" w:sz="0" w:space="0" w:color="auto"/>
        <w:bottom w:val="none" w:sz="0" w:space="0" w:color="auto"/>
        <w:right w:val="none" w:sz="0" w:space="0" w:color="auto"/>
      </w:divBdr>
      <w:divsChild>
        <w:div w:id="353386125">
          <w:marLeft w:val="0"/>
          <w:marRight w:val="0"/>
          <w:marTop w:val="0"/>
          <w:marBottom w:val="0"/>
          <w:divBdr>
            <w:top w:val="none" w:sz="0" w:space="0" w:color="auto"/>
            <w:left w:val="none" w:sz="0" w:space="0" w:color="auto"/>
            <w:bottom w:val="none" w:sz="0" w:space="0" w:color="auto"/>
            <w:right w:val="none" w:sz="0" w:space="0" w:color="auto"/>
          </w:divBdr>
          <w:divsChild>
            <w:div w:id="1268849186">
              <w:marLeft w:val="0"/>
              <w:marRight w:val="0"/>
              <w:marTop w:val="0"/>
              <w:marBottom w:val="0"/>
              <w:divBdr>
                <w:top w:val="none" w:sz="0" w:space="0" w:color="auto"/>
                <w:left w:val="none" w:sz="0" w:space="0" w:color="auto"/>
                <w:bottom w:val="none" w:sz="0" w:space="0" w:color="auto"/>
                <w:right w:val="none" w:sz="0" w:space="0" w:color="auto"/>
              </w:divBdr>
              <w:divsChild>
                <w:div w:id="1501431293">
                  <w:marLeft w:val="0"/>
                  <w:marRight w:val="0"/>
                  <w:marTop w:val="0"/>
                  <w:marBottom w:val="0"/>
                  <w:divBdr>
                    <w:top w:val="none" w:sz="0" w:space="0" w:color="auto"/>
                    <w:left w:val="none" w:sz="0" w:space="0" w:color="auto"/>
                    <w:bottom w:val="none" w:sz="0" w:space="0" w:color="auto"/>
                    <w:right w:val="none" w:sz="0" w:space="0" w:color="auto"/>
                  </w:divBdr>
                  <w:divsChild>
                    <w:div w:id="418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4019">
      <w:bodyDiv w:val="1"/>
      <w:marLeft w:val="0"/>
      <w:marRight w:val="0"/>
      <w:marTop w:val="0"/>
      <w:marBottom w:val="0"/>
      <w:divBdr>
        <w:top w:val="none" w:sz="0" w:space="0" w:color="auto"/>
        <w:left w:val="none" w:sz="0" w:space="0" w:color="auto"/>
        <w:bottom w:val="none" w:sz="0" w:space="0" w:color="auto"/>
        <w:right w:val="none" w:sz="0" w:space="0" w:color="auto"/>
      </w:divBdr>
      <w:divsChild>
        <w:div w:id="962226272">
          <w:marLeft w:val="0"/>
          <w:marRight w:val="0"/>
          <w:marTop w:val="0"/>
          <w:marBottom w:val="0"/>
          <w:divBdr>
            <w:top w:val="none" w:sz="0" w:space="0" w:color="auto"/>
            <w:left w:val="none" w:sz="0" w:space="0" w:color="auto"/>
            <w:bottom w:val="none" w:sz="0" w:space="0" w:color="auto"/>
            <w:right w:val="none" w:sz="0" w:space="0" w:color="auto"/>
          </w:divBdr>
          <w:divsChild>
            <w:div w:id="469858270">
              <w:marLeft w:val="0"/>
              <w:marRight w:val="0"/>
              <w:marTop w:val="0"/>
              <w:marBottom w:val="0"/>
              <w:divBdr>
                <w:top w:val="none" w:sz="0" w:space="0" w:color="auto"/>
                <w:left w:val="none" w:sz="0" w:space="0" w:color="auto"/>
                <w:bottom w:val="none" w:sz="0" w:space="0" w:color="auto"/>
                <w:right w:val="none" w:sz="0" w:space="0" w:color="auto"/>
              </w:divBdr>
              <w:divsChild>
                <w:div w:id="577789349">
                  <w:marLeft w:val="0"/>
                  <w:marRight w:val="0"/>
                  <w:marTop w:val="0"/>
                  <w:marBottom w:val="0"/>
                  <w:divBdr>
                    <w:top w:val="none" w:sz="0" w:space="0" w:color="auto"/>
                    <w:left w:val="none" w:sz="0" w:space="0" w:color="auto"/>
                    <w:bottom w:val="none" w:sz="0" w:space="0" w:color="auto"/>
                    <w:right w:val="none" w:sz="0" w:space="0" w:color="auto"/>
                  </w:divBdr>
                  <w:divsChild>
                    <w:div w:id="3991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2173">
      <w:bodyDiv w:val="1"/>
      <w:marLeft w:val="0"/>
      <w:marRight w:val="0"/>
      <w:marTop w:val="0"/>
      <w:marBottom w:val="0"/>
      <w:divBdr>
        <w:top w:val="none" w:sz="0" w:space="0" w:color="auto"/>
        <w:left w:val="none" w:sz="0" w:space="0" w:color="auto"/>
        <w:bottom w:val="none" w:sz="0" w:space="0" w:color="auto"/>
        <w:right w:val="none" w:sz="0" w:space="0" w:color="auto"/>
      </w:divBdr>
      <w:divsChild>
        <w:div w:id="644353155">
          <w:marLeft w:val="0"/>
          <w:marRight w:val="0"/>
          <w:marTop w:val="0"/>
          <w:marBottom w:val="0"/>
          <w:divBdr>
            <w:top w:val="none" w:sz="0" w:space="0" w:color="auto"/>
            <w:left w:val="none" w:sz="0" w:space="0" w:color="auto"/>
            <w:bottom w:val="none" w:sz="0" w:space="0" w:color="auto"/>
            <w:right w:val="none" w:sz="0" w:space="0" w:color="auto"/>
          </w:divBdr>
          <w:divsChild>
            <w:div w:id="64230959">
              <w:marLeft w:val="0"/>
              <w:marRight w:val="0"/>
              <w:marTop w:val="0"/>
              <w:marBottom w:val="0"/>
              <w:divBdr>
                <w:top w:val="none" w:sz="0" w:space="0" w:color="auto"/>
                <w:left w:val="none" w:sz="0" w:space="0" w:color="auto"/>
                <w:bottom w:val="none" w:sz="0" w:space="0" w:color="auto"/>
                <w:right w:val="none" w:sz="0" w:space="0" w:color="auto"/>
              </w:divBdr>
              <w:divsChild>
                <w:div w:id="5711731">
                  <w:marLeft w:val="0"/>
                  <w:marRight w:val="0"/>
                  <w:marTop w:val="0"/>
                  <w:marBottom w:val="0"/>
                  <w:divBdr>
                    <w:top w:val="none" w:sz="0" w:space="0" w:color="auto"/>
                    <w:left w:val="none" w:sz="0" w:space="0" w:color="auto"/>
                    <w:bottom w:val="none" w:sz="0" w:space="0" w:color="auto"/>
                    <w:right w:val="none" w:sz="0" w:space="0" w:color="auto"/>
                  </w:divBdr>
                  <w:divsChild>
                    <w:div w:id="1867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4073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mfsr</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Juskova Martina</dc:creator>
  <cp:keywords/>
  <dc:description/>
  <cp:lastModifiedBy>Fuleova Zuzana</cp:lastModifiedBy>
  <cp:revision>4</cp:revision>
  <cp:lastPrinted>2019-07-25T09:21:00Z</cp:lastPrinted>
  <dcterms:created xsi:type="dcterms:W3CDTF">2019-09-09T10:40:00Z</dcterms:created>
  <dcterms:modified xsi:type="dcterms:W3CDTF">2019-09-09T10:59:00Z</dcterms:modified>
</cp:coreProperties>
</file>