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657E7" w:rsidRDefault="00347654">
      <w:pPr>
        <w:pStyle w:val="Normlnywebov"/>
        <w:jc w:val="both"/>
        <w:divId w:val="356391447"/>
      </w:pPr>
      <w:r>
        <w:tab/>
      </w:r>
      <w:r w:rsidR="007657E7">
        <w:t>Návrh zákona, ktorým sa mení a dopĺňa zákon č. 297/2008 Z. z. o ochrane pred legalizáciou príjmov z trestnej činnosti a o ochrane pred financovaním terorizmu a o zmene a doplnení niektorých zákonov v znení neskorších predpisov a ktorým sa menia a dopĺňajú niektoré zákony (ďalej len „návrh“) vypracovalo Ministerstvo vnútra Slovenskej republiky v spolupráci s Ministerstvom financií Slovenskej republiky, Ministerstvom spravodlivosti Slovenskej republiky a Národnou bankou Slovenska v súlade s bodom B. 18 uznesenia vlády č. 469 zo 10. októbra 2018 k Návrhu na určenie gestorských ústredných orgánov štátnej správy a niektorých orgánov verejnej moci, zodpovedných za prebratie a aplikáciu smerníc.</w:t>
      </w:r>
    </w:p>
    <w:p w:rsidR="007657E7" w:rsidRDefault="007657E7">
      <w:pPr>
        <w:pStyle w:val="Normlnywebov"/>
        <w:jc w:val="both"/>
        <w:divId w:val="356391447"/>
      </w:pPr>
      <w:r>
        <w:t> </w:t>
      </w:r>
      <w:r w:rsidR="00347654">
        <w:tab/>
      </w:r>
      <w:r>
        <w:t>Hlavným cieľom predloženého návrhu je transpozícia smernice Európskeho parlamentu a Rady (EÚ) 2018/843 z 30. mája 2018, ktorou sa mení smernica (EÚ) 2015/849 o predchádzaní využívaniu finančného systému na účely prania špinavých peňazí alebo financovania terorizmu a smernice 2009/138/ES a 2013/36/EÚ (ďalej len „V. AML Smernica“), ktorá sleduje ochranu finančného systému a posilnenie mechanizmu zavedeného na predchádzanie praniu špinavých peňazí a financovaniu terorizmu v rámci Európskej únie. Návrh reaguje aj na požiadavky vyplývajúce z aplikačnej praxe.</w:t>
      </w:r>
    </w:p>
    <w:p w:rsidR="007657E7" w:rsidRDefault="007657E7">
      <w:pPr>
        <w:pStyle w:val="Normlnywebov"/>
        <w:jc w:val="both"/>
        <w:divId w:val="356391447"/>
      </w:pPr>
      <w:r>
        <w:t xml:space="preserve">            Verejnosť bola o príprave návrhu informovaná prostredníctvom predbežnej informácie v informačnom systéme verejnej správy </w:t>
      </w:r>
      <w:proofErr w:type="spellStart"/>
      <w:r>
        <w:t>Slov-Lex</w:t>
      </w:r>
      <w:proofErr w:type="spellEnd"/>
      <w:r>
        <w:t xml:space="preserve"> (PI/2019/14). Lehota na vyjadrenie sa k hlavným bodom konzultácií bola určená do 15.02.2019. V lehote na podanie podnetov a návrhov zo strany verejnosti bolo navrhovateľovi doručených päť podnetov, a to od Slovenskej bankovej asociácie, Notárskej komory SR, Asociácie obchodníkov s cennými papiermi, Centra lepšej regulácie – Slovak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Agency</w:t>
      </w:r>
      <w:proofErr w:type="spellEnd"/>
      <w:r>
        <w:t>, resp. od občana. Pred začatím konzultácií prebiehali stretnutia a rokovania v súvislosti s prípravou novely zákona č. 297/2008 Z. z. s Národnou bankou Slovenska, ktorá je orgánom dohľadu pre väčšinu povinných osôb z finančného sektora, Ministerstvom financií Slovenskej republiky, Ministerstvom spravodlivosti Slovenskej republiky, ako aj so Slovenskou bankovou asociáciou.</w:t>
      </w:r>
    </w:p>
    <w:p w:rsidR="007657E7" w:rsidRDefault="007657E7">
      <w:pPr>
        <w:pStyle w:val="Normlnywebov"/>
        <w:jc w:val="both"/>
        <w:divId w:val="356391447"/>
      </w:pPr>
      <w:r>
        <w:t>            Verejnosť bola informovaná o základných cieľoch právnej úpravy, ktorým je transpozícia V. AML Smernice, predmetom ktorej je najmä:</w:t>
      </w:r>
    </w:p>
    <w:p w:rsidR="007657E7" w:rsidRDefault="007657E7" w:rsidP="007657E7">
      <w:pPr>
        <w:widowControl/>
        <w:numPr>
          <w:ilvl w:val="0"/>
          <w:numId w:val="1"/>
        </w:numPr>
        <w:adjustRightInd/>
        <w:spacing w:before="100" w:beforeAutospacing="1" w:after="100" w:afterAutospacing="1"/>
        <w:jc w:val="both"/>
        <w:divId w:val="356391447"/>
      </w:pPr>
      <w:r>
        <w:t>revízia existujúcich pravidiel zameraných na predchádzanie legalizácii a financovaniu terorizmu,</w:t>
      </w:r>
    </w:p>
    <w:p w:rsidR="007657E7" w:rsidRDefault="007657E7" w:rsidP="007657E7">
      <w:pPr>
        <w:widowControl/>
        <w:numPr>
          <w:ilvl w:val="0"/>
          <w:numId w:val="1"/>
        </w:numPr>
        <w:adjustRightInd/>
        <w:spacing w:before="100" w:beforeAutospacing="1" w:after="100" w:afterAutospacing="1"/>
        <w:jc w:val="both"/>
        <w:divId w:val="356391447"/>
      </w:pPr>
      <w:r>
        <w:t>zaradenie subjektov poskytujúcich služby spojené s virtuálnymi aktívami medzi povinné osoby,</w:t>
      </w:r>
    </w:p>
    <w:p w:rsidR="007657E7" w:rsidRDefault="007657E7" w:rsidP="007657E7">
      <w:pPr>
        <w:widowControl/>
        <w:numPr>
          <w:ilvl w:val="0"/>
          <w:numId w:val="1"/>
        </w:numPr>
        <w:adjustRightInd/>
        <w:spacing w:before="100" w:beforeAutospacing="1" w:after="100" w:afterAutospacing="1"/>
        <w:jc w:val="both"/>
        <w:divId w:val="356391447"/>
      </w:pPr>
      <w:r>
        <w:t>zlepšenie prístupnosti a prepojenie vnútroštátnych registrov konečných užívateľov výhod v rámci EÚ,</w:t>
      </w:r>
    </w:p>
    <w:p w:rsidR="007657E7" w:rsidRDefault="007657E7" w:rsidP="007657E7">
      <w:pPr>
        <w:widowControl/>
        <w:numPr>
          <w:ilvl w:val="0"/>
          <w:numId w:val="1"/>
        </w:numPr>
        <w:adjustRightInd/>
        <w:spacing w:before="100" w:beforeAutospacing="1" w:after="100" w:afterAutospacing="1"/>
        <w:jc w:val="both"/>
        <w:divId w:val="356391447"/>
      </w:pPr>
      <w:r>
        <w:t>posilnenie a harmonizácia pravidiel zvýšenej starostlivosti vo vzťahu ku klientom z vysokorizikových krajín,</w:t>
      </w:r>
    </w:p>
    <w:p w:rsidR="007657E7" w:rsidRDefault="007657E7" w:rsidP="007657E7">
      <w:pPr>
        <w:widowControl/>
        <w:numPr>
          <w:ilvl w:val="0"/>
          <w:numId w:val="1"/>
        </w:numPr>
        <w:adjustRightInd/>
        <w:spacing w:before="100" w:beforeAutospacing="1" w:after="100" w:afterAutospacing="1"/>
        <w:jc w:val="both"/>
        <w:divId w:val="356391447"/>
      </w:pPr>
      <w:r>
        <w:lastRenderedPageBreak/>
        <w:t>prijatie prísnejších opatrení na zníženie rizík legalizácie a financovania terorizmu spojených s anonymnými predplatenými nástrojmi,</w:t>
      </w:r>
    </w:p>
    <w:p w:rsidR="007657E7" w:rsidRDefault="007657E7" w:rsidP="007657E7">
      <w:pPr>
        <w:widowControl/>
        <w:numPr>
          <w:ilvl w:val="0"/>
          <w:numId w:val="1"/>
        </w:numPr>
        <w:adjustRightInd/>
        <w:spacing w:before="100" w:beforeAutospacing="1" w:after="100" w:afterAutospacing="1"/>
        <w:jc w:val="both"/>
        <w:divId w:val="356391447"/>
      </w:pPr>
      <w:r>
        <w:t>aktualizácia zoznamu politicky exponovaných osôb, </w:t>
      </w:r>
    </w:p>
    <w:p w:rsidR="004D7A15" w:rsidRPr="00347654" w:rsidRDefault="007657E7" w:rsidP="004D7A15">
      <w:pPr>
        <w:widowControl/>
        <w:numPr>
          <w:ilvl w:val="0"/>
          <w:numId w:val="1"/>
        </w:numPr>
        <w:adjustRightInd/>
        <w:spacing w:before="100" w:beforeAutospacing="1" w:after="100" w:afterAutospacing="1"/>
        <w:jc w:val="both"/>
        <w:rPr>
          <w:lang w:val="en-US"/>
        </w:rPr>
      </w:pPr>
      <w:r>
        <w:t>posilnenie spolupráce príslušných orgánov členských štátov v rámci výmeny informácií a</w:t>
      </w:r>
      <w:r w:rsidR="00347654">
        <w:t xml:space="preserve"> </w:t>
      </w:r>
      <w:bookmarkStart w:id="0" w:name="_GoBack"/>
      <w:bookmarkEnd w:id="0"/>
      <w:r>
        <w:t>reagovanie na požiadavky vyplývajúce z praktického uplatňovania zákona.</w:t>
      </w:r>
    </w:p>
    <w:sectPr w:rsidR="004D7A15" w:rsidRPr="00347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E06"/>
    <w:multiLevelType w:val="multilevel"/>
    <w:tmpl w:val="B380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47654"/>
    <w:rsid w:val="003F7950"/>
    <w:rsid w:val="0049695E"/>
    <w:rsid w:val="004A1531"/>
    <w:rsid w:val="004D7A15"/>
    <w:rsid w:val="006C5DD0"/>
    <w:rsid w:val="00716D4D"/>
    <w:rsid w:val="007657E7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57E7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57E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8.2019 14:34:22"/>
    <f:field ref="objchangedby" par="" text="Administrator, System"/>
    <f:field ref="objmodifiedat" par="" text="1.8.2019 14:34:2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Juraj Beník</cp:lastModifiedBy>
  <cp:revision>2</cp:revision>
  <dcterms:created xsi:type="dcterms:W3CDTF">2019-09-11T12:29:00Z</dcterms:created>
  <dcterms:modified xsi:type="dcterms:W3CDTF">2019-09-11T12:29:00Z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Správne právo_x000d_
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Ing. Denisa Saková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Bod B.18. uznesenia vlády Slovenskej republiky č. 469 z 10. októbra 2018</vt:lpwstr>
  </property>
  <property fmtid="{D5CDD505-2E9C-101B-9397-08002B2CF9AE}" pid="17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8" name="FSC#SKEDITIONSLOVLEX@103.510:rezortcislopredpis">
    <vt:lpwstr>KM-OBL-178/2019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LP/2019/567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-	čl. 114 tretia kapitola hlava VII Zmluvy o fungovaní Európskej únie v platnom znení</vt:lpwstr>
  </property>
  <property fmtid="{D5CDD505-2E9C-101B-9397-08002B2CF9AE}" pid="38" name="FSC#SKEDITIONSLOVLEX@103.510:AttrStrListDocPropSekundarneLegPravoPO">
    <vt:lpwstr>-	smernica Európskeho parlamentu a Rady (EÚ) 2018/843 z 30. mája 2018, ktorou sa mení smernica (EÚ) 2015/849 o predchádzaní využívaniu finančného systému na účely prania špinavých peňazí alebo financovania terorizmu a smernice 2009/138/ES a 2013/36/EÚ (Ú.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- nie je obsiahnutá v judikatúre Súdneho dvora Európskej únie.</vt:lpwstr>
  </property>
  <property fmtid="{D5CDD505-2E9C-101B-9397-08002B2CF9AE}" pid="43" name="FSC#SKEDITIONSLOVLEX@103.510:AttrStrListDocPropLehotaPrebratieSmernice">
    <vt:lpwstr>Smernicu 2018/843/EÚ je podľa článku 4 potrebné prebrať do slovenského právneho poriadku najneskôr do 10. januára 2020 s výnimkou článku 12 ods. 3, kde je transpozičná lehota do 10. júla 2020 a článku 32a kde je stanovená lehota na transpozíciu do 10. sep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- proti Slovenskej republike v súčasnosti prebieha konanie pod č. 2017/0431.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26. 6. 2019</vt:lpwstr>
  </property>
  <property fmtid="{D5CDD505-2E9C-101B-9397-08002B2CF9AE}" pid="50" name="FSC#SKEDITIONSLOVLEX@103.510:AttrDateDocPropUkonceniePKK">
    <vt:lpwstr>2. 7. 2019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Alternatívne riešenia neboli posudzované. S poukazom na charakter definovaného problému (viď doložka vybraných vplyvov časť 3.)  žiadne alternatívy právneho ani vecného riešenia problému neprichádzali do úvahy.</vt:lpwstr>
  </property>
  <property fmtid="{D5CDD505-2E9C-101B-9397-08002B2CF9AE}" pid="58" name="FSC#SKEDITIONSLOVLEX@103.510:AttrStrListDocPropStanoviskoGest">
    <vt:lpwstr>&lt;p&gt;Stála pracovná komisia na posudzovanie vybraných vplyvov vyjadrila pod číslom: 154/2019 &lt;u&gt;nesúhlasné stanovisko&lt;/u&gt; s materiálom predloženým na predbežné pripomienkové konanie s odporúčaním na jeho dopracovanie podľa&amp;nbsp; pripomienok uvedených v&amp;nbsp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vnútra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vnútra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Denisa Saková_x000d_
ministerka vnútra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justify;"&gt;&amp;nbsp;&amp;nbsp;&amp;nbsp;&amp;nbsp; Ministerstvo vnútra Slovenskej republiky predkladá do medzirezortného pripomienkového konania návrh zákona, ktorým sa mení a&amp;nbsp;dopĺňa zákon č. 297/2008 Z. z. o&amp;nbsp;ochrane pred legalizáciou príj</vt:lpwstr>
  </property>
  <property fmtid="{D5CDD505-2E9C-101B-9397-08002B2CF9AE}" pid="135" name="FSC#COOSYSTEM@1.1:Container">
    <vt:lpwstr>COO.2145.1000.3.3529033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justify;"&gt;Návrh zákona, ktorým sa mení a&amp;nbsp;dopĺňa zákon č. 297/2008 Z. z. o&amp;nbsp;ochrane pred legalizáciou príjmov z&amp;nbsp;trestnej činnosti a&amp;nbsp;o&amp;nbsp;ochrane pred financovaním terorizmu a&amp;nbsp;o&amp;nbsp;zmene a&amp;nbsp;doplnení niek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ákony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oré zákony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vnútra</vt:lpwstr>
  </property>
  <property fmtid="{D5CDD505-2E9C-101B-9397-08002B2CF9AE}" pid="148" name="FSC#SKEDITIONSLOVLEX@103.510:funkciaZodpPredDativ">
    <vt:lpwstr>ministerky vnútra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1. 8. 2019</vt:lpwstr>
  </property>
</Properties>
</file>