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BF05B0">
        <w:trPr>
          <w:trHeight w:val="567"/>
        </w:trPr>
        <w:tc>
          <w:tcPr>
            <w:tcW w:w="9212" w:type="dxa"/>
            <w:shd w:val="clear" w:color="auto" w:fill="D9D9D9" w:themeFill="background1" w:themeFillShade="D9"/>
          </w:tcPr>
          <w:p w:rsidR="009F2DFA" w:rsidRPr="00042C66" w:rsidRDefault="008A1252" w:rsidP="00BF05B0">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BF05B0">
        <w:trPr>
          <w:trHeight w:val="567"/>
        </w:trPr>
        <w:tc>
          <w:tcPr>
            <w:tcW w:w="9212" w:type="dxa"/>
            <w:shd w:val="clear" w:color="auto" w:fill="D9D9D9" w:themeFill="background1" w:themeFillShade="D9"/>
          </w:tcPr>
          <w:p w:rsidR="009F2DFA" w:rsidRPr="00042C66" w:rsidRDefault="009F2DFA" w:rsidP="00BF05B0">
            <w:pPr>
              <w:rPr>
                <w:b/>
                <w:sz w:val="24"/>
              </w:rPr>
            </w:pPr>
            <w:r w:rsidRPr="00042C66">
              <w:rPr>
                <w:b/>
                <w:sz w:val="24"/>
              </w:rPr>
              <w:t>Materiál bude mať vplyv s ohľadom na veľkostnú kategóriu podnikov:</w:t>
            </w:r>
          </w:p>
        </w:tc>
      </w:tr>
      <w:tr w:rsidR="009F2DFA" w:rsidRPr="00F04CCD" w:rsidTr="00BF05B0">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BF05B0">
              <w:sdt>
                <w:sdtPr>
                  <w:id w:val="43339831"/>
                </w:sdtPr>
                <w:sdtEndPr/>
                <w:sdtContent>
                  <w:tc>
                    <w:tcPr>
                      <w:tcW w:w="436" w:type="dxa"/>
                    </w:tcPr>
                    <w:p w:rsidR="009F2DFA" w:rsidRPr="00F04CCD" w:rsidRDefault="009F2DFA" w:rsidP="00BF05B0">
                      <w:pPr>
                        <w:jc w:val="center"/>
                      </w:pPr>
                      <w:r w:rsidRPr="00F04CCD">
                        <w:rPr>
                          <w:rFonts w:ascii="MS Mincho" w:eastAsia="MS Mincho" w:hAnsi="MS Mincho" w:cs="MS Mincho" w:hint="eastAsia"/>
                        </w:rPr>
                        <w:t>☐</w:t>
                      </w:r>
                    </w:p>
                  </w:tc>
                </w:sdtContent>
              </w:sdt>
              <w:tc>
                <w:tcPr>
                  <w:tcW w:w="8545" w:type="dxa"/>
                </w:tcPr>
                <w:p w:rsidR="009F2DFA" w:rsidRPr="00F04CCD" w:rsidRDefault="009F2DFA" w:rsidP="00BF05B0">
                  <w:pPr>
                    <w:rPr>
                      <w:b/>
                    </w:rPr>
                  </w:pPr>
                  <w:r w:rsidRPr="00F04CCD">
                    <w:rPr>
                      <w:b/>
                    </w:rPr>
                    <w:t xml:space="preserve">iba na MSP (0 - 249 zamestnancov) </w:t>
                  </w:r>
                </w:p>
              </w:tc>
            </w:tr>
            <w:tr w:rsidR="009F2DFA" w:rsidRPr="00F04CCD" w:rsidTr="00BF05B0">
              <w:sdt>
                <w:sdtPr>
                  <w:id w:val="-79453833"/>
                </w:sdtPr>
                <w:sdtEndPr/>
                <w:sdtContent>
                  <w:tc>
                    <w:tcPr>
                      <w:tcW w:w="436" w:type="dxa"/>
                    </w:tcPr>
                    <w:p w:rsidR="009F2DFA" w:rsidRPr="00F04CCD" w:rsidRDefault="009F2DFA" w:rsidP="00BF05B0">
                      <w:pPr>
                        <w:jc w:val="center"/>
                      </w:pPr>
                      <w:r w:rsidRPr="00F04CCD">
                        <w:rPr>
                          <w:rFonts w:ascii="MS Mincho" w:eastAsia="MS Mincho" w:hAnsi="MS Mincho" w:cs="MS Mincho" w:hint="eastAsia"/>
                        </w:rPr>
                        <w:t>☐</w:t>
                      </w:r>
                    </w:p>
                  </w:tc>
                </w:sdtContent>
              </w:sdt>
              <w:tc>
                <w:tcPr>
                  <w:tcW w:w="8545" w:type="dxa"/>
                </w:tcPr>
                <w:p w:rsidR="009F2DFA" w:rsidRPr="00F04CCD" w:rsidRDefault="009F2DFA" w:rsidP="00BF05B0">
                  <w:pPr>
                    <w:rPr>
                      <w:b/>
                    </w:rPr>
                  </w:pPr>
                  <w:r w:rsidRPr="00F04CCD">
                    <w:rPr>
                      <w:b/>
                    </w:rPr>
                    <w:t>iba na veľké podniky (250 a viac zamestnancov)</w:t>
                  </w:r>
                </w:p>
              </w:tc>
            </w:tr>
            <w:tr w:rsidR="009F2DFA" w:rsidRPr="00F04CCD" w:rsidTr="00BF05B0">
              <w:sdt>
                <w:sdtPr>
                  <w:id w:val="1290634502"/>
                </w:sdtPr>
                <w:sdtEndPr/>
                <w:sdtContent>
                  <w:tc>
                    <w:tcPr>
                      <w:tcW w:w="436" w:type="dxa"/>
                    </w:tcPr>
                    <w:p w:rsidR="009F2DFA" w:rsidRPr="00F04CCD" w:rsidRDefault="00C20EEB" w:rsidP="00C20EEB">
                      <w:pPr>
                        <w:jc w:val="center"/>
                      </w:pPr>
                      <w:r w:rsidRPr="00A12489">
                        <w:rPr>
                          <w:rFonts w:ascii="MS Mincho" w:eastAsia="MS Mincho" w:hAnsi="MS Mincho" w:cs="MS Mincho" w:hint="eastAsia"/>
                          <w:color w:val="000000"/>
                        </w:rPr>
                        <w:t>☒</w:t>
                      </w:r>
                    </w:p>
                  </w:tc>
                </w:sdtContent>
              </w:sdt>
              <w:tc>
                <w:tcPr>
                  <w:tcW w:w="8545" w:type="dxa"/>
                </w:tcPr>
                <w:p w:rsidR="009F2DFA" w:rsidRPr="00F04CCD" w:rsidRDefault="009F2DFA" w:rsidP="00BF05B0">
                  <w:r w:rsidRPr="00F04CCD">
                    <w:rPr>
                      <w:b/>
                    </w:rPr>
                    <w:t xml:space="preserve">na všetky </w:t>
                  </w:r>
                  <w:r>
                    <w:rPr>
                      <w:b/>
                    </w:rPr>
                    <w:t>kategórie</w:t>
                  </w:r>
                  <w:r w:rsidRPr="00F04CCD">
                    <w:rPr>
                      <w:b/>
                    </w:rPr>
                    <w:t xml:space="preserve"> podnikov</w:t>
                  </w:r>
                </w:p>
              </w:tc>
            </w:tr>
          </w:tbl>
          <w:p w:rsidR="009F2DFA" w:rsidRPr="00F04CCD" w:rsidRDefault="009F2DFA" w:rsidP="00BF05B0">
            <w:pPr>
              <w:rPr>
                <w:b/>
              </w:rPr>
            </w:pPr>
          </w:p>
        </w:tc>
      </w:tr>
      <w:tr w:rsidR="009F2DFA" w:rsidRPr="00F04CCD" w:rsidTr="00BF05B0">
        <w:tc>
          <w:tcPr>
            <w:tcW w:w="9212" w:type="dxa"/>
            <w:shd w:val="clear" w:color="auto" w:fill="D9D9D9" w:themeFill="background1" w:themeFillShade="D9"/>
          </w:tcPr>
          <w:p w:rsidR="009F2DFA" w:rsidRPr="00042C66" w:rsidRDefault="002B1108" w:rsidP="00BF05B0">
            <w:pPr>
              <w:rPr>
                <w:b/>
                <w:sz w:val="24"/>
              </w:rPr>
            </w:pPr>
            <w:r>
              <w:rPr>
                <w:b/>
                <w:sz w:val="24"/>
              </w:rPr>
              <w:t>3</w:t>
            </w:r>
            <w:r w:rsidR="009F2DFA" w:rsidRPr="00042C66">
              <w:rPr>
                <w:b/>
                <w:sz w:val="24"/>
              </w:rPr>
              <w:t>.1 Dotknuté podnikateľské subjekty</w:t>
            </w:r>
          </w:p>
          <w:p w:rsidR="009F2DFA" w:rsidRPr="00F04CCD" w:rsidRDefault="009F2DFA" w:rsidP="00BF05B0">
            <w:pPr>
              <w:ind w:left="284"/>
              <w:rPr>
                <w:b/>
              </w:rPr>
            </w:pPr>
            <w:r w:rsidRPr="00042C66">
              <w:rPr>
                <w:sz w:val="24"/>
              </w:rPr>
              <w:t xml:space="preserve"> - </w:t>
            </w:r>
            <w:r w:rsidRPr="00042C66">
              <w:rPr>
                <w:b/>
                <w:sz w:val="24"/>
              </w:rPr>
              <w:t>z toho MSP</w:t>
            </w:r>
          </w:p>
        </w:tc>
      </w:tr>
      <w:tr w:rsidR="009F2DFA" w:rsidRPr="00F04CCD" w:rsidTr="00BF05B0">
        <w:tc>
          <w:tcPr>
            <w:tcW w:w="9212" w:type="dxa"/>
            <w:tcBorders>
              <w:bottom w:val="single" w:sz="4" w:space="0" w:color="auto"/>
            </w:tcBorders>
          </w:tcPr>
          <w:p w:rsidR="009F2DFA" w:rsidRPr="00F04CCD" w:rsidRDefault="009F2DFA" w:rsidP="00BF05B0">
            <w:pPr>
              <w:rPr>
                <w:i/>
              </w:rPr>
            </w:pPr>
            <w:r w:rsidRPr="00F04CCD">
              <w:rPr>
                <w:i/>
              </w:rPr>
              <w:t>Uveďte, aké podnikateľské subjekty budú predkladaným návrhom ovplyvnené.</w:t>
            </w:r>
          </w:p>
          <w:p w:rsidR="009F2DFA" w:rsidRPr="00F04CCD" w:rsidRDefault="009F2DFA" w:rsidP="00BF05B0">
            <w:pPr>
              <w:rPr>
                <w:i/>
              </w:rPr>
            </w:pPr>
            <w:r w:rsidRPr="00F04CCD">
              <w:rPr>
                <w:i/>
              </w:rPr>
              <w:t>Aký je ich počet?</w:t>
            </w:r>
          </w:p>
        </w:tc>
      </w:tr>
      <w:tr w:rsidR="009F2DFA" w:rsidRPr="00F04CCD" w:rsidTr="00BF05B0">
        <w:trPr>
          <w:trHeight w:val="1440"/>
        </w:trPr>
        <w:tc>
          <w:tcPr>
            <w:tcW w:w="9212" w:type="dxa"/>
            <w:tcBorders>
              <w:bottom w:val="single" w:sz="4" w:space="0" w:color="auto"/>
            </w:tcBorders>
          </w:tcPr>
          <w:p w:rsidR="00AB7C06" w:rsidRDefault="00AB7C06" w:rsidP="00874EAA">
            <w:r>
              <w:t>Odvetvie hospodárstva: Stavebníctvo.</w:t>
            </w:r>
          </w:p>
          <w:p w:rsidR="009F2DFA" w:rsidRDefault="002662F3" w:rsidP="00874EAA">
            <w:r w:rsidRPr="00467BAF">
              <w:t>Predkladaným návrhom budú ovplyvnené všetky podnikateľské subjekty, ktoré budú uskutočňovať výstavbu, od stavebného zámeru stavebníka, cez zhotovovanie, kolaudáciu, až po trvalé užívanie stavieb počas ich ekonomickej životnosti, najmä v pos</w:t>
            </w:r>
            <w:r w:rsidR="00B83E16">
              <w:t>tavení stavebníka</w:t>
            </w:r>
            <w:r w:rsidR="00467BAF">
              <w:t>.</w:t>
            </w:r>
          </w:p>
          <w:tbl>
            <w:tblPr>
              <w:tblW w:w="5760" w:type="dxa"/>
              <w:tblCellMar>
                <w:left w:w="70" w:type="dxa"/>
                <w:right w:w="70" w:type="dxa"/>
              </w:tblCellMar>
              <w:tblLook w:val="04A0" w:firstRow="1" w:lastRow="0" w:firstColumn="1" w:lastColumn="0" w:noHBand="0" w:noVBand="1"/>
            </w:tblPr>
            <w:tblGrid>
              <w:gridCol w:w="3800"/>
              <w:gridCol w:w="1960"/>
            </w:tblGrid>
            <w:tr w:rsidR="00BB3C8A" w:rsidRPr="00BB3C8A" w:rsidTr="00BB3C8A">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Akciové spoločnosti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290</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Spoločnosti s ručením obmedzeným</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19 501</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Ostatné obchodné spoločnosti</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40</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Družstvá</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48</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Štátne podniky</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0</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Príspevkové organizácie</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9</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Rozpočtové organizácie</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pPr>
                  <w:r w:rsidRPr="00BB3C8A">
                    <w:t>2</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Živnostníci</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73 828</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Ostatné právne formy</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1 623</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Spolu právna forma</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95 344</w:t>
                  </w:r>
                </w:p>
              </w:tc>
            </w:tr>
            <w:tr w:rsidR="00BB3C8A" w:rsidRPr="00BB3C8A" w:rsidTr="00BB3C8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B3C8A" w:rsidRPr="00BB3C8A" w:rsidRDefault="00BB3C8A" w:rsidP="00BB3C8A">
                  <w:pPr>
                    <w:rPr>
                      <w:sz w:val="22"/>
                      <w:szCs w:val="22"/>
                    </w:rPr>
                  </w:pPr>
                  <w:r w:rsidRPr="00BB3C8A">
                    <w:rPr>
                      <w:sz w:val="22"/>
                      <w:szCs w:val="22"/>
                    </w:rPr>
                    <w:t>Fyzické osoby - podnikatelia spolu</w:t>
                  </w:r>
                </w:p>
              </w:tc>
              <w:tc>
                <w:tcPr>
                  <w:tcW w:w="1960" w:type="dxa"/>
                  <w:tcBorders>
                    <w:top w:val="nil"/>
                    <w:left w:val="nil"/>
                    <w:bottom w:val="single" w:sz="4" w:space="0" w:color="auto"/>
                    <w:right w:val="single" w:sz="4" w:space="0" w:color="auto"/>
                  </w:tcBorders>
                  <w:shd w:val="clear" w:color="auto" w:fill="auto"/>
                  <w:noWrap/>
                  <w:vAlign w:val="bottom"/>
                  <w:hideMark/>
                </w:tcPr>
                <w:p w:rsidR="00BB3C8A" w:rsidRPr="00BB3C8A" w:rsidRDefault="00BB3C8A" w:rsidP="00BB3C8A">
                  <w:pPr>
                    <w:jc w:val="center"/>
                    <w:rPr>
                      <w:sz w:val="22"/>
                      <w:szCs w:val="22"/>
                    </w:rPr>
                  </w:pPr>
                  <w:r w:rsidRPr="00BB3C8A">
                    <w:rPr>
                      <w:sz w:val="22"/>
                      <w:szCs w:val="22"/>
                    </w:rPr>
                    <w:t>73 831</w:t>
                  </w:r>
                </w:p>
              </w:tc>
            </w:tr>
          </w:tbl>
          <w:p w:rsidR="003A18D4" w:rsidRPr="00467BAF" w:rsidRDefault="00BB3C8A" w:rsidP="00874EAA">
            <w:r>
              <w:t>Zdroj: Štatistický úrad SR za rok 2018</w:t>
            </w:r>
          </w:p>
        </w:tc>
      </w:tr>
      <w:tr w:rsidR="009F2DFA" w:rsidRPr="00F04CCD" w:rsidTr="00BF05B0">
        <w:trPr>
          <w:trHeight w:val="339"/>
        </w:trPr>
        <w:tc>
          <w:tcPr>
            <w:tcW w:w="9212" w:type="dxa"/>
            <w:tcBorders>
              <w:bottom w:val="single" w:sz="4" w:space="0" w:color="auto"/>
            </w:tcBorders>
            <w:shd w:val="clear" w:color="auto" w:fill="D9D9D9" w:themeFill="background1" w:themeFillShade="D9"/>
          </w:tcPr>
          <w:p w:rsidR="009F2DFA" w:rsidRPr="00042C66" w:rsidRDefault="002B1108" w:rsidP="00BF05B0">
            <w:pPr>
              <w:rPr>
                <w:b/>
                <w:sz w:val="24"/>
              </w:rPr>
            </w:pPr>
            <w:r>
              <w:rPr>
                <w:b/>
                <w:sz w:val="24"/>
              </w:rPr>
              <w:t>3</w:t>
            </w:r>
            <w:r w:rsidR="009F2DFA" w:rsidRPr="00042C66">
              <w:rPr>
                <w:b/>
                <w:sz w:val="24"/>
              </w:rPr>
              <w:t>.2 Vyhodnotenie konzultácií</w:t>
            </w:r>
          </w:p>
          <w:p w:rsidR="009F2DFA" w:rsidRPr="00F04CCD" w:rsidRDefault="009F2DFA" w:rsidP="00BF05B0">
            <w:pPr>
              <w:rPr>
                <w:b/>
              </w:rPr>
            </w:pPr>
            <w:r w:rsidRPr="00042C66">
              <w:rPr>
                <w:sz w:val="24"/>
              </w:rPr>
              <w:t xml:space="preserve">       - </w:t>
            </w:r>
            <w:r w:rsidRPr="00042C66">
              <w:rPr>
                <w:b/>
                <w:sz w:val="24"/>
              </w:rPr>
              <w:t>z toho MSP</w:t>
            </w:r>
          </w:p>
        </w:tc>
      </w:tr>
      <w:tr w:rsidR="009F2DFA" w:rsidRPr="00F04CCD" w:rsidTr="00BF05B0">
        <w:trPr>
          <w:trHeight w:val="557"/>
        </w:trPr>
        <w:tc>
          <w:tcPr>
            <w:tcW w:w="9212" w:type="dxa"/>
            <w:tcBorders>
              <w:bottom w:val="single" w:sz="4" w:space="0" w:color="auto"/>
            </w:tcBorders>
          </w:tcPr>
          <w:p w:rsidR="009F2DFA" w:rsidRPr="00F04CCD" w:rsidRDefault="009F2DFA" w:rsidP="00BF05B0">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BF05B0">
            <w:pPr>
              <w:rPr>
                <w:i/>
              </w:rPr>
            </w:pPr>
            <w:r w:rsidRPr="00F04CCD">
              <w:rPr>
                <w:i/>
              </w:rPr>
              <w:t>Ako dlho trvali konzultácie?</w:t>
            </w:r>
          </w:p>
          <w:p w:rsidR="009F2DFA" w:rsidRPr="000D2622" w:rsidRDefault="009F2DFA" w:rsidP="00BF05B0">
            <w:pPr>
              <w:rPr>
                <w:i/>
              </w:rPr>
            </w:pPr>
            <w:r w:rsidRPr="00F04CCD">
              <w:rPr>
                <w:i/>
              </w:rPr>
              <w:t xml:space="preserve">Uveďte hlavné body konzultácií a výsledky konzultácií. </w:t>
            </w:r>
          </w:p>
        </w:tc>
      </w:tr>
      <w:tr w:rsidR="009F2DFA" w:rsidRPr="00F04CCD" w:rsidTr="00BF05B0">
        <w:trPr>
          <w:trHeight w:val="1440"/>
        </w:trPr>
        <w:tc>
          <w:tcPr>
            <w:tcW w:w="9212" w:type="dxa"/>
            <w:tcBorders>
              <w:bottom w:val="single" w:sz="4" w:space="0" w:color="auto"/>
            </w:tcBorders>
          </w:tcPr>
          <w:p w:rsidR="002937DE" w:rsidRDefault="002937DE" w:rsidP="002937DE">
            <w:pPr>
              <w:spacing w:after="120" w:line="276" w:lineRule="auto"/>
              <w:ind w:right="74"/>
              <w:jc w:val="both"/>
            </w:pPr>
            <w:r w:rsidRPr="00D82BAF">
              <w:t>Ministerstvo dopravy a výstavby Slovenskej republiky</w:t>
            </w:r>
            <w:r w:rsidR="00D82BAF" w:rsidRPr="00D82BAF">
              <w:t xml:space="preserve"> vytvorilo</w:t>
            </w:r>
            <w:r w:rsidRPr="00D82BAF">
              <w:t xml:space="preserve"> v novembri 2017 pre širšiu odbornú (ale aj legislatívnu) diskusiu </w:t>
            </w:r>
            <w:r w:rsidR="00D82BAF" w:rsidRPr="00D82BAF">
              <w:t>tzv. odborno-legislatívnu</w:t>
            </w:r>
            <w:r w:rsidRPr="00D82BAF">
              <w:t xml:space="preserve"> pracovnú skupinu, na </w:t>
            </w:r>
            <w:r w:rsidR="00D82BAF" w:rsidRPr="00D82BAF">
              <w:t>ktorú pozvalo širokú škálu subjektov</w:t>
            </w:r>
            <w:r w:rsidRPr="00D82BAF">
              <w:t xml:space="preserve"> zo zástupcov odbornej verejnosti, samosprávy, štátnej správy,</w:t>
            </w:r>
            <w:r w:rsidR="00D82BAF" w:rsidRPr="00D82BAF">
              <w:t xml:space="preserve"> zástupcov zamestnávateľov a zástupcov zamestnancov,</w:t>
            </w:r>
            <w:r w:rsidRPr="00D82BAF">
              <w:t xml:space="preserve"> stavovských o</w:t>
            </w:r>
            <w:r w:rsidR="00D82BAF" w:rsidRPr="00D82BAF">
              <w:t>rganizácií a</w:t>
            </w:r>
            <w:r w:rsidRPr="00D82BAF">
              <w:t xml:space="preserve"> akademickej obce – 31 nominovaných členov z 31 organizácií.</w:t>
            </w:r>
            <w:r w:rsidR="00D82BAF">
              <w:t xml:space="preserve"> Návrh zákona</w:t>
            </w:r>
            <w:r w:rsidRPr="00D82BAF">
              <w:t xml:space="preserve"> sa ďalej preroková</w:t>
            </w:r>
            <w:r w:rsidR="00D82BAF">
              <w:t>val</w:t>
            </w:r>
            <w:r w:rsidRPr="00D82BAF">
              <w:t xml:space="preserve"> v diskusiách v rámci odborno-legislatívnej pracovnej skupiny, resp. v rámci dvoj-, trojstranných stretnutiach medzi členmi odborno-legislatívnej pracovnej skupin</w:t>
            </w:r>
            <w:r w:rsidR="00A72E0A">
              <w:t>y</w:t>
            </w:r>
            <w:r w:rsidRPr="00D82BAF">
              <w:t xml:space="preserve">, </w:t>
            </w:r>
            <w:r w:rsidR="00D82BAF">
              <w:t xml:space="preserve">s </w:t>
            </w:r>
            <w:r w:rsidRPr="00D82BAF">
              <w:t>následnými úp</w:t>
            </w:r>
            <w:r w:rsidR="00D82BAF">
              <w:t>ravami jednotlivých návrhov s termínom posledného stretnutia vo februári 2019.</w:t>
            </w:r>
          </w:p>
          <w:p w:rsidR="00B701AB" w:rsidRPr="00D82BAF" w:rsidRDefault="00B701AB" w:rsidP="002937DE">
            <w:pPr>
              <w:spacing w:after="120" w:line="276" w:lineRule="auto"/>
              <w:ind w:right="74"/>
              <w:jc w:val="both"/>
            </w:pPr>
            <w:r>
              <w:t>Hlavné body konzultácií sa týkali riešenia problémov aplikačnej praxe, napr. zadefinovanie pojmov, osôb vo výstavbe a ich vzájomn</w:t>
            </w:r>
            <w:r w:rsidR="00DF1774">
              <w:t>ých</w:t>
            </w:r>
            <w:r>
              <w:t xml:space="preserve"> vzťah</w:t>
            </w:r>
            <w:r w:rsidR="00DF1774">
              <w:t>ov s prislúchajúcimi právami a povinnosťami</w:t>
            </w:r>
            <w:r>
              <w:t xml:space="preserve">, </w:t>
            </w:r>
            <w:r w:rsidR="00DF1774">
              <w:t xml:space="preserve">stupne a forma dokumentácie pre jednotlivé </w:t>
            </w:r>
            <w:r w:rsidR="00F2770A">
              <w:t>druhy</w:t>
            </w:r>
            <w:r w:rsidR="00DF1774">
              <w:t xml:space="preserve"> stavieb, elektronizácia procesov a s tým súvisiace formuláre a registre, lehoty</w:t>
            </w:r>
            <w:r>
              <w:t xml:space="preserve"> </w:t>
            </w:r>
            <w:r w:rsidR="00DF1774">
              <w:t>pre povoľujúce orgány a pod. Predmetom konzultácií bol celkový návrh zákona a koncepčný návrh predmetu vykonávacích vyhlášok pred spustením PPK.</w:t>
            </w:r>
            <w:r w:rsidR="008F4456">
              <w:t xml:space="preserve"> Pripomienky, resp. názory jednotlivých subjektov boli často vzájomne rozporné a sledovali protichodné záujmy, preto bolo potrebné ich objektívne</w:t>
            </w:r>
            <w:r w:rsidR="004B70D1">
              <w:t xml:space="preserve"> posúdiť.</w:t>
            </w:r>
          </w:p>
          <w:p w:rsidR="009F2DFA" w:rsidRPr="00F04CCD" w:rsidRDefault="009F2DFA" w:rsidP="00BF05B0">
            <w:pPr>
              <w:rPr>
                <w:i/>
              </w:rPr>
            </w:pPr>
          </w:p>
        </w:tc>
      </w:tr>
      <w:tr w:rsidR="009F2DFA" w:rsidRPr="00F04CCD" w:rsidTr="00BF05B0">
        <w:tc>
          <w:tcPr>
            <w:tcW w:w="9212" w:type="dxa"/>
            <w:shd w:val="clear" w:color="auto" w:fill="D9D9D9" w:themeFill="background1" w:themeFillShade="D9"/>
          </w:tcPr>
          <w:p w:rsidR="009F2DFA" w:rsidRPr="00042C66" w:rsidRDefault="002B1108" w:rsidP="00BF05B0">
            <w:pPr>
              <w:rPr>
                <w:b/>
                <w:sz w:val="24"/>
              </w:rPr>
            </w:pPr>
            <w:r>
              <w:rPr>
                <w:b/>
                <w:sz w:val="24"/>
              </w:rPr>
              <w:t>3</w:t>
            </w:r>
            <w:r w:rsidR="009F2DFA" w:rsidRPr="00042C66">
              <w:rPr>
                <w:b/>
                <w:sz w:val="24"/>
              </w:rPr>
              <w:t>.3 Náklady regulácie</w:t>
            </w:r>
          </w:p>
          <w:p w:rsidR="009F2DFA" w:rsidRPr="00F04CCD" w:rsidRDefault="009F2DFA" w:rsidP="00BF05B0">
            <w:pPr>
              <w:rPr>
                <w:b/>
              </w:rPr>
            </w:pPr>
            <w:r w:rsidRPr="00042C66">
              <w:rPr>
                <w:sz w:val="24"/>
              </w:rPr>
              <w:t xml:space="preserve">      - </w:t>
            </w:r>
            <w:r w:rsidRPr="00042C66">
              <w:rPr>
                <w:b/>
                <w:sz w:val="24"/>
              </w:rPr>
              <w:t>z toho MSP</w:t>
            </w:r>
          </w:p>
        </w:tc>
      </w:tr>
      <w:tr w:rsidR="009F2DFA" w:rsidRPr="00F04CCD" w:rsidTr="00BF05B0">
        <w:tc>
          <w:tcPr>
            <w:tcW w:w="9212" w:type="dxa"/>
            <w:tcBorders>
              <w:bottom w:val="single" w:sz="4" w:space="0" w:color="auto"/>
            </w:tcBorders>
          </w:tcPr>
          <w:p w:rsidR="009F2DFA" w:rsidRPr="00F04CCD" w:rsidRDefault="002B1108" w:rsidP="00BF05B0">
            <w:pPr>
              <w:rPr>
                <w:b/>
                <w:i/>
              </w:rPr>
            </w:pPr>
            <w:r>
              <w:rPr>
                <w:b/>
                <w:i/>
              </w:rPr>
              <w:t>3</w:t>
            </w:r>
            <w:r w:rsidR="009F2DFA" w:rsidRPr="00F04CCD">
              <w:rPr>
                <w:b/>
                <w:i/>
              </w:rPr>
              <w:t>.3.1 Priame finančné náklady</w:t>
            </w:r>
          </w:p>
          <w:p w:rsidR="009F2DFA" w:rsidRPr="00F04CCD" w:rsidRDefault="009F2DFA" w:rsidP="00BF05B0">
            <w:pPr>
              <w:rPr>
                <w:i/>
              </w:rPr>
            </w:pPr>
            <w:r w:rsidRPr="00F04CCD">
              <w:rPr>
                <w:i/>
              </w:rPr>
              <w:t xml:space="preserve">Dochádza k zvýšeniu/zníženiu priamych finančných nákladov (poplatky, odvody, dane clá...)? Ak áno, popíšte a </w:t>
            </w:r>
            <w:r w:rsidRPr="00F04CCD">
              <w:rPr>
                <w:i/>
              </w:rPr>
              <w:lastRenderedPageBreak/>
              <w:t xml:space="preserve">vyčíslite ich. Uveďte tiež spôsob ich výpočtu. </w:t>
            </w:r>
          </w:p>
        </w:tc>
      </w:tr>
      <w:tr w:rsidR="009F2DFA" w:rsidRPr="00F04CCD" w:rsidTr="00BF05B0">
        <w:tc>
          <w:tcPr>
            <w:tcW w:w="9212" w:type="dxa"/>
            <w:tcBorders>
              <w:bottom w:val="single" w:sz="4" w:space="0" w:color="auto"/>
            </w:tcBorders>
          </w:tcPr>
          <w:p w:rsidR="00192686" w:rsidRDefault="00192686" w:rsidP="00ED5B4E">
            <w:pPr>
              <w:jc w:val="both"/>
              <w:rPr>
                <w:highlight w:val="yellow"/>
              </w:rPr>
            </w:pPr>
            <w:r w:rsidRPr="00192686">
              <w:lastRenderedPageBreak/>
              <w:t>Návrh predpokladá zvýšenie priamych finančných nákladov spôsobené navrhovanou úpravou sadzobníka správnych poplatkov</w:t>
            </w:r>
            <w:r>
              <w:t xml:space="preserve"> (novela zákona 145/1995 Z.z. bude predmetom samostatného „článkového zákona“)</w:t>
            </w:r>
            <w:r w:rsidRPr="00192686">
              <w:t>. Vzhľadom k tomu, že navrhovaná právna úprava má celospoločenský dopad a týka sa stavieb vo všeobecnosti (inžinierske stavby a budovy, od stavieb malého rozsahu, až po obzvlášť rozsiahle a technicky náročné stavby), nie je možné kvantifikovať priame finančné náklady širokospektrálne, ale len ilustračne</w:t>
            </w:r>
            <w:r>
              <w:t>.</w:t>
            </w:r>
          </w:p>
          <w:p w:rsidR="00192686" w:rsidRPr="00ED5B4E" w:rsidRDefault="00192686" w:rsidP="00BF05B0"/>
          <w:p w:rsidR="00EF4B37" w:rsidRPr="00ED5B4E" w:rsidRDefault="001F05E7" w:rsidP="00BF05B0">
            <w:r w:rsidRPr="00ED5B4E">
              <w:t>Správne poplatky</w:t>
            </w:r>
          </w:p>
          <w:p w:rsidR="00EF4B37" w:rsidRPr="00ED5B4E" w:rsidRDefault="001F05E7" w:rsidP="00BA6FEE">
            <w:pPr>
              <w:jc w:val="both"/>
            </w:pPr>
            <w:r w:rsidRPr="00ED5B4E">
              <w:t>Predkladaným návrhom dochádza k zvýšeniu správnych poplatkov za jednotlivé úkony v nadväznosti na nové právne inštitúty zavedené v návrhu zákona, ako aj v nadväznosti na požiadavku, aby poplatky za úkony na „obecných stavebných úradoch“ uhrádzal stavebník v plnej výške, a nie všetci obyvatelia obce  spoločne.</w:t>
            </w:r>
          </w:p>
          <w:p w:rsidR="00EF4B37" w:rsidRPr="00ED5B4E" w:rsidRDefault="001F05E7" w:rsidP="00BA6FEE">
            <w:pPr>
              <w:jc w:val="both"/>
            </w:pPr>
            <w:r w:rsidRPr="00ED5B4E">
              <w:t>Vzhľadom na skutočnosť, že výška poplatkov je stanovená na základe ceny stavby a aj percentuálne podľa ceny stavby a na nové procesné úkony, nie je možné exaktne vyčísliť novo navrhovanú výšku správnych poplatkov vo vzťahu k doteraz uplatňovaným správnym poplatkom.</w:t>
            </w:r>
          </w:p>
          <w:p w:rsidR="00EF4B37" w:rsidRPr="00ED5B4E" w:rsidRDefault="001F05E7" w:rsidP="00BA6FEE">
            <w:pPr>
              <w:jc w:val="both"/>
            </w:pPr>
            <w:r w:rsidRPr="00ED5B4E">
              <w:t>Vyčíslenie zvýšenia správnych poplatkov možno demonštrovať na ekonomickom profile Slovenskej republiky podľa indikátora Doing Business 2019 – Dealing with construction permits. Podľa platnej právnej úpravy správnych poplatkov na úseku stavebnej správy sú pri cene stavby vo  výške 763 111 Eur správne poplatky vo výške 1100 Eur (celková výška správnych poplatkov podľa indikátora Dealing with construction permits – 1.516,- eur).  Podľa navrhovanej výšky správnych poplatkov pri rovnakej cene stavby by poplatník uhradil správne poplatky na úseku stavebnej správy vo výške  9.000,- Eur (celková výška správnych poplatkov podľa indikátora Dealing with construction permits – 9.416,- eur, t.j. vo výške 1,2 % z ceny stavby).</w:t>
            </w:r>
          </w:p>
          <w:p w:rsidR="001523EF" w:rsidRPr="00ED5B4E" w:rsidRDefault="001F05E7" w:rsidP="001523EF">
            <w:pPr>
              <w:spacing w:after="120"/>
              <w:jc w:val="both"/>
            </w:pPr>
            <w:r w:rsidRPr="00ED5B4E">
              <w:t>Podľa prílohy Sadzobníka správnych poplatkov časti V. STAVEBNÁ SPRÁVA položka 59 zákona Národnej rady Slovenskej republiky č. 145/1995 Z .z. o správnych poplatkoch v znení neskorších predpisov je správny poplatok za vydanie rozhodnutia o stavebnom zámere pri odhadovanom rozpočte nad 300.000 eur do 1.000.000 Eur vo výške 5.000,- Eur. Za overenie projektu stavby vrátane kontrolnej prehliadky je správny poplatok 50 % sadzby podľa  bodu písm. b) podľa rozpočtovaného nákladu stavebného objektu, t.j. 2.500,- Eur. Za vydanie kolaudačného osvedčenia je správny poplatok stanovený vo výške 30 % sadzby podľa bodu písm. b) podľa rozpočtovaného nákladu stavebného objektu, t.j. vo výške 1.500,- Eur. Výška správny poplatkov pri vyššie uvedenej stavbe na úseku stavebnej správy je teda 5.000,- Eur + 2.500,- Eur + 1.500,- Eur, t.j. 9.000,- Eur.</w:t>
            </w:r>
          </w:p>
          <w:p w:rsidR="00F30CD7" w:rsidRDefault="001F05E7" w:rsidP="001523EF">
            <w:pPr>
              <w:spacing w:after="120"/>
              <w:jc w:val="both"/>
            </w:pPr>
            <w:r w:rsidRPr="00ED5B4E">
              <w:t>V prípade s</w:t>
            </w:r>
            <w:r w:rsidRPr="00ED5B4E">
              <w:rPr>
                <w:szCs w:val="24"/>
              </w:rPr>
              <w:t>tavebných prác uvedených v prílohe č. 1 návrhu zákona, na ktoré stavebný súhlas vydáva stavebný úrad podľa § 54</w:t>
            </w:r>
            <w:r w:rsidR="005175A2" w:rsidRPr="00ED5B4E">
              <w:rPr>
                <w:szCs w:val="24"/>
              </w:rPr>
              <w:t xml:space="preserve"> </w:t>
            </w:r>
            <w:r w:rsidRPr="00ED5B4E">
              <w:rPr>
                <w:szCs w:val="24"/>
              </w:rPr>
              <w:t xml:space="preserve">je navrhovaný správny poplatok za vydanie stavebného súhlasu 200,- Eur. Na užívanie takejto stavby je následne potrebné ešte kolaudačné osvedčenie, za ktorého vydanie je správny poplatok vo výške </w:t>
            </w:r>
            <w:r w:rsidRPr="00ED5B4E">
              <w:t>30 % sadzby podľa písm. a), t.j. 60,- Eur, spolu 260,- Eur.  V súčasnosti je správny poplatok na úseku stavebnej správy za realizáciu obdobnej stavby vo výške cca 125,- Eur v závislosti od konkrétnej stavby. Uvedený výpočet je len príkladný. V nadväznosti na novú kategorizáciu stavieb a na to naviazané nové povoľovacie procesy nie je možné exaktne určiť výšku správneho poplatku vzhľadom na individuálny záujem stavebníka.</w:t>
            </w:r>
          </w:p>
          <w:p w:rsidR="009F2DFA" w:rsidRPr="00F04CCD" w:rsidRDefault="009F2DFA" w:rsidP="00BF05B0">
            <w:pPr>
              <w:rPr>
                <w:b/>
                <w:i/>
              </w:rPr>
            </w:pPr>
          </w:p>
        </w:tc>
      </w:tr>
      <w:tr w:rsidR="009F2DFA" w:rsidRPr="00F04CCD" w:rsidTr="00BF05B0">
        <w:tc>
          <w:tcPr>
            <w:tcW w:w="9212" w:type="dxa"/>
            <w:tcBorders>
              <w:bottom w:val="single" w:sz="4" w:space="0" w:color="auto"/>
            </w:tcBorders>
          </w:tcPr>
          <w:p w:rsidR="009F2DFA" w:rsidRPr="00F04CCD" w:rsidRDefault="002B1108" w:rsidP="00BF05B0">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BF05B0">
        <w:tc>
          <w:tcPr>
            <w:tcW w:w="9212" w:type="dxa"/>
            <w:tcBorders>
              <w:bottom w:val="single" w:sz="4" w:space="0" w:color="auto"/>
            </w:tcBorders>
          </w:tcPr>
          <w:p w:rsidR="009F2DFA" w:rsidRPr="00911DB3" w:rsidRDefault="00911DB3" w:rsidP="00BF05B0">
            <w:r w:rsidRPr="00911DB3">
              <w:t>Návrh nevyžaduje dodatočné náklady na nákup tovarov alebo služieb.</w:t>
            </w:r>
          </w:p>
          <w:p w:rsidR="009F2DFA" w:rsidRPr="00F04CCD" w:rsidRDefault="009F2DFA" w:rsidP="00BF05B0">
            <w:pPr>
              <w:rPr>
                <w:b/>
                <w:i/>
              </w:rPr>
            </w:pPr>
          </w:p>
          <w:p w:rsidR="009F2DFA" w:rsidRPr="00F04CCD" w:rsidRDefault="009F2DFA" w:rsidP="00BF05B0">
            <w:pPr>
              <w:rPr>
                <w:b/>
                <w:i/>
              </w:rPr>
            </w:pPr>
          </w:p>
          <w:p w:rsidR="009F2DFA" w:rsidRPr="00F04CCD" w:rsidRDefault="009F2DFA" w:rsidP="00BF05B0">
            <w:pPr>
              <w:rPr>
                <w:b/>
                <w:i/>
              </w:rPr>
            </w:pPr>
          </w:p>
          <w:p w:rsidR="009F2DFA" w:rsidRPr="00F04CCD" w:rsidRDefault="009F2DFA" w:rsidP="00BF05B0">
            <w:pPr>
              <w:rPr>
                <w:b/>
                <w:i/>
              </w:rPr>
            </w:pPr>
          </w:p>
        </w:tc>
      </w:tr>
      <w:tr w:rsidR="009F2DFA" w:rsidRPr="00F04CCD" w:rsidTr="00BF05B0">
        <w:tc>
          <w:tcPr>
            <w:tcW w:w="9212" w:type="dxa"/>
            <w:tcBorders>
              <w:bottom w:val="single" w:sz="4" w:space="0" w:color="auto"/>
            </w:tcBorders>
          </w:tcPr>
          <w:p w:rsidR="009F2DFA" w:rsidRPr="00F04CCD" w:rsidRDefault="002B1108" w:rsidP="00BF05B0">
            <w:pPr>
              <w:rPr>
                <w:b/>
                <w:i/>
              </w:rPr>
            </w:pPr>
            <w:r>
              <w:rPr>
                <w:b/>
                <w:i/>
              </w:rPr>
              <w:t>3</w:t>
            </w:r>
            <w:r w:rsidR="009F2DFA" w:rsidRPr="00F04CCD">
              <w:rPr>
                <w:b/>
                <w:i/>
              </w:rPr>
              <w:t>.3.3 Administratívne náklady</w:t>
            </w:r>
          </w:p>
          <w:p w:rsidR="009F2DFA" w:rsidRPr="00F04CCD" w:rsidRDefault="009F2DFA" w:rsidP="00BF05B0">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BF05B0">
        <w:tc>
          <w:tcPr>
            <w:tcW w:w="9212" w:type="dxa"/>
            <w:tcBorders>
              <w:bottom w:val="single" w:sz="4" w:space="0" w:color="auto"/>
            </w:tcBorders>
          </w:tcPr>
          <w:p w:rsidR="00A73C7D" w:rsidRDefault="00A73C7D" w:rsidP="00A73C7D">
            <w:pPr>
              <w:ind w:right="74"/>
              <w:jc w:val="both"/>
            </w:pPr>
            <w:bookmarkStart w:id="0" w:name="_GoBack"/>
            <w:bookmarkEnd w:id="0"/>
            <w:r w:rsidRPr="00A73C7D">
              <w:t>Cieľom novej úpravy na úseku výstavby je dosiahnutie stavu, kedy v procese povoľovania stavby bude stavebný zámer posudzovaný a prerokovaný všetkými dotknutými subjektmi v jednom konaní a bude o ňom vydané jedno rozhodnutie. Vypustí sa proces územného konania</w:t>
            </w:r>
            <w:r w:rsidR="00BC0E32">
              <w:t xml:space="preserve"> (podľa </w:t>
            </w:r>
            <w:proofErr w:type="spellStart"/>
            <w:r w:rsidR="00BC0E32">
              <w:t>Doing</w:t>
            </w:r>
            <w:proofErr w:type="spellEnd"/>
            <w:r w:rsidR="00BC0E32">
              <w:t xml:space="preserve"> </w:t>
            </w:r>
            <w:proofErr w:type="spellStart"/>
            <w:r w:rsidR="00BC0E32">
              <w:t>Business</w:t>
            </w:r>
            <w:proofErr w:type="spellEnd"/>
            <w:r w:rsidR="00BC0E32">
              <w:t xml:space="preserve"> trvá územné konanie 150 dní)</w:t>
            </w:r>
            <w:r w:rsidRPr="00A73C7D">
              <w:t>, ako nástroja územného plánovania, ktorý v praxi vykonávali stavebné úrady nakoľko v prevažnej miere išlo v prípade územného a následne stavebného konania o duplicitné posudzovanie</w:t>
            </w:r>
            <w:r w:rsidR="00D21005">
              <w:t>. Návrhom sa sleduje precizovanie činností, ktoré sa v zmysle teraz platnej legislatívy vykonávali len sporadicky v prípadoch zodpovedných investorov, t.j. činnost</w:t>
            </w:r>
            <w:r w:rsidR="00B61664">
              <w:t>í ktoré</w:t>
            </w:r>
            <w:r w:rsidR="00D21005">
              <w:t xml:space="preserve"> </w:t>
            </w:r>
            <w:r w:rsidR="00B61664">
              <w:t>z teraz platného zákona vyplývajú len nepriamo</w:t>
            </w:r>
            <w:r w:rsidRPr="00A73C7D">
              <w:t>.</w:t>
            </w:r>
            <w:r w:rsidR="00B61664">
              <w:t xml:space="preserve"> Ťažisko kvality projektu ako celku, sa návrhom opäť presúva naspäť na oprávnené osoby, čiže skrátenie lehôt potrebných na realizáciu investície (skrátenie vyplývajúce z vypusteného územného konania) závisí od kvality predprojektovej prípravy a kvality spracovania dokumentácie stavby.</w:t>
            </w:r>
          </w:p>
          <w:p w:rsidR="00F2770A" w:rsidRPr="00A73C7D" w:rsidRDefault="00F2770A" w:rsidP="00A73C7D">
            <w:pPr>
              <w:ind w:right="74"/>
              <w:jc w:val="both"/>
            </w:pPr>
          </w:p>
          <w:p w:rsidR="00A73C7D" w:rsidRPr="00A73C7D" w:rsidRDefault="00A73C7D" w:rsidP="00A73C7D">
            <w:pPr>
              <w:ind w:right="74"/>
              <w:jc w:val="both"/>
            </w:pPr>
            <w:r w:rsidRPr="00A73C7D">
              <w:t xml:space="preserve">Zavedie sa inštitút stavebného zámeru ako podkladu pre posúdenie umiestnenia stavby a posúdenia súladu so základnými územnými parametrami. Stavebný zámer je textové a grafické vyjadrenie urbanisticko-architektonického a základného stavebného riešenia stavby a jej umiestnenia do prostredia; je základným dokumentom prípravy výstavby a podkladom na rozhodovanie stavebných úradov a na vydávanie stavebných súhlasov. Súlad stavebného zámeru so zámermi územného plánovania, najmä podmienkami funkčného a priestorového usporiadania územia osvedčí obec územným stanoviskom alebo záväzným stanoviskom obce. </w:t>
            </w:r>
          </w:p>
          <w:p w:rsidR="00F2770A" w:rsidRDefault="00F2770A" w:rsidP="00A73C7D">
            <w:pPr>
              <w:pStyle w:val="Odsekzoznamu"/>
              <w:spacing w:after="0" w:line="240" w:lineRule="auto"/>
              <w:ind w:left="0" w:right="74"/>
              <w:contextualSpacing w:val="0"/>
              <w:jc w:val="both"/>
              <w:rPr>
                <w:rFonts w:ascii="Times New Roman" w:hAnsi="Times New Roman"/>
                <w:sz w:val="20"/>
                <w:szCs w:val="20"/>
              </w:rPr>
            </w:pPr>
          </w:p>
          <w:p w:rsidR="00A73C7D" w:rsidRPr="00A73C7D" w:rsidRDefault="00A73C7D" w:rsidP="00A73C7D">
            <w:pPr>
              <w:pStyle w:val="Odsekzoznamu"/>
              <w:spacing w:after="0" w:line="240" w:lineRule="auto"/>
              <w:ind w:left="0" w:right="74"/>
              <w:contextualSpacing w:val="0"/>
              <w:jc w:val="both"/>
              <w:rPr>
                <w:rFonts w:ascii="Times New Roman" w:hAnsi="Times New Roman"/>
                <w:sz w:val="20"/>
                <w:szCs w:val="20"/>
              </w:rPr>
            </w:pPr>
            <w:r w:rsidRPr="00A73C7D">
              <w:rPr>
                <w:rFonts w:ascii="Times New Roman" w:hAnsi="Times New Roman"/>
                <w:sz w:val="20"/>
                <w:szCs w:val="20"/>
              </w:rPr>
              <w:t>Podľa navrhovanej úpravy</w:t>
            </w:r>
            <w:r w:rsidR="00F2770A">
              <w:rPr>
                <w:rFonts w:ascii="Times New Roman" w:hAnsi="Times New Roman"/>
                <w:sz w:val="20"/>
                <w:szCs w:val="20"/>
              </w:rPr>
              <w:t xml:space="preserve"> bude</w:t>
            </w:r>
            <w:r w:rsidRPr="00A73C7D">
              <w:rPr>
                <w:rFonts w:ascii="Times New Roman" w:hAnsi="Times New Roman"/>
                <w:sz w:val="20"/>
                <w:szCs w:val="20"/>
              </w:rPr>
              <w:t xml:space="preserve"> jeden stavebný zámer prerokovaný iba v jednom správnom konaní, pričom jedným rozhodnutím bude rozhodnuté o všetkých stavebných objektoch jedným stavebným úradom. V prípade, že hlavnou stavbou stavebného zámeru bude špeciálna stavba, rozhodne o celom súbore stavieb špeciálny stavebný úrad.</w:t>
            </w:r>
          </w:p>
          <w:p w:rsidR="00A73C7D" w:rsidRPr="00A73C7D" w:rsidRDefault="00A73C7D" w:rsidP="00A73C7D">
            <w:pPr>
              <w:pStyle w:val="Odsekzoznamu"/>
              <w:spacing w:after="0" w:line="240" w:lineRule="auto"/>
              <w:ind w:left="0" w:right="74"/>
              <w:contextualSpacing w:val="0"/>
              <w:jc w:val="both"/>
              <w:rPr>
                <w:rFonts w:ascii="Times New Roman" w:hAnsi="Times New Roman"/>
                <w:sz w:val="20"/>
                <w:szCs w:val="20"/>
              </w:rPr>
            </w:pPr>
            <w:r w:rsidRPr="00A73C7D">
              <w:rPr>
                <w:rFonts w:ascii="Times New Roman" w:hAnsi="Times New Roman"/>
                <w:sz w:val="20"/>
                <w:szCs w:val="20"/>
              </w:rPr>
              <w:t>Projekt stavby, ako stavebnotechnickú dokumentáciu, overí stavebný úrad mimo správneho konania a vydá o tom osvedčovaciu doložku.</w:t>
            </w:r>
          </w:p>
          <w:p w:rsidR="00A73C7D" w:rsidRDefault="00A73C7D" w:rsidP="00A73C7D">
            <w:pPr>
              <w:ind w:right="74"/>
              <w:jc w:val="both"/>
            </w:pPr>
            <w:r w:rsidRPr="00A73C7D">
              <w:t>Znamená to, že sa nebude druhý krát rozhodovať o veciach, o ktorých už bolo rozhodnuté alebo ktoré sú zrejmé.</w:t>
            </w:r>
          </w:p>
          <w:p w:rsidR="00A73C7D" w:rsidRDefault="00A73C7D" w:rsidP="00A73C7D">
            <w:pPr>
              <w:ind w:right="74"/>
              <w:jc w:val="both"/>
            </w:pPr>
          </w:p>
          <w:p w:rsidR="00A73C7D" w:rsidRPr="00991DD3" w:rsidRDefault="00A73C7D" w:rsidP="00A73C7D">
            <w:pPr>
              <w:ind w:right="74"/>
              <w:jc w:val="both"/>
            </w:pPr>
            <w:r w:rsidRPr="00A73C7D">
              <w:t xml:space="preserve">V súvislosti s novými postupmi povoľovania stavieb stráca význam doterajšie kategorizovanie stavieb pre </w:t>
            </w:r>
            <w:r w:rsidRPr="00991DD3">
              <w:t xml:space="preserve">účely spôsobu povoľovania na drobné stavby, jednoduché stavby a ostatné stavby. Nové kategórie stavieb, podľa navrhovaných postupov, </w:t>
            </w:r>
            <w:r w:rsidR="00F2770A">
              <w:t>sú</w:t>
            </w:r>
            <w:r w:rsidR="00F2770A" w:rsidRPr="00991DD3">
              <w:t xml:space="preserve"> </w:t>
            </w:r>
            <w:r w:rsidRPr="00991DD3">
              <w:t>upravené v  prílohách zákona.</w:t>
            </w:r>
          </w:p>
          <w:p w:rsidR="00A73C7D" w:rsidRPr="00991DD3" w:rsidRDefault="00A73C7D" w:rsidP="00A73C7D">
            <w:pPr>
              <w:ind w:right="74"/>
              <w:jc w:val="both"/>
            </w:pPr>
          </w:p>
          <w:p w:rsidR="00523DC9" w:rsidRDefault="00F2770A" w:rsidP="00523DC9">
            <w:pPr>
              <w:autoSpaceDN w:val="0"/>
              <w:jc w:val="both"/>
            </w:pPr>
            <w:r>
              <w:t xml:space="preserve">Návrhom zákona sa upravuje územná pôsobnosť stavebných úradov </w:t>
            </w:r>
            <w:r w:rsidR="00D539D0">
              <w:t xml:space="preserve">(pôsobnosť stavebného úradu na územie celého okresu) </w:t>
            </w:r>
            <w:r>
              <w:t>s cieľom racionalizácie, efektivity a</w:t>
            </w:r>
            <w:r w:rsidR="00D539D0">
              <w:t> </w:t>
            </w:r>
            <w:r>
              <w:t>profesionality</w:t>
            </w:r>
            <w:r w:rsidR="00D539D0">
              <w:t xml:space="preserve">, čo </w:t>
            </w:r>
            <w:r>
              <w:t xml:space="preserve">je </w:t>
            </w:r>
            <w:r w:rsidR="00D539D0">
              <w:t>podporené</w:t>
            </w:r>
            <w:r>
              <w:t xml:space="preserve"> aj presunutím konaní ex offo </w:t>
            </w:r>
            <w:r w:rsidR="00D539D0">
              <w:t xml:space="preserve">a výkonu štátneho stavebného dohľadu na </w:t>
            </w:r>
            <w:r w:rsidR="007658DF">
              <w:t>S</w:t>
            </w:r>
            <w:r w:rsidR="00D539D0">
              <w:t>lovenskú stavebnú inšpekciu.</w:t>
            </w:r>
          </w:p>
          <w:p w:rsidR="00D539D0" w:rsidRPr="00991DD3" w:rsidRDefault="00D539D0" w:rsidP="00523DC9">
            <w:pPr>
              <w:autoSpaceDN w:val="0"/>
              <w:jc w:val="both"/>
            </w:pPr>
            <w:r>
              <w:t>Úpravou územnej pôsobnosti dôjde k redukcii všeobecných stavebných úradov z dnešných cca 2930</w:t>
            </w:r>
            <w:r w:rsidR="007658DF">
              <w:t xml:space="preserve"> (každá obec je stavebným úradom)</w:t>
            </w:r>
            <w:r>
              <w:t xml:space="preserve"> na </w:t>
            </w:r>
            <w:r w:rsidR="007658DF">
              <w:t>zastabilizovaných 79.</w:t>
            </w:r>
          </w:p>
          <w:p w:rsidR="00A73C7D" w:rsidRPr="001B68E2" w:rsidRDefault="00523DC9" w:rsidP="00523DC9">
            <w:pPr>
              <w:ind w:right="74"/>
              <w:jc w:val="both"/>
            </w:pPr>
            <w:r w:rsidRPr="00991DD3">
              <w:t>Slovenská stavebná inšpekcia sa stane orgánom špecializovaným na výkon činnosti štátneho stavebného dohľadu</w:t>
            </w:r>
            <w:r w:rsidR="00D539D0">
              <w:t>, konaní ex offo a výkon rozhodnutí</w:t>
            </w:r>
            <w:r w:rsidRPr="00991DD3">
              <w:t xml:space="preserve">. Stavebná inšpekcia sa bude členiť na ústredie so sídlom v Bratislave a na </w:t>
            </w:r>
            <w:r w:rsidRPr="001B68E2">
              <w:t xml:space="preserve">stavebné inšpektoráty v krajoch. Ústredie bude riadiť a kontrolovať výkon štátneho stavebného dohľadu stavebnými inšpektorátmi a rozhodovať ako odvolací orgán o opravných prostriedkoch podaných proti rozhodnutiam stavebných </w:t>
            </w:r>
            <w:r w:rsidR="00D539D0">
              <w:t>inšpektorátov</w:t>
            </w:r>
            <w:r w:rsidRPr="001B68E2">
              <w:t>. Stavebný inšpektorát bude vykonávať štátny stavebný dohľad na stavbách</w:t>
            </w:r>
            <w:r w:rsidR="00D539D0">
              <w:t xml:space="preserve">, </w:t>
            </w:r>
            <w:r w:rsidRPr="001B68E2">
              <w:t xml:space="preserve">kontrolu energetickej certifikácie a bude správnym orgánom príslušným na </w:t>
            </w:r>
            <w:proofErr w:type="spellStart"/>
            <w:r w:rsidR="00D539D0" w:rsidRPr="001B68E2">
              <w:t>nariaďova</w:t>
            </w:r>
            <w:r w:rsidR="00D539D0">
              <w:t>cie</w:t>
            </w:r>
            <w:proofErr w:type="spellEnd"/>
            <w:r w:rsidR="00D539D0" w:rsidRPr="001B68E2">
              <w:t xml:space="preserve"> opatren</w:t>
            </w:r>
            <w:r w:rsidR="00D539D0">
              <w:t>ia</w:t>
            </w:r>
            <w:r w:rsidR="00D539D0" w:rsidRPr="001B68E2">
              <w:t xml:space="preserve"> </w:t>
            </w:r>
            <w:r w:rsidRPr="001B68E2">
              <w:t xml:space="preserve">na stavbách, na </w:t>
            </w:r>
            <w:proofErr w:type="spellStart"/>
            <w:r w:rsidRPr="001B68E2">
              <w:t>prejednávanie</w:t>
            </w:r>
            <w:proofErr w:type="spellEnd"/>
            <w:r w:rsidRPr="001B68E2">
              <w:t xml:space="preserve"> priestupkov vo výstavbe, na ukladanie pokút za </w:t>
            </w:r>
            <w:r w:rsidR="005175A2">
              <w:t xml:space="preserve">priestupky a </w:t>
            </w:r>
            <w:r w:rsidRPr="001B68E2">
              <w:t>správne delikty vo výstavbe a na výkon rozhodnutí.</w:t>
            </w:r>
          </w:p>
          <w:p w:rsidR="00A73C7D" w:rsidRPr="001B68E2" w:rsidRDefault="00A73C7D" w:rsidP="00A73C7D">
            <w:pPr>
              <w:ind w:right="74"/>
              <w:jc w:val="both"/>
            </w:pPr>
          </w:p>
          <w:p w:rsidR="00A73C7D" w:rsidRPr="001B68E2" w:rsidRDefault="00A73C7D" w:rsidP="00A73C7D">
            <w:pPr>
              <w:pStyle w:val="Odsekzoznamu"/>
              <w:spacing w:after="0" w:line="240" w:lineRule="auto"/>
              <w:ind w:left="0" w:right="74"/>
              <w:contextualSpacing w:val="0"/>
              <w:jc w:val="both"/>
              <w:rPr>
                <w:rFonts w:ascii="Times New Roman" w:hAnsi="Times New Roman" w:cs="Times New Roman"/>
                <w:sz w:val="20"/>
                <w:szCs w:val="20"/>
              </w:rPr>
            </w:pPr>
            <w:r w:rsidRPr="001B68E2">
              <w:rPr>
                <w:rFonts w:ascii="Times New Roman" w:hAnsi="Times New Roman" w:cs="Times New Roman"/>
                <w:sz w:val="20"/>
                <w:szCs w:val="20"/>
              </w:rPr>
              <w:t>Uľahčenie administratívnych postupov posudzovania dokumentácie stavieb zvyšuje nároky na kvalitu a zodpovednosť projektantov a zhotoviteľov stavieb.</w:t>
            </w:r>
            <w:r w:rsidR="001B68E2" w:rsidRPr="001B68E2">
              <w:rPr>
                <w:rFonts w:ascii="Times New Roman" w:hAnsi="Times New Roman" w:cs="Times New Roman"/>
                <w:sz w:val="20"/>
                <w:szCs w:val="20"/>
              </w:rPr>
              <w:t xml:space="preserve"> Návrh zákona zvýrazňuje dôležitosť účasti oprávnených osôb vo výstavbe, najmä precizuje oprávnenia a  zodpovednosť projektanta, stavbyvedúceho, zhotoviteľa stavby, stavebných dozorov, geodeta a statika v príprave výstavby a pri zhotovovaní stavby na úroveň obvyklú v</w:t>
            </w:r>
            <w:r w:rsidR="007658DF">
              <w:rPr>
                <w:rFonts w:ascii="Times New Roman" w:hAnsi="Times New Roman" w:cs="Times New Roman"/>
                <w:sz w:val="20"/>
                <w:szCs w:val="20"/>
              </w:rPr>
              <w:t> </w:t>
            </w:r>
            <w:r w:rsidR="001B68E2" w:rsidRPr="001B68E2">
              <w:rPr>
                <w:rFonts w:ascii="Times New Roman" w:hAnsi="Times New Roman" w:cs="Times New Roman"/>
                <w:sz w:val="20"/>
                <w:szCs w:val="20"/>
              </w:rPr>
              <w:t>zahraničí</w:t>
            </w:r>
            <w:r w:rsidR="007658DF">
              <w:rPr>
                <w:rFonts w:ascii="Times New Roman" w:hAnsi="Times New Roman" w:cs="Times New Roman"/>
                <w:sz w:val="20"/>
                <w:szCs w:val="20"/>
              </w:rPr>
              <w:t>.</w:t>
            </w:r>
            <w:r w:rsidRPr="001B68E2">
              <w:rPr>
                <w:rFonts w:ascii="Times New Roman" w:hAnsi="Times New Roman" w:cs="Times New Roman"/>
                <w:sz w:val="20"/>
                <w:szCs w:val="20"/>
              </w:rPr>
              <w:t xml:space="preserve"> Preto sa zároveň navrhuje posilniť kontrolnú a dozornú funkciu štátu nad činnosťou všetkých osôb vo výstavbe v štádiu realizácie stavieb. Tá bude zabezpečená prostredníctvom orgánov štátneho stavebného dohľadu, t.j. inšpektorátov Slovenskej stavebnej inšpekcie a ďalších orgánov, ktoré budú plniť úlohy tzv. „stavebnej polície“. Od navrhovanej úpravy sa očakáva zvýšenie stavebnej disciplíny a predchádzanie realizácii „čiernych stavieb“.</w:t>
            </w:r>
          </w:p>
          <w:p w:rsidR="007658DF" w:rsidRDefault="007658DF" w:rsidP="001B68E2">
            <w:pPr>
              <w:spacing w:line="276" w:lineRule="auto"/>
              <w:ind w:right="1"/>
              <w:jc w:val="both"/>
            </w:pPr>
          </w:p>
          <w:p w:rsidR="001B68E2" w:rsidRPr="001B68E2" w:rsidRDefault="001B68E2" w:rsidP="001B68E2">
            <w:pPr>
              <w:spacing w:line="276" w:lineRule="auto"/>
              <w:ind w:right="1"/>
              <w:jc w:val="both"/>
            </w:pPr>
            <w:r w:rsidRPr="001B68E2">
              <w:t>Návrh zákona sleduje sprísnenie odbornej prípravy zamestnancov pracujúci</w:t>
            </w:r>
            <w:r w:rsidR="00BA6FEE">
              <w:t>ch v stavebnej správe</w:t>
            </w:r>
            <w:r w:rsidRPr="001B68E2">
              <w:t>.</w:t>
            </w:r>
          </w:p>
          <w:p w:rsidR="008F4456" w:rsidRDefault="008F4456" w:rsidP="00ED5B4E">
            <w:pPr>
              <w:jc w:val="both"/>
            </w:pPr>
          </w:p>
          <w:p w:rsidR="008F4456" w:rsidRPr="00ED5B4E" w:rsidRDefault="001F05E7" w:rsidP="00ED5B4E">
            <w:pPr>
              <w:jc w:val="both"/>
            </w:pPr>
            <w:r w:rsidRPr="00ED5B4E">
              <w:t>Návrh zákona odzrkadľuje požiadavky informatizácie a zakladá podmienky pre efektívny výkon verejnej moci elektronicky</w:t>
            </w:r>
            <w:r w:rsidR="007658DF" w:rsidRPr="00A217E1">
              <w:t>, čo na strane podnikateľsk</w:t>
            </w:r>
            <w:r w:rsidR="007658DF" w:rsidRPr="00935519">
              <w:t>ých subjektov prináša benefit v možnosti využívania elektronických služieb a úsporu nákladov spojených s poskytovaním duplicitn</w:t>
            </w:r>
            <w:r w:rsidR="007658DF" w:rsidRPr="00192686">
              <w:t>ých a </w:t>
            </w:r>
            <w:proofErr w:type="spellStart"/>
            <w:r w:rsidR="007658DF" w:rsidRPr="00192686">
              <w:t>multiplicitných</w:t>
            </w:r>
            <w:proofErr w:type="spellEnd"/>
            <w:r w:rsidR="007658DF" w:rsidRPr="00192686">
              <w:t xml:space="preserve"> </w:t>
            </w:r>
            <w:r w:rsidR="002B13B2" w:rsidRPr="00192686">
              <w:t>informácií a dokumentov.</w:t>
            </w:r>
          </w:p>
          <w:p w:rsidR="008F4456" w:rsidRDefault="008F4456" w:rsidP="00ED5B4E">
            <w:pPr>
              <w:jc w:val="both"/>
            </w:pPr>
          </w:p>
          <w:p w:rsidR="008F4456" w:rsidRPr="00ED5B4E" w:rsidRDefault="001F05E7" w:rsidP="00ED5B4E">
            <w:pPr>
              <w:jc w:val="both"/>
            </w:pPr>
            <w:r w:rsidRPr="00ED5B4E">
              <w:t>Nezávisle od návrhu zákona sú vo fáze prípravy projekty, ktoré využívaním, synergickým efektom s predkladaným návrhom zákona, prispejú k ďalšiemu zníženiu priamych a nepriamych finančných nákladov spojených s vybavovaním služby:</w:t>
            </w:r>
          </w:p>
          <w:p w:rsidR="008F4456" w:rsidRPr="00ED5B4E" w:rsidRDefault="001F05E7" w:rsidP="00ED5B4E">
            <w:pPr>
              <w:numPr>
                <w:ilvl w:val="0"/>
                <w:numId w:val="15"/>
              </w:numPr>
              <w:shd w:val="clear" w:color="auto" w:fill="FFFFFF"/>
              <w:ind w:left="714" w:hanging="357"/>
              <w:jc w:val="both"/>
              <w:rPr>
                <w:color w:val="333333"/>
              </w:rPr>
            </w:pPr>
            <w:r w:rsidRPr="00ED5B4E">
              <w:rPr>
                <w:color w:val="333333"/>
              </w:rPr>
              <w:t xml:space="preserve">Registre informačného systému o výstavbe, </w:t>
            </w:r>
            <w:r w:rsidRPr="00ED5B4E">
              <w:rPr>
                <w:bCs/>
                <w:color w:val="333333"/>
              </w:rPr>
              <w:t>Kód MetaIS:</w:t>
            </w:r>
            <w:r w:rsidRPr="00ED5B4E">
              <w:rPr>
                <w:color w:val="333333"/>
              </w:rPr>
              <w:t xml:space="preserve"> isvs_9476</w:t>
            </w:r>
          </w:p>
          <w:p w:rsidR="008F4456" w:rsidRPr="00ED5B4E" w:rsidRDefault="001F05E7" w:rsidP="00ED5B4E">
            <w:pPr>
              <w:numPr>
                <w:ilvl w:val="0"/>
                <w:numId w:val="15"/>
              </w:numPr>
              <w:shd w:val="clear" w:color="auto" w:fill="FFFFFF"/>
              <w:ind w:left="714" w:hanging="357"/>
              <w:jc w:val="both"/>
              <w:rPr>
                <w:color w:val="333333"/>
              </w:rPr>
            </w:pPr>
            <w:r w:rsidRPr="00ED5B4E">
              <w:t>Elektronické úložisko projektovej dokumentácie, Kód MetaIS: isvs_9591</w:t>
            </w:r>
          </w:p>
          <w:p w:rsidR="008F4456" w:rsidRDefault="008F4456" w:rsidP="00ED5B4E">
            <w:pPr>
              <w:jc w:val="both"/>
            </w:pPr>
          </w:p>
          <w:p w:rsidR="008F4456" w:rsidRDefault="00935519" w:rsidP="00ED5B4E">
            <w:pPr>
              <w:jc w:val="both"/>
            </w:pPr>
            <w:r>
              <w:t>Ďalším</w:t>
            </w:r>
            <w:r w:rsidR="001F05E7" w:rsidRPr="00ED5B4E">
              <w:t xml:space="preserve"> pozitívnym prínosom </w:t>
            </w:r>
            <w:r>
              <w:t xml:space="preserve">bude </w:t>
            </w:r>
            <w:r w:rsidR="001F05E7" w:rsidRPr="00ED5B4E">
              <w:t xml:space="preserve">zavedenie elektronických formulárov v zmysle zákona o eGov. Príslušné formuláre budú definované (ako prílohy) k vykonávacím všeobecne záväzným právnym predpisom. Pôjde najmä o jednotlivé druhy podaní účastníkov, rozhodnutia stavebného úradu a orgánu štátneho stavebného </w:t>
            </w:r>
            <w:r w:rsidR="001F05E7" w:rsidRPr="00ED5B4E">
              <w:lastRenderedPageBreak/>
              <w:t>dohľadu, štruktúrovanú - textovú časť dokumentácie stavby, stavebný denník a záznam o stavbe a pod.</w:t>
            </w:r>
          </w:p>
          <w:p w:rsidR="008F4456" w:rsidRDefault="008F4456" w:rsidP="00ED5B4E">
            <w:pPr>
              <w:jc w:val="both"/>
            </w:pPr>
          </w:p>
          <w:p w:rsidR="00BA6FEE" w:rsidRDefault="001F05E7" w:rsidP="00ED5B4E">
            <w:pPr>
              <w:jc w:val="both"/>
              <w:rPr>
                <w:b/>
                <w:i/>
              </w:rPr>
            </w:pPr>
            <w:r w:rsidRPr="00ED5B4E">
              <w:t xml:space="preserve">Vzhľadom k tomu, že ide o rozsiahlu právnu úpravu v oblasti výstavby, pričom výstavba má nepriamy vplyv na rôzne odvetvia hospodárstva a aspekty spoločnosti, nie je možné kvantifikovať </w:t>
            </w:r>
            <w:r w:rsidR="00192686">
              <w:t xml:space="preserve">priame, nepriame </w:t>
            </w:r>
            <w:r w:rsidR="00ED5B4E">
              <w:t xml:space="preserve">ani </w:t>
            </w:r>
            <w:r w:rsidR="00192686">
              <w:t>administratívne finančné náklady.</w:t>
            </w:r>
          </w:p>
          <w:p w:rsidR="00BA6FEE" w:rsidRPr="00F04CCD" w:rsidRDefault="00BA6FEE" w:rsidP="00BF05B0">
            <w:pPr>
              <w:rPr>
                <w:b/>
                <w:i/>
              </w:rPr>
            </w:pPr>
          </w:p>
        </w:tc>
      </w:tr>
      <w:tr w:rsidR="009F2DFA" w:rsidRPr="00F04CCD" w:rsidTr="00BF05B0">
        <w:trPr>
          <w:trHeight w:val="2318"/>
        </w:trPr>
        <w:tc>
          <w:tcPr>
            <w:tcW w:w="9212" w:type="dxa"/>
            <w:tcBorders>
              <w:bottom w:val="single" w:sz="4" w:space="0" w:color="auto"/>
            </w:tcBorders>
          </w:tcPr>
          <w:p w:rsidR="009F2DFA" w:rsidRPr="00F04CCD" w:rsidRDefault="002B1108" w:rsidP="00BF05B0">
            <w:pPr>
              <w:rPr>
                <w:i/>
              </w:rPr>
            </w:pPr>
            <w:r>
              <w:rPr>
                <w:b/>
                <w:i/>
              </w:rPr>
              <w:lastRenderedPageBreak/>
              <w:t>3</w:t>
            </w:r>
            <w:r w:rsidR="009F2DFA" w:rsidRPr="00F04CCD">
              <w:rPr>
                <w:b/>
                <w:i/>
              </w:rPr>
              <w:t>.3.4 Súhrnná tabuľka nákladov regulácie</w:t>
            </w:r>
          </w:p>
          <w:p w:rsidR="009F2DFA" w:rsidRPr="00F04CCD" w:rsidRDefault="009F2DFA" w:rsidP="00BF05B0">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BF05B0">
              <w:tc>
                <w:tcPr>
                  <w:tcW w:w="2993" w:type="dxa"/>
                </w:tcPr>
                <w:p w:rsidR="009F2DFA" w:rsidRPr="00F04CCD" w:rsidRDefault="009F2DFA" w:rsidP="00BF05B0">
                  <w:pPr>
                    <w:rPr>
                      <w:i/>
                    </w:rPr>
                  </w:pPr>
                </w:p>
              </w:tc>
              <w:tc>
                <w:tcPr>
                  <w:tcW w:w="2994" w:type="dxa"/>
                </w:tcPr>
                <w:p w:rsidR="009F2DFA" w:rsidRPr="00F04CCD" w:rsidRDefault="009F2DFA" w:rsidP="00BF05B0">
                  <w:pPr>
                    <w:jc w:val="center"/>
                    <w:rPr>
                      <w:i/>
                    </w:rPr>
                  </w:pPr>
                  <w:r w:rsidRPr="00F04CCD">
                    <w:rPr>
                      <w:i/>
                    </w:rPr>
                    <w:t>Náklady na 1 podnikateľa</w:t>
                  </w:r>
                </w:p>
              </w:tc>
              <w:tc>
                <w:tcPr>
                  <w:tcW w:w="2994" w:type="dxa"/>
                </w:tcPr>
                <w:p w:rsidR="009F2DFA" w:rsidRPr="00F04CCD" w:rsidRDefault="009F2DFA" w:rsidP="00BF05B0">
                  <w:pPr>
                    <w:jc w:val="center"/>
                    <w:rPr>
                      <w:i/>
                    </w:rPr>
                  </w:pPr>
                  <w:r w:rsidRPr="00F04CCD">
                    <w:rPr>
                      <w:i/>
                    </w:rPr>
                    <w:t>Náklady na celé podnikateľské prostredie</w:t>
                  </w:r>
                </w:p>
              </w:tc>
            </w:tr>
            <w:tr w:rsidR="009F2DFA" w:rsidRPr="00F04CCD" w:rsidTr="00BF05B0">
              <w:tc>
                <w:tcPr>
                  <w:tcW w:w="2993" w:type="dxa"/>
                </w:tcPr>
                <w:p w:rsidR="009F2DFA" w:rsidRPr="00F04CCD" w:rsidRDefault="009F2DFA" w:rsidP="00BF05B0">
                  <w:pPr>
                    <w:rPr>
                      <w:i/>
                    </w:rPr>
                  </w:pPr>
                  <w:r w:rsidRPr="00F04CCD">
                    <w:rPr>
                      <w:i/>
                    </w:rPr>
                    <w:t>Priame finančné náklady</w:t>
                  </w:r>
                </w:p>
              </w:tc>
              <w:tc>
                <w:tcPr>
                  <w:tcW w:w="2994" w:type="dxa"/>
                </w:tcPr>
                <w:p w:rsidR="009F2DFA" w:rsidRPr="00F04CCD" w:rsidRDefault="009F2DFA" w:rsidP="00BF05B0">
                  <w:pPr>
                    <w:jc w:val="center"/>
                    <w:rPr>
                      <w:i/>
                    </w:rPr>
                  </w:pPr>
                </w:p>
              </w:tc>
              <w:tc>
                <w:tcPr>
                  <w:tcW w:w="2994" w:type="dxa"/>
                </w:tcPr>
                <w:p w:rsidR="009F2DFA" w:rsidRPr="00F04CCD" w:rsidRDefault="009F2DFA" w:rsidP="00BF05B0">
                  <w:pPr>
                    <w:jc w:val="center"/>
                    <w:rPr>
                      <w:i/>
                    </w:rPr>
                  </w:pPr>
                </w:p>
              </w:tc>
            </w:tr>
            <w:tr w:rsidR="009F2DFA" w:rsidRPr="00F04CCD" w:rsidTr="00BF05B0">
              <w:tc>
                <w:tcPr>
                  <w:tcW w:w="2993" w:type="dxa"/>
                </w:tcPr>
                <w:p w:rsidR="009F2DFA" w:rsidRPr="00F04CCD" w:rsidRDefault="009F2DFA" w:rsidP="00BF05B0">
                  <w:pPr>
                    <w:rPr>
                      <w:i/>
                    </w:rPr>
                  </w:pPr>
                  <w:r w:rsidRPr="00F04CCD">
                    <w:rPr>
                      <w:i/>
                    </w:rPr>
                    <w:t>Nepriame finančné náklady</w:t>
                  </w:r>
                </w:p>
              </w:tc>
              <w:tc>
                <w:tcPr>
                  <w:tcW w:w="2994" w:type="dxa"/>
                </w:tcPr>
                <w:p w:rsidR="009F2DFA" w:rsidRPr="00F04CCD" w:rsidRDefault="009F2DFA" w:rsidP="00BF05B0">
                  <w:pPr>
                    <w:jc w:val="center"/>
                    <w:rPr>
                      <w:i/>
                    </w:rPr>
                  </w:pPr>
                </w:p>
              </w:tc>
              <w:tc>
                <w:tcPr>
                  <w:tcW w:w="2994" w:type="dxa"/>
                </w:tcPr>
                <w:p w:rsidR="009F2DFA" w:rsidRPr="00F04CCD" w:rsidRDefault="009F2DFA" w:rsidP="00BF05B0">
                  <w:pPr>
                    <w:jc w:val="center"/>
                    <w:rPr>
                      <w:i/>
                    </w:rPr>
                  </w:pPr>
                </w:p>
              </w:tc>
            </w:tr>
            <w:tr w:rsidR="009F2DFA" w:rsidRPr="00F04CCD" w:rsidTr="00BF05B0">
              <w:tc>
                <w:tcPr>
                  <w:tcW w:w="2993" w:type="dxa"/>
                </w:tcPr>
                <w:p w:rsidR="009F2DFA" w:rsidRPr="00F04CCD" w:rsidRDefault="009F2DFA" w:rsidP="00BF05B0">
                  <w:pPr>
                    <w:rPr>
                      <w:i/>
                    </w:rPr>
                  </w:pPr>
                  <w:r w:rsidRPr="00F04CCD">
                    <w:rPr>
                      <w:i/>
                    </w:rPr>
                    <w:t>Administratívne náklady</w:t>
                  </w:r>
                </w:p>
              </w:tc>
              <w:tc>
                <w:tcPr>
                  <w:tcW w:w="2994" w:type="dxa"/>
                </w:tcPr>
                <w:p w:rsidR="009F2DFA" w:rsidRPr="00F04CCD" w:rsidRDefault="009F2DFA" w:rsidP="00BF05B0">
                  <w:pPr>
                    <w:jc w:val="center"/>
                    <w:rPr>
                      <w:i/>
                    </w:rPr>
                  </w:pPr>
                </w:p>
              </w:tc>
              <w:tc>
                <w:tcPr>
                  <w:tcW w:w="2994" w:type="dxa"/>
                </w:tcPr>
                <w:p w:rsidR="009F2DFA" w:rsidRPr="00F04CCD" w:rsidRDefault="009F2DFA" w:rsidP="00BF05B0">
                  <w:pPr>
                    <w:jc w:val="center"/>
                    <w:rPr>
                      <w:i/>
                    </w:rPr>
                  </w:pPr>
                </w:p>
              </w:tc>
            </w:tr>
            <w:tr w:rsidR="009F2DFA" w:rsidRPr="00F04CCD" w:rsidTr="00BF05B0">
              <w:tc>
                <w:tcPr>
                  <w:tcW w:w="2993" w:type="dxa"/>
                </w:tcPr>
                <w:p w:rsidR="009F2DFA" w:rsidRPr="00F04CCD" w:rsidRDefault="009F2DFA" w:rsidP="00BF05B0">
                  <w:pPr>
                    <w:rPr>
                      <w:b/>
                      <w:i/>
                    </w:rPr>
                  </w:pPr>
                  <w:r w:rsidRPr="00F04CCD">
                    <w:rPr>
                      <w:b/>
                      <w:i/>
                    </w:rPr>
                    <w:t>Celkové náklady regulácie</w:t>
                  </w:r>
                </w:p>
              </w:tc>
              <w:tc>
                <w:tcPr>
                  <w:tcW w:w="2994" w:type="dxa"/>
                </w:tcPr>
                <w:p w:rsidR="009F2DFA" w:rsidRPr="00F04CCD" w:rsidRDefault="009F2DFA" w:rsidP="00BF05B0">
                  <w:pPr>
                    <w:jc w:val="center"/>
                    <w:rPr>
                      <w:b/>
                      <w:i/>
                    </w:rPr>
                  </w:pPr>
                </w:p>
              </w:tc>
              <w:tc>
                <w:tcPr>
                  <w:tcW w:w="2994" w:type="dxa"/>
                </w:tcPr>
                <w:p w:rsidR="009F2DFA" w:rsidRPr="00F04CCD" w:rsidRDefault="009F2DFA" w:rsidP="00BF05B0">
                  <w:pPr>
                    <w:jc w:val="center"/>
                    <w:rPr>
                      <w:b/>
                      <w:i/>
                    </w:rPr>
                  </w:pPr>
                </w:p>
              </w:tc>
            </w:tr>
          </w:tbl>
          <w:p w:rsidR="009F2DFA" w:rsidRPr="00F04CCD" w:rsidRDefault="009F2DFA" w:rsidP="00BF05B0">
            <w:pPr>
              <w:rPr>
                <w:i/>
              </w:rPr>
            </w:pPr>
          </w:p>
        </w:tc>
      </w:tr>
      <w:tr w:rsidR="009F2DFA" w:rsidRPr="00F04CCD" w:rsidTr="00BF05B0">
        <w:tc>
          <w:tcPr>
            <w:tcW w:w="9212" w:type="dxa"/>
            <w:shd w:val="clear" w:color="auto" w:fill="D9D9D9" w:themeFill="background1" w:themeFillShade="D9"/>
          </w:tcPr>
          <w:p w:rsidR="009F2DFA" w:rsidRPr="00042C66" w:rsidRDefault="002B1108" w:rsidP="00BF05B0">
            <w:pPr>
              <w:rPr>
                <w:b/>
                <w:sz w:val="24"/>
              </w:rPr>
            </w:pPr>
            <w:r>
              <w:rPr>
                <w:b/>
                <w:sz w:val="24"/>
              </w:rPr>
              <w:t>3</w:t>
            </w:r>
            <w:r w:rsidR="009F2DFA" w:rsidRPr="00042C66">
              <w:rPr>
                <w:b/>
                <w:sz w:val="24"/>
              </w:rPr>
              <w:t>.4 Konkurencieschopnosť a správanie sa podnikov na trhu</w:t>
            </w:r>
          </w:p>
          <w:p w:rsidR="009F2DFA" w:rsidRPr="00F04CCD" w:rsidRDefault="009F2DFA" w:rsidP="00BF05B0">
            <w:r w:rsidRPr="00042C66">
              <w:rPr>
                <w:b/>
                <w:sz w:val="24"/>
              </w:rPr>
              <w:t xml:space="preserve">       </w:t>
            </w:r>
            <w:r w:rsidRPr="00042C66">
              <w:rPr>
                <w:sz w:val="24"/>
              </w:rPr>
              <w:t xml:space="preserve">- </w:t>
            </w:r>
            <w:r w:rsidRPr="00042C66">
              <w:rPr>
                <w:b/>
                <w:sz w:val="24"/>
              </w:rPr>
              <w:t>z toho MSP</w:t>
            </w:r>
          </w:p>
        </w:tc>
      </w:tr>
      <w:tr w:rsidR="009F2DFA" w:rsidRPr="00F04CCD" w:rsidTr="00BF05B0">
        <w:tc>
          <w:tcPr>
            <w:tcW w:w="9212" w:type="dxa"/>
            <w:tcBorders>
              <w:bottom w:val="single" w:sz="4" w:space="0" w:color="auto"/>
            </w:tcBorders>
          </w:tcPr>
          <w:p w:rsidR="009F2DFA" w:rsidRPr="00F04CCD" w:rsidRDefault="009F2DFA" w:rsidP="00BF05B0">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BF05B0">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BF05B0">
            <w:pPr>
              <w:rPr>
                <w:i/>
              </w:rPr>
            </w:pPr>
            <w:r w:rsidRPr="00F04CCD">
              <w:rPr>
                <w:i/>
              </w:rPr>
              <w:t>Ako ovplyvní cenu alebo dostupnosť základných zdrojov (suroviny, mechanizmy, pracovná sila, energie atď.)?</w:t>
            </w:r>
          </w:p>
          <w:p w:rsidR="009F2DFA" w:rsidRPr="00F04CCD" w:rsidRDefault="009F2DFA" w:rsidP="00BF05B0">
            <w:pPr>
              <w:rPr>
                <w:i/>
              </w:rPr>
            </w:pPr>
            <w:r w:rsidRPr="00F04CCD">
              <w:rPr>
                <w:i/>
              </w:rPr>
              <w:t>Ovplyvňuje prístup k financiám? Ak áno, ako?</w:t>
            </w:r>
          </w:p>
        </w:tc>
      </w:tr>
      <w:tr w:rsidR="009F2DFA" w:rsidRPr="00F04CCD" w:rsidTr="00BF05B0">
        <w:trPr>
          <w:trHeight w:val="1282"/>
        </w:trPr>
        <w:tc>
          <w:tcPr>
            <w:tcW w:w="9212" w:type="dxa"/>
            <w:tcBorders>
              <w:bottom w:val="single" w:sz="4" w:space="0" w:color="auto"/>
            </w:tcBorders>
          </w:tcPr>
          <w:p w:rsidR="009F2DFA" w:rsidRPr="00F04CCD" w:rsidRDefault="00911DB3" w:rsidP="00BF05B0">
            <w:pPr>
              <w:rPr>
                <w:i/>
              </w:rPr>
            </w:pPr>
            <w:r w:rsidRPr="00A12489">
              <w:rPr>
                <w:iCs/>
                <w:color w:val="000000"/>
              </w:rPr>
              <w:t>Návrh nemá vplyv na konkurencieschopnosť a správanie sa podnikov na trhu.</w:t>
            </w:r>
          </w:p>
        </w:tc>
      </w:tr>
      <w:tr w:rsidR="009F2DFA" w:rsidRPr="00F04CCD" w:rsidTr="00BF05B0">
        <w:tc>
          <w:tcPr>
            <w:tcW w:w="9212" w:type="dxa"/>
            <w:shd w:val="clear" w:color="auto" w:fill="D9D9D9" w:themeFill="background1" w:themeFillShade="D9"/>
          </w:tcPr>
          <w:p w:rsidR="009F2DFA" w:rsidRPr="00042C66" w:rsidRDefault="002B1108" w:rsidP="00BF05B0">
            <w:pPr>
              <w:rPr>
                <w:b/>
                <w:sz w:val="24"/>
              </w:rPr>
            </w:pPr>
            <w:r>
              <w:rPr>
                <w:b/>
                <w:sz w:val="24"/>
              </w:rPr>
              <w:t>3</w:t>
            </w:r>
            <w:r w:rsidR="009F2DFA" w:rsidRPr="00042C66">
              <w:rPr>
                <w:b/>
                <w:sz w:val="24"/>
              </w:rPr>
              <w:t xml:space="preserve">.5 Inovácie </w:t>
            </w:r>
          </w:p>
          <w:p w:rsidR="009F2DFA" w:rsidRPr="00F04CCD" w:rsidRDefault="009F2DFA" w:rsidP="00BF05B0">
            <w:pPr>
              <w:rPr>
                <w:b/>
              </w:rPr>
            </w:pPr>
            <w:r w:rsidRPr="00042C66">
              <w:rPr>
                <w:sz w:val="24"/>
              </w:rPr>
              <w:t xml:space="preserve">       - </w:t>
            </w:r>
            <w:r w:rsidRPr="00042C66">
              <w:rPr>
                <w:b/>
                <w:sz w:val="24"/>
              </w:rPr>
              <w:t>z toho MSP</w:t>
            </w:r>
          </w:p>
        </w:tc>
      </w:tr>
      <w:tr w:rsidR="009F2DFA" w:rsidRPr="00F04CCD" w:rsidTr="00BF05B0">
        <w:tc>
          <w:tcPr>
            <w:tcW w:w="9212" w:type="dxa"/>
          </w:tcPr>
          <w:p w:rsidR="009F2DFA" w:rsidRPr="00F04CCD" w:rsidRDefault="009F2DFA" w:rsidP="00BF05B0">
            <w:pPr>
              <w:rPr>
                <w:i/>
              </w:rPr>
            </w:pPr>
            <w:r w:rsidRPr="00F04CCD">
              <w:rPr>
                <w:i/>
              </w:rPr>
              <w:t>Uveďte, ako podporuje navrhovaná zmena inovácie.</w:t>
            </w:r>
          </w:p>
          <w:p w:rsidR="009F2DFA" w:rsidRPr="00F04CCD" w:rsidRDefault="009F2DFA" w:rsidP="00BF05B0">
            <w:pPr>
              <w:rPr>
                <w:i/>
              </w:rPr>
            </w:pPr>
            <w:r w:rsidRPr="00F04CCD">
              <w:rPr>
                <w:i/>
              </w:rPr>
              <w:t>Zjednodušuje uvedenie alebo rozšírenie nových výrobných metód, technológií a výrobkov na trh?</w:t>
            </w:r>
          </w:p>
          <w:p w:rsidR="009F2DFA" w:rsidRPr="00F04CCD" w:rsidRDefault="009F2DFA" w:rsidP="00BF05B0">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BF05B0">
            <w:pPr>
              <w:rPr>
                <w:i/>
              </w:rPr>
            </w:pPr>
            <w:r w:rsidRPr="00F04CCD">
              <w:rPr>
                <w:i/>
              </w:rPr>
              <w:t>Podporuje vyššiu efektivitu výroby/využívania zdrojov? Ak áno, ako?</w:t>
            </w:r>
          </w:p>
          <w:p w:rsidR="00837639" w:rsidRPr="00F04CCD" w:rsidRDefault="00837639" w:rsidP="00BF05B0">
            <w:r w:rsidRPr="00154881">
              <w:rPr>
                <w:i/>
              </w:rPr>
              <w:t>Vytvorí zmena nové pracovné miesta pre zamestnancov výskumu a vývoja v</w:t>
            </w:r>
            <w:r>
              <w:rPr>
                <w:i/>
              </w:rPr>
              <w:t> </w:t>
            </w:r>
            <w:r w:rsidRPr="00154881">
              <w:rPr>
                <w:i/>
              </w:rPr>
              <w:t>SR</w:t>
            </w:r>
            <w:r>
              <w:rPr>
                <w:i/>
              </w:rPr>
              <w:t>?</w:t>
            </w:r>
          </w:p>
        </w:tc>
      </w:tr>
      <w:tr w:rsidR="009F2DFA" w:rsidRPr="00F04CCD" w:rsidTr="00BF05B0">
        <w:trPr>
          <w:trHeight w:val="1747"/>
        </w:trPr>
        <w:tc>
          <w:tcPr>
            <w:tcW w:w="9212" w:type="dxa"/>
          </w:tcPr>
          <w:p w:rsidR="009F2DFA" w:rsidRPr="00F04CCD" w:rsidRDefault="00911DB3" w:rsidP="00BF05B0">
            <w:pPr>
              <w:rPr>
                <w:i/>
              </w:rPr>
            </w:pPr>
            <w:r w:rsidRPr="00A12489">
              <w:rPr>
                <w:iCs/>
                <w:color w:val="000000"/>
              </w:rPr>
              <w:t>Návrh nemá vplyv na inovácie.</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10"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ED5B4E" w:rsidP="009F2DFA">
      <w:pPr>
        <w:pStyle w:val="BodyText1"/>
      </w:pPr>
      <w:r>
        <w:rPr>
          <w:noProof/>
          <w:lang w:eastAsia="sk-SK"/>
        </w:rPr>
        <w:lastRenderedPageBreak/>
        <mc:AlternateContent>
          <mc:Choice Requires="wpg">
            <w:drawing>
              <wp:inline distT="0" distB="0" distL="0" distR="0">
                <wp:extent cx="4348480" cy="2541270"/>
                <wp:effectExtent l="4445" t="4445"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2541270"/>
                          <a:chOff x="0" y="-322"/>
                          <a:chExt cx="74036" cy="24690"/>
                        </a:xfrm>
                      </wpg:grpSpPr>
                      <wps:wsp>
                        <wps:cNvPr id="3" name="Rectangle 14"/>
                        <wps:cNvSpPr>
                          <a:spLocks noChangeArrowheads="1"/>
                        </wps:cNvSpPr>
                        <wps:spPr bwMode="auto">
                          <a:xfrm>
                            <a:off x="0" y="8428"/>
                            <a:ext cx="20034" cy="7105"/>
                          </a:xfrm>
                          <a:prstGeom prst="rect">
                            <a:avLst/>
                          </a:prstGeom>
                          <a:solidFill>
                            <a:srgbClr val="00A0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rot="0" vert="horz" wrap="square" lIns="36000" tIns="36000" rIns="36000" bIns="36000" anchor="ctr" anchorCtr="0" upright="1">
                          <a:noAutofit/>
                        </wps:bodyPr>
                      </wps:wsp>
                      <wps:wsp>
                        <wps:cNvPr id="4" name="Rectangle 16"/>
                        <wps:cNvSpPr>
                          <a:spLocks noChangeArrowheads="1"/>
                        </wps:cNvSpPr>
                        <wps:spPr bwMode="auto">
                          <a:xfrm>
                            <a:off x="24689" y="981"/>
                            <a:ext cx="18372" cy="4574"/>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rot="0" vert="horz" wrap="square" lIns="36000" tIns="36000" rIns="36000" bIns="36000" anchor="ctr" anchorCtr="0" upright="1">
                          <a:noAutofit/>
                        </wps:bodyPr>
                      </wps:wsp>
                      <wps:wsp>
                        <wps:cNvPr id="5" name="Rectangle 21"/>
                        <wps:cNvSpPr>
                          <a:spLocks noChangeArrowheads="1"/>
                        </wps:cNvSpPr>
                        <wps:spPr bwMode="auto">
                          <a:xfrm>
                            <a:off x="24689" y="9693"/>
                            <a:ext cx="18372" cy="4574"/>
                          </a:xfrm>
                          <a:prstGeom prst="rect">
                            <a:avLst/>
                          </a:prstGeom>
                          <a:solidFill>
                            <a:srgbClr val="00A0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rot="0" vert="horz" wrap="square" lIns="36000" tIns="36000" rIns="36000" bIns="36000" anchor="ctr" anchorCtr="0" upright="1">
                          <a:noAutofit/>
                        </wps:bodyPr>
                      </wps:wsp>
                      <wps:wsp>
                        <wps:cNvPr id="6" name="Rectangle 23"/>
                        <wps:cNvSpPr>
                          <a:spLocks noChangeArrowheads="1"/>
                        </wps:cNvSpPr>
                        <wps:spPr bwMode="auto">
                          <a:xfrm>
                            <a:off x="24689" y="18731"/>
                            <a:ext cx="18372" cy="4574"/>
                          </a:xfrm>
                          <a:prstGeom prst="rect">
                            <a:avLst/>
                          </a:prstGeom>
                          <a:solidFill>
                            <a:srgbClr val="00A0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rot="0" vert="horz" wrap="square" lIns="36000" tIns="36000" rIns="36000" bIns="36000" anchor="ctr" anchorCtr="0" upright="1">
                          <a:noAutofit/>
                        </wps:bodyPr>
                      </wps:wsp>
                      <wps:wsp>
                        <wps:cNvPr id="7" name="Elbow Connector 24"/>
                        <wps:cNvCnPr>
                          <a:cxnSpLocks noChangeShapeType="1"/>
                        </wps:cNvCnPr>
                        <wps:spPr bwMode="auto">
                          <a:xfrm>
                            <a:off x="20034" y="11980"/>
                            <a:ext cx="4655" cy="9038"/>
                          </a:xfrm>
                          <a:prstGeom prst="bentConnector3">
                            <a:avLst>
                              <a:gd name="adj1" fmla="val 50000"/>
                            </a:avLst>
                          </a:prstGeom>
                          <a:noFill/>
                          <a:ln w="9525">
                            <a:solidFill>
                              <a:srgbClr val="000066"/>
                            </a:solidFill>
                            <a:round/>
                            <a:headEnd/>
                            <a:tailEnd type="arrow" w="med" len="med"/>
                          </a:ln>
                          <a:extLst>
                            <a:ext uri="{909E8E84-426E-40DD-AFC4-6F175D3DCCD1}">
                              <a14:hiddenFill xmlns:a14="http://schemas.microsoft.com/office/drawing/2010/main">
                                <a:noFill/>
                              </a14:hiddenFill>
                            </a:ext>
                          </a:extLst>
                        </wps:spPr>
                        <wps:bodyPr/>
                      </wps:wsp>
                      <wps:wsp>
                        <wps:cNvPr id="8" name="Elbow Connector 25"/>
                        <wps:cNvCnPr>
                          <a:cxnSpLocks noChangeShapeType="1"/>
                        </wps:cNvCnPr>
                        <wps:spPr bwMode="auto">
                          <a:xfrm flipV="1">
                            <a:off x="20034" y="11980"/>
                            <a:ext cx="4655" cy="0"/>
                          </a:xfrm>
                          <a:prstGeom prst="bentConnector3">
                            <a:avLst>
                              <a:gd name="adj1" fmla="val 50000"/>
                            </a:avLst>
                          </a:prstGeom>
                          <a:noFill/>
                          <a:ln w="9525">
                            <a:solidFill>
                              <a:srgbClr val="000066"/>
                            </a:solidFill>
                            <a:round/>
                            <a:headEnd/>
                            <a:tailEnd type="arrow" w="med" len="med"/>
                          </a:ln>
                          <a:extLst>
                            <a:ext uri="{909E8E84-426E-40DD-AFC4-6F175D3DCCD1}">
                              <a14:hiddenFill xmlns:a14="http://schemas.microsoft.com/office/drawing/2010/main">
                                <a:noFill/>
                              </a14:hiddenFill>
                            </a:ext>
                          </a:extLst>
                        </wps:spPr>
                        <wps:bodyPr/>
                      </wps:wsp>
                      <wps:wsp>
                        <wps:cNvPr id="9" name="Elbow Connector 26"/>
                        <wps:cNvCnPr>
                          <a:cxnSpLocks noChangeShapeType="1"/>
                        </wps:cNvCnPr>
                        <wps:spPr bwMode="auto">
                          <a:xfrm flipV="1">
                            <a:off x="20034" y="3268"/>
                            <a:ext cx="4655" cy="8712"/>
                          </a:xfrm>
                          <a:prstGeom prst="bentConnector3">
                            <a:avLst>
                              <a:gd name="adj1" fmla="val 50000"/>
                            </a:avLst>
                          </a:prstGeom>
                          <a:noFill/>
                          <a:ln w="9525">
                            <a:solidFill>
                              <a:srgbClr val="000066"/>
                            </a:solidFill>
                            <a:round/>
                            <a:headEnd/>
                            <a:tailEnd type="arrow" w="med" len="med"/>
                          </a:ln>
                          <a:extLst>
                            <a:ext uri="{909E8E84-426E-40DD-AFC4-6F175D3DCCD1}">
                              <a14:hiddenFill xmlns:a14="http://schemas.microsoft.com/office/drawing/2010/main">
                                <a:noFill/>
                              </a14:hiddenFill>
                            </a:ext>
                          </a:extLst>
                        </wps:spPr>
                        <wps:bodyPr/>
                      </wps:wsp>
                      <wps:wsp>
                        <wps:cNvPr id="10" name="Rectangle 27"/>
                        <wps:cNvSpPr>
                          <a:spLocks noChangeArrowheads="1"/>
                        </wps:cNvSpPr>
                        <wps:spPr bwMode="auto">
                          <a:xfrm>
                            <a:off x="44775" y="16806"/>
                            <a:ext cx="29261" cy="7561"/>
                          </a:xfrm>
                          <a:prstGeom prst="rect">
                            <a:avLst/>
                          </a:prstGeom>
                          <a:solidFill>
                            <a:srgbClr val="00A0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rot="0" vert="horz" wrap="square" lIns="36000" tIns="36000" rIns="36000" bIns="36000" anchor="ctr" anchorCtr="0" upright="1">
                          <a:noAutofit/>
                        </wps:bodyPr>
                      </wps:wsp>
                      <wps:wsp>
                        <wps:cNvPr id="12" name="Rectangle 28"/>
                        <wps:cNvSpPr>
                          <a:spLocks noChangeArrowheads="1"/>
                        </wps:cNvSpPr>
                        <wps:spPr bwMode="auto">
                          <a:xfrm>
                            <a:off x="44769" y="8200"/>
                            <a:ext cx="29254" cy="7561"/>
                          </a:xfrm>
                          <a:prstGeom prst="rect">
                            <a:avLst/>
                          </a:prstGeom>
                          <a:solidFill>
                            <a:srgbClr val="00A0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rot="0" vert="horz" wrap="square" lIns="36000" tIns="36000" rIns="36000" bIns="36000" anchor="ctr" anchorCtr="0" upright="1">
                          <a:noAutofit/>
                        </wps:bodyPr>
                      </wps:wsp>
                      <wps:wsp>
                        <wps:cNvPr id="14" name="Rectangle 29"/>
                        <wps:cNvSpPr>
                          <a:spLocks noChangeArrowheads="1"/>
                        </wps:cNvSpPr>
                        <wps:spPr bwMode="auto">
                          <a:xfrm>
                            <a:off x="44775" y="-322"/>
                            <a:ext cx="29254" cy="7560"/>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rot="0" vert="horz" wrap="square" lIns="36000" tIns="36000" rIns="36000" bIns="36000" anchor="ctr" anchorCtr="0" upright="1">
                          <a:noAutofit/>
                        </wps:bodyPr>
                      </wps:wsp>
                    </wpg:wgp>
                  </a:graphicData>
                </a:graphic>
              </wp:inline>
            </w:drawing>
          </mc:Choice>
          <mc:Fallback>
            <w:pict>
              <v:group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ff8UA&#10;AADaAAAADwAAAGRycy9kb3ducmV2LnhtbESPT2vCQBTE70K/w/IK3nRTC6lGV0mFlkLwEO0fj4/s&#10;Mwlm34bsatJv3y0IHoeZ+Q2z2gymEVfqXG1ZwdM0AkFcWF1zqeDz8DaZg3AeWWNjmRT8koPN+mG0&#10;wkTbnnO67n0pAoRdggoq79tESldUZNBNbUscvJPtDPogu1LqDvsAN42cRVEsDdYcFipsaVtRcd5f&#10;jIKfnXs9vmTv2Xf+tUh3x8U5LeJIqfHjkC5BeBr8PXxrf2gFz/B/Jd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d9/xQAAANoAAAAPAAAAAAAAAAAAAAAAAJgCAABkcnMv&#10;ZG93bnJldi54bWxQSwUGAAAAAAQABAD1AAAAigMAAAAA&#10;" fillcolor="#00a0de"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THcMA&#10;AADaAAAADwAAAGRycy9kb3ducmV2LnhtbESP3WrCQBSE7wXfYTmF3ohu/C+pq4ilKBQEo9DbQ/Y0&#10;Cc2ejdltEt/eFYReDjPzDbPadKYUDdWusKxgPIpAEKdWF5wpuJw/h28gnEfWWFomBTdysFn3eyuM&#10;tW35RE3iMxEg7GJUkHtfxVK6NCeDbmQr4uD92NqgD7LOpK6xDXBTykkULaTBgsNCjhXtckp/kz+j&#10;4Jj4xeBjclxOr9f2qzG0/7ZzVur1pdu+g/DU+f/ws33QCm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fTHcMAAADaAAAADwAAAAAAAAAAAAAAAACYAgAAZHJzL2Rv&#10;d25yZXYueG1sUEsFBgAAAAAEAAQA9QAAAIgDAAAAAA==&#10;" fillcolor="#81bc00"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ikMUA&#10;AADaAAAADwAAAGRycy9kb3ducmV2LnhtbESPT2vCQBTE70K/w/IK3nRToalGV0mFlkLwEO0fj4/s&#10;Mwlm34bsatJv3y0IHoeZ+Q2z2gymEVfqXG1ZwdM0AkFcWF1zqeDz8DaZg3AeWWNjmRT8koPN+mG0&#10;wkTbnnO67n0pAoRdggoq79tESldUZNBNbUscvJPtDPogu1LqDvsAN42cRVEsDdYcFipsaVtRcd5f&#10;jIKfnXs9vmTv2Xf+tUh3x8U5LeJIqfHjkC5BeBr8PXxrf2gFz/B/Jd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OKQxQAAANoAAAAPAAAAAAAAAAAAAAAAAJgCAABkcnMv&#10;ZG93bnJldi54bWxQSwUGAAAAAAQABAD1AAAAigMAAAAA&#10;" fillcolor="#00a0de"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858MA&#10;AADaAAAADwAAAGRycy9kb3ducmV2LnhtbESPT4vCMBTE7wt+h/AEb2vqHupajVKFlQXx4H+Pj+bZ&#10;FpuX0mS1fnsjLHgcZuY3zGTWmkrcqHGlZQWDfgSCOLO65FzBfvfz+Q3CeWSNlWVS8CAHs2nnY4KJ&#10;tnfe0G3rcxEg7BJUUHhfJ1K6rCCDrm9r4uBdbGPQB9nkUjd4D3BTya8oiqXBksNCgTUtCsqu2z+j&#10;4LR28/NwtVwdN4dRuj6PrmkWR0r1um06BuGp9e/wf/tXK4jhdSXc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p858MAAADaAAAADwAAAAAAAAAAAAAAAACYAgAAZHJzL2Rv&#10;d25yZXYueG1sUEsFBgAAAAAEAAQA9QAAAIgDAAAAAA==&#10;" fillcolor="#00a0de"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ka74AAADaAAAADwAAAGRycy9kb3ducmV2LnhtbESPzQrCMBCE74LvEFbwpqkeVKpRRBC8&#10;KPhz6W1p1rbYbEoT2+rTG0HwOMzMN8xq05lSNFS7wrKCyTgCQZxaXXCm4HbdjxYgnEfWWFomBS9y&#10;sFn3eyuMtW35TM3FZyJA2MWoIPe+iqV0aU4G3dhWxMG729qgD7LOpK6xDXBTymkUzaTBgsNCjhXt&#10;ckofl6dR0ESYVG1znJ3MFV/J221TZ1qlhoNuuwThqfP/8K990Arm8L0SboB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TuRrvgAAANoAAAAPAAAAAAAAAAAAAAAAAKEC&#10;AABkcnMvZG93bnJldi54bWxQSwUGAAAAAAQABAD5AAAAjAM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Zs8AAAADaAAAADwAAAGRycy9kb3ducmV2LnhtbERPzYrCMBC+C/sOYQRvmtqD7lajuC4L&#10;4kXq+gBDM7bFZtI2sbY+vTkIe/z4/tfb3lSio9aVlhXMZxEI4szqknMFl7/f6ScI55E1VpZJwUAO&#10;tpuP0RoTbR+cUnf2uQgh7BJUUHhfJ1K6rCCDbmZr4sBdbWvQB9jmUrf4COGmknEULaTBkkNDgTXt&#10;C8pu57tRcPpKm++fQ7dLm+d8ecHj0MTxoNRk3O9WIDz1/l/8dh+0grA1XAk3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A2bPAAAAA2gAAAA8AAAAAAAAAAAAAAAAA&#10;oQIAAGRycy9kb3ducmV2LnhtbFBLBQYAAAAABAAEAPkAAACOAw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x8KMQAAADaAAAADwAAAGRycy9kb3ducmV2LnhtbESP3WrCQBSE7wu+w3IE7+rGXNiauoo/&#10;COJNifUBDtljEsyeTbJrTHx6t1Do5TAz3zDLdW8q0VHrSssKZtMIBHFmdcm5gsvP4f0ThPPIGivL&#10;pGAgB+vV6G2JibYPTqk7+1wECLsEFRTe14mULivIoJvamjh4V9sa9EG2udQtPgLcVDKOork0WHJY&#10;KLCmXUHZ7Xw3Cr4XabPdH7tN2jxnHxc8DU0cD0pNxv3mC4Sn3v+H/9pHrWABv1fCD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HwoxAAAANoAAAAPAAAAAAAAAAAA&#10;AAAAAKECAABkcnMvZG93bnJldi54bWxQSwUGAAAAAAQABAD5AAAAkgM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TWcUA&#10;AADbAAAADwAAAGRycy9kb3ducmV2LnhtbESPT2vCQBDF74LfYZlCb7ppD1pTV4kFRRAPWv8dh+w0&#10;CWZnQ3ar8ds7h0JvM7w37/1mOu9crW7UhsqzgbdhAoo497biwsDhezn4ABUissXaMxl4UID5rN+b&#10;Ymr9nXd028dCSQiHFA2UMTap1iEvyWEY+oZYtB/fOoyytoW2Ld4l3NX6PUlG2mHF0lBiQ18l5df9&#10;rzNw3obFZbxZbU674yTbXibXLB8lxry+dNknqEhd/Df/Xa+t4Au9/CID6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RNZxQAAANsAAAAPAAAAAAAAAAAAAAAAAJgCAABkcnMv&#10;ZG93bnJldi54bWxQSwUGAAAAAAQABAD1AAAAigMAAAAA&#10;" fillcolor="#00a0de"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otcQA&#10;AADbAAAADwAAAGRycy9kb3ducmV2LnhtbERPS2vCQBC+C/6HZQq9mU1zSJvUVWKhRRAPah85Dtlp&#10;EszOhuyq6b93hYK3+fieM1+OphNnGlxrWcFTFIMgrqxuuVbweXifvYBwHlljZ5kU/JGD5WI6mWOu&#10;7YV3dN77WoQQdjkqaLzvcyld1ZBBF9meOHC/djDoAxxqqQe8hHDTySSOU2mw5dDQYE9vDVXH/cko&#10;+Nm6Vfm8+dh8776yYltmx6JKY6UeH8biFYSn0d/F/+61DvMTuP0SD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KLXEAAAA2wAAAA8AAAAAAAAAAAAAAAAAmAIAAGRycy9k&#10;b3ducmV2LnhtbFBLBQYAAAAABAAEAPUAAACJAwAAAAA=&#10;" fillcolor="#00a0de"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m1cMA&#10;AADbAAAADwAAAGRycy9kb3ducmV2LnhtbERPTWvCQBC9F/wPywheSt1oq5WYjZSKtCAIpgWvQ3ZM&#10;gtnZmF2T9N93CwVv83ifk2wGU4uOWldZVjCbRiCIc6srLhR8f+2eViCcR9ZYWyYFP+Rgk44eEoy1&#10;7flIXeYLEULYxaig9L6JpXR5SQbd1DbEgTvb1qAPsC2kbrEP4aaW8yhaSoMVh4YSG3ovKb9kN6Pg&#10;kPnl43Z+eH2+Xvt9Z+jjZBes1GQ8vK1BeBr8Xfzv/tRh/g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Rm1cMAAADbAAAADwAAAAAAAAAAAAAAAACYAgAAZHJzL2Rv&#10;d25yZXYueG1sUEsFBgAAAAAEAAQA9QAAAIgDAAAAAA==&#10;" fillcolor="#81bc00" stroked="f">
                  <v:textbox inset="1mm,1mm,1mm,1mm">
                    <w:txbxContent>
                      <w:p w:rsidR="00B61664" w:rsidRPr="00042C66" w:rsidRDefault="00B616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BF05B0">
        <w:trPr>
          <w:trHeight w:val="170"/>
        </w:trPr>
        <w:tc>
          <w:tcPr>
            <w:tcW w:w="2040" w:type="pct"/>
            <w:shd w:val="clear" w:color="auto" w:fill="92D400"/>
            <w:vAlign w:val="center"/>
            <w:hideMark/>
          </w:tcPr>
          <w:p w:rsidR="009F2DFA" w:rsidRPr="00074919" w:rsidRDefault="009F2DFA" w:rsidP="00BF05B0">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BF05B0">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BF05B0">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BF05B0">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BF05B0">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BF05B0">
        <w:trPr>
          <w:trHeight w:val="170"/>
        </w:trPr>
        <w:tc>
          <w:tcPr>
            <w:tcW w:w="2040" w:type="pct"/>
            <w:tcBorders>
              <w:top w:val="nil"/>
              <w:left w:val="nil"/>
              <w:bottom w:val="single" w:sz="4" w:space="0" w:color="92D400"/>
              <w:right w:val="nil"/>
            </w:tcBorders>
            <w:vAlign w:val="center"/>
            <w:hideMark/>
          </w:tcPr>
          <w:p w:rsidR="009F2DFA" w:rsidRPr="00042C66" w:rsidRDefault="009F2DFA" w:rsidP="00BF05B0">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BF05B0">
            <w:pPr>
              <w:jc w:val="center"/>
              <w:rPr>
                <w:b/>
                <w:sz w:val="16"/>
                <w:szCs w:val="16"/>
              </w:rPr>
            </w:pPr>
            <w:r>
              <w:rPr>
                <w:b/>
                <w:sz w:val="16"/>
                <w:szCs w:val="16"/>
              </w:rPr>
              <w:t xml:space="preserve">  </w:t>
            </w:r>
            <w:r w:rsidRPr="00042C66">
              <w:rPr>
                <w:b/>
                <w:sz w:val="16"/>
                <w:szCs w:val="16"/>
              </w:rPr>
              <w:t>60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sidRPr="00042C66">
              <w:rPr>
                <w:b/>
                <w:sz w:val="16"/>
                <w:szCs w:val="16"/>
              </w:rPr>
              <w:t>300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sidRPr="00042C66">
              <w:rPr>
                <w:b/>
                <w:sz w:val="16"/>
                <w:szCs w:val="16"/>
              </w:rPr>
              <w:t>460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Pr>
                <w:b/>
                <w:sz w:val="16"/>
                <w:szCs w:val="16"/>
              </w:rPr>
              <w:t xml:space="preserve">  </w:t>
            </w:r>
            <w:r w:rsidRPr="00042C66">
              <w:rPr>
                <w:b/>
                <w:sz w:val="16"/>
                <w:szCs w:val="16"/>
              </w:rPr>
              <w:t>60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sidRPr="00042C66">
              <w:rPr>
                <w:b/>
                <w:sz w:val="16"/>
                <w:szCs w:val="16"/>
              </w:rPr>
              <w:t>220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sidRPr="00042C66">
              <w:rPr>
                <w:b/>
                <w:sz w:val="16"/>
                <w:szCs w:val="16"/>
              </w:rPr>
              <w:t>100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Pr>
                <w:b/>
                <w:sz w:val="16"/>
                <w:szCs w:val="16"/>
              </w:rPr>
              <w:t xml:space="preserve">  </w:t>
            </w:r>
            <w:r w:rsidRPr="00042C66">
              <w:rPr>
                <w:b/>
                <w:sz w:val="16"/>
                <w:szCs w:val="16"/>
              </w:rPr>
              <w:t>30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Pr>
                <w:b/>
                <w:sz w:val="16"/>
                <w:szCs w:val="16"/>
              </w:rPr>
              <w:t xml:space="preserve">  </w:t>
            </w:r>
            <w:r w:rsidRPr="00042C66">
              <w:rPr>
                <w:b/>
                <w:sz w:val="16"/>
                <w:szCs w:val="16"/>
              </w:rPr>
              <w:t>50 min.</w:t>
            </w:r>
          </w:p>
        </w:tc>
      </w:tr>
      <w:tr w:rsidR="009F2DFA" w:rsidRPr="00042C66" w:rsidTr="00BF05B0">
        <w:trPr>
          <w:trHeight w:val="170"/>
        </w:trPr>
        <w:tc>
          <w:tcPr>
            <w:tcW w:w="2040" w:type="pct"/>
            <w:tcBorders>
              <w:top w:val="nil"/>
              <w:left w:val="nil"/>
              <w:bottom w:val="single" w:sz="4" w:space="0" w:color="92D400"/>
              <w:right w:val="nil"/>
            </w:tcBorders>
            <w:vAlign w:val="center"/>
          </w:tcPr>
          <w:p w:rsidR="009F2DFA" w:rsidRPr="00042C66" w:rsidRDefault="009F2DFA" w:rsidP="00BF05B0">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BF05B0">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BF05B0">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BF05B0">
            <w:pPr>
              <w:jc w:val="center"/>
              <w:rPr>
                <w:b/>
                <w:sz w:val="16"/>
                <w:szCs w:val="16"/>
              </w:rPr>
            </w:pPr>
            <w:r w:rsidRPr="00042C66">
              <w:rPr>
                <w:b/>
                <w:sz w:val="16"/>
                <w:szCs w:val="16"/>
              </w:rPr>
              <w:t>650 min.</w:t>
            </w:r>
          </w:p>
        </w:tc>
      </w:tr>
      <w:tr w:rsidR="009F2DFA" w:rsidRPr="00042C66" w:rsidTr="00BF05B0">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BF05B0">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BF05B0">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BF05B0">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BF05B0">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BF05B0">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BF05B0">
        <w:trPr>
          <w:trHeight w:val="288"/>
        </w:trPr>
        <w:tc>
          <w:tcPr>
            <w:tcW w:w="895" w:type="pct"/>
            <w:shd w:val="clear" w:color="auto" w:fill="92D400"/>
            <w:vAlign w:val="center"/>
            <w:hideMark/>
          </w:tcPr>
          <w:p w:rsidR="009F2DFA" w:rsidRPr="00042C66" w:rsidRDefault="009F2DFA" w:rsidP="00BF05B0">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BF05B0">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BF05B0">
        <w:trPr>
          <w:trHeight w:val="288"/>
        </w:trPr>
        <w:tc>
          <w:tcPr>
            <w:tcW w:w="895" w:type="pct"/>
            <w:tcBorders>
              <w:top w:val="nil"/>
              <w:left w:val="nil"/>
              <w:bottom w:val="single" w:sz="4" w:space="0" w:color="92D400"/>
              <w:right w:val="nil"/>
            </w:tcBorders>
            <w:vAlign w:val="center"/>
            <w:hideMark/>
          </w:tcPr>
          <w:p w:rsidR="009F2DFA" w:rsidRPr="00042C66" w:rsidRDefault="009F2DFA" w:rsidP="00BF05B0">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BF05B0">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BF05B0">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BF05B0">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BF05B0">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BF05B0">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BF05B0">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BF05B0">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BF05B0">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BF05B0">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BF05B0">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BF05B0">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BF05B0">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BF05B0">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BF05B0">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BF05B0">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ED5B4E"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ĺžnik 26" o:spid="_x0000_s1026" style="position:absolute;margin-left:147.4pt;margin-top:51.25pt;width:12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" fillcolor="#19a2ff" strokecolor="#19a2ff" strokeweight="2pt">
                <v:path arrowok="t"/>
              </v:rec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ĺžnik 25" o:spid="_x0000_s1026" style="position:absolute;margin-left:147.4pt;margin-top:7.75pt;width:1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" fillcolor="#19a2ff" strokecolor="#19a2ff" strokeweight="2pt">
                <v:path arrowok="t"/>
              </v:rect>
            </w:pict>
          </mc:Fallback>
        </mc:AlternateContent>
      </w:r>
      <w:r w:rsidR="009F2DFA" w:rsidRPr="00042C66">
        <w:rPr>
          <w:rFonts w:ascii="Times New Roman" w:hAnsi="Times New Roman"/>
          <w:noProof/>
          <w:lang w:eastAsia="sk-SK"/>
        </w:rPr>
        <w:drawing>
          <wp:inline distT="0" distB="0" distL="0" distR="0">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ED5B4E"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simplePos x="0" y="0"/>
                <wp:positionH relativeFrom="column">
                  <wp:posOffset>3195955</wp:posOffset>
                </wp:positionH>
                <wp:positionV relativeFrom="paragraph">
                  <wp:posOffset>123825</wp:posOffset>
                </wp:positionV>
                <wp:extent cx="123825" cy="85725"/>
                <wp:effectExtent l="0" t="0" r="28575" b="28575"/>
                <wp:wrapNone/>
                <wp:docPr id="27" name="Obdĺžni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" fillcolor="#7cbf33" strokecolor="#7cbf33" strokeweight="2pt">
                <v:path arrowok="t"/>
              </v:rect>
            </w:pict>
          </mc:Fallback>
        </mc:AlternateContent>
      </w:r>
      <w:r w:rsidR="009F2DFA" w:rsidRPr="00042C66">
        <w:rPr>
          <w:rFonts w:ascii="Times New Roman" w:hAnsi="Times New Roman"/>
          <w:noProof/>
          <w:lang w:eastAsia="sk-SK"/>
        </w:rPr>
        <w:drawing>
          <wp:inline distT="0" distB="0" distL="0" distR="0">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rsidSect="002302D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64" w:rsidRDefault="00B61664" w:rsidP="009F2DFA">
      <w:r>
        <w:separator/>
      </w:r>
    </w:p>
  </w:endnote>
  <w:endnote w:type="continuationSeparator" w:id="0">
    <w:p w:rsidR="00B61664" w:rsidRDefault="00B61664"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B61664" w:rsidRDefault="00B61664">
        <w:pPr>
          <w:pStyle w:val="Pta"/>
          <w:jc w:val="right"/>
        </w:pPr>
        <w:r>
          <w:fldChar w:fldCharType="begin"/>
        </w:r>
        <w:r>
          <w:instrText>PAGE   \* MERGEFORMAT</w:instrText>
        </w:r>
        <w:r>
          <w:fldChar w:fldCharType="separate"/>
        </w:r>
        <w:r w:rsidR="00693294">
          <w:rPr>
            <w:noProof/>
          </w:rPr>
          <w:t>3</w:t>
        </w:r>
        <w:r>
          <w:rPr>
            <w:noProof/>
          </w:rPr>
          <w:fldChar w:fldCharType="end"/>
        </w:r>
      </w:p>
    </w:sdtContent>
  </w:sdt>
  <w:p w:rsidR="00B61664" w:rsidRDefault="00B616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64" w:rsidRDefault="00B61664" w:rsidP="009F2DFA">
      <w:r>
        <w:separator/>
      </w:r>
    </w:p>
  </w:footnote>
  <w:footnote w:type="continuationSeparator" w:id="0">
    <w:p w:rsidR="00B61664" w:rsidRDefault="00B61664"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64" w:rsidRDefault="00B61664" w:rsidP="009F2DFA">
    <w:pPr>
      <w:pStyle w:val="Hlavika"/>
      <w:jc w:val="right"/>
      <w:rPr>
        <w:sz w:val="24"/>
        <w:szCs w:val="24"/>
      </w:rPr>
    </w:pPr>
    <w:r w:rsidRPr="000A15AE">
      <w:rPr>
        <w:sz w:val="24"/>
        <w:szCs w:val="24"/>
      </w:rPr>
      <w:t>Príloha č</w:t>
    </w:r>
    <w:r>
      <w:rPr>
        <w:sz w:val="24"/>
        <w:szCs w:val="24"/>
      </w:rPr>
      <w:t>. 3</w:t>
    </w:r>
  </w:p>
  <w:p w:rsidR="00B61664" w:rsidRDefault="00B6166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AA551C7"/>
    <w:multiLevelType w:val="hybridMultilevel"/>
    <w:tmpl w:val="30B06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00243"/>
    <w:multiLevelType w:val="hybridMultilevel"/>
    <w:tmpl w:val="E7FC6652"/>
    <w:lvl w:ilvl="0" w:tplc="6DBAF042">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7"/>
  </w:num>
  <w:num w:numId="7">
    <w:abstractNumId w:val="13"/>
  </w:num>
  <w:num w:numId="8">
    <w:abstractNumId w:val="3"/>
  </w:num>
  <w:num w:numId="9">
    <w:abstractNumId w:val="0"/>
  </w:num>
  <w:num w:numId="10">
    <w:abstractNumId w:val="14"/>
  </w:num>
  <w:num w:numId="11">
    <w:abstractNumId w:val="8"/>
  </w:num>
  <w:num w:numId="12">
    <w:abstractNumId w:val="4"/>
  </w:num>
  <w:num w:numId="13">
    <w:abstractNumId w:val="1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53D59"/>
    <w:rsid w:val="000E6D69"/>
    <w:rsid w:val="001523EF"/>
    <w:rsid w:val="00154881"/>
    <w:rsid w:val="0016467B"/>
    <w:rsid w:val="00192686"/>
    <w:rsid w:val="001B68E2"/>
    <w:rsid w:val="001F05E7"/>
    <w:rsid w:val="00227ADE"/>
    <w:rsid w:val="002302D1"/>
    <w:rsid w:val="002662F3"/>
    <w:rsid w:val="002937DE"/>
    <w:rsid w:val="002B1108"/>
    <w:rsid w:val="002B13B2"/>
    <w:rsid w:val="002E0313"/>
    <w:rsid w:val="00363D76"/>
    <w:rsid w:val="00372198"/>
    <w:rsid w:val="003A18D4"/>
    <w:rsid w:val="003C3A7C"/>
    <w:rsid w:val="003E22C3"/>
    <w:rsid w:val="00467BAF"/>
    <w:rsid w:val="004B70D1"/>
    <w:rsid w:val="005175A2"/>
    <w:rsid w:val="0052297F"/>
    <w:rsid w:val="00523DC9"/>
    <w:rsid w:val="00560E76"/>
    <w:rsid w:val="005D2F9B"/>
    <w:rsid w:val="006738F3"/>
    <w:rsid w:val="00693294"/>
    <w:rsid w:val="006A54CB"/>
    <w:rsid w:val="00724F31"/>
    <w:rsid w:val="007444A2"/>
    <w:rsid w:val="007658DF"/>
    <w:rsid w:val="00780BA6"/>
    <w:rsid w:val="007933DC"/>
    <w:rsid w:val="007B7DEC"/>
    <w:rsid w:val="00837639"/>
    <w:rsid w:val="00874EAA"/>
    <w:rsid w:val="008A1252"/>
    <w:rsid w:val="008E1485"/>
    <w:rsid w:val="008F4456"/>
    <w:rsid w:val="00904C9B"/>
    <w:rsid w:val="00911DB3"/>
    <w:rsid w:val="00935519"/>
    <w:rsid w:val="009555B8"/>
    <w:rsid w:val="00991DD3"/>
    <w:rsid w:val="009931BC"/>
    <w:rsid w:val="009E26E2"/>
    <w:rsid w:val="009F1564"/>
    <w:rsid w:val="009F2DFA"/>
    <w:rsid w:val="00A217E1"/>
    <w:rsid w:val="00A3639B"/>
    <w:rsid w:val="00A607AF"/>
    <w:rsid w:val="00A72E0A"/>
    <w:rsid w:val="00A73C7D"/>
    <w:rsid w:val="00AB7C06"/>
    <w:rsid w:val="00AD2622"/>
    <w:rsid w:val="00AE6C90"/>
    <w:rsid w:val="00B0116D"/>
    <w:rsid w:val="00B31A8E"/>
    <w:rsid w:val="00B61664"/>
    <w:rsid w:val="00B701AB"/>
    <w:rsid w:val="00B83E16"/>
    <w:rsid w:val="00BA073A"/>
    <w:rsid w:val="00BA6FEE"/>
    <w:rsid w:val="00BB3C8A"/>
    <w:rsid w:val="00BC0E32"/>
    <w:rsid w:val="00BF05B0"/>
    <w:rsid w:val="00C16070"/>
    <w:rsid w:val="00C20EEB"/>
    <w:rsid w:val="00CB3623"/>
    <w:rsid w:val="00CB4633"/>
    <w:rsid w:val="00D21005"/>
    <w:rsid w:val="00D539D0"/>
    <w:rsid w:val="00D63A52"/>
    <w:rsid w:val="00D663C9"/>
    <w:rsid w:val="00D70DBA"/>
    <w:rsid w:val="00D71C26"/>
    <w:rsid w:val="00D82BAF"/>
    <w:rsid w:val="00DA19A0"/>
    <w:rsid w:val="00DB1090"/>
    <w:rsid w:val="00DE3E81"/>
    <w:rsid w:val="00DE7A78"/>
    <w:rsid w:val="00DF1774"/>
    <w:rsid w:val="00E35D67"/>
    <w:rsid w:val="00E86AD1"/>
    <w:rsid w:val="00E95E55"/>
    <w:rsid w:val="00EB626D"/>
    <w:rsid w:val="00EC53C0"/>
    <w:rsid w:val="00ED5B4E"/>
    <w:rsid w:val="00EF4B37"/>
    <w:rsid w:val="00F201FB"/>
    <w:rsid w:val="00F2770A"/>
    <w:rsid w:val="00F30CD7"/>
    <w:rsid w:val="00F41620"/>
    <w:rsid w:val="00F835B6"/>
    <w:rsid w:val="00F9537D"/>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customStyle="1" w:styleId="Default">
    <w:name w:val="Default"/>
    <w:rsid w:val="00DE7A78"/>
    <w:pPr>
      <w:autoSpaceDE w:val="0"/>
      <w:autoSpaceDN w:val="0"/>
      <w:adjustRightInd w:val="0"/>
      <w:spacing w:after="0" w:line="240" w:lineRule="auto"/>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2937DE"/>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customStyle="1" w:styleId="Default">
    <w:name w:val="Default"/>
    <w:rsid w:val="00DE7A78"/>
    <w:pPr>
      <w:autoSpaceDE w:val="0"/>
      <w:autoSpaceDN w:val="0"/>
      <w:adjustRightInd w:val="0"/>
      <w:spacing w:after="0" w:line="240" w:lineRule="auto"/>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2937DE"/>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portal.statistics.sk/showdoc.do?docid=1924"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D1FF138F-4615-4653-B394-470A62A1550A}" type="presOf" srcId="{521874EA-6E41-4711-BB7A-E45EB2C177CD}" destId="{9B6AF713-8D67-4323-B646-4068A2BC876C}" srcOrd="0" destOrd="0" presId="urn:microsoft.com/office/officeart/2005/8/layout/orgChart1"/>
    <dgm:cxn modelId="{03B306F0-3186-4183-8BCD-4653DCE1D535}" type="presOf" srcId="{5F254598-ACFD-4493-9147-CAEE4774F119}" destId="{A88F122A-3A8F-4C17-B7A2-132F691F99A7}" srcOrd="0" destOrd="0" presId="urn:microsoft.com/office/officeart/2005/8/layout/orgChart1"/>
    <dgm:cxn modelId="{7F34BAF7-2B18-4478-B3ED-1B4A069983ED}" type="presOf" srcId="{1370191D-207C-43DE-9CDC-F0981E038579}" destId="{D4847877-A882-456B-89B5-4343B21D4101}" srcOrd="0" destOrd="0" presId="urn:microsoft.com/office/officeart/2005/8/layout/orgChart1"/>
    <dgm:cxn modelId="{62D811B8-8F6D-4D27-AA7C-08FC6CA482A5}" type="presOf" srcId="{1370191D-207C-43DE-9CDC-F0981E038579}" destId="{D320C5F2-C510-4CC0-B0D7-1794C6EC0817}" srcOrd="1" destOrd="0" presId="urn:microsoft.com/office/officeart/2005/8/layout/orgChart1"/>
    <dgm:cxn modelId="{F0F70A26-7277-4CEF-904A-60EE4C9901FC}" type="presOf" srcId="{A7FC6FC6-4038-4346-AF81-4CF1C7F0186C}" destId="{DCD8670C-1B49-4FA3-8514-5EDFEC496BE7}"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6406F463-D25C-4CEB-BFC5-7F84BDCF34C8}" type="presOf" srcId="{5E0484C8-FB5C-4D97-9AD7-902A22E6BB39}" destId="{E9390D1B-95F2-4E18-A586-967F1B064FC3}" srcOrd="1" destOrd="0" presId="urn:microsoft.com/office/officeart/2005/8/layout/orgChart1"/>
    <dgm:cxn modelId="{66B8E6C6-DC04-4E18-A07E-A8F4D493BE7E}" type="presOf" srcId="{5E0484C8-FB5C-4D97-9AD7-902A22E6BB39}" destId="{2B0DF7BF-458D-4CF0-A657-34F05C922494}"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C0DF9302-254F-4E98-BD76-541E0D667CDB}" type="presOf" srcId="{B9FF5DD2-0314-466F-BD07-538275B06742}" destId="{10A386F6-8ECE-439B-A83B-5B6AD2C4F8A0}" srcOrd="0" destOrd="0" presId="urn:microsoft.com/office/officeart/2005/8/layout/orgChart1"/>
    <dgm:cxn modelId="{7492D184-6155-4100-AC1F-7FD3160714D3}" type="presOf" srcId="{A7FC6FC6-4038-4346-AF81-4CF1C7F0186C}" destId="{C3230535-DC83-4A49-95A2-CA8C7877350C}"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DC07FF44-DFC2-47DD-A27A-B29D5AAE60B6}" type="presOf" srcId="{C2E1D0AE-E20F-4729-8B4D-B3833993BD7A}" destId="{57BA9BCC-365A-4710-9F0B-AE5E34111283}" srcOrd="0" destOrd="0" presId="urn:microsoft.com/office/officeart/2005/8/layout/orgChart1"/>
    <dgm:cxn modelId="{20BAE6DF-8F8D-45C4-B320-FE5DE91D87A5}" type="presOf" srcId="{521874EA-6E41-4711-BB7A-E45EB2C177CD}" destId="{CDBABD21-2F2F-4763-9C0D-A4F61B3E8103}" srcOrd="1" destOrd="0" presId="urn:microsoft.com/office/officeart/2005/8/layout/orgChart1"/>
    <dgm:cxn modelId="{4C5A9519-E17B-45B8-A7AE-C8D5625C681A}" type="presOf" srcId="{5F254598-ACFD-4493-9147-CAEE4774F119}" destId="{58B7CD29-7A92-4B60-A7CD-60691F41BE7C}"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6969DFF1-26F5-423E-B668-01EDDBEBAAA0}" type="presOf" srcId="{1DFAA7B4-76A5-4AA7-B947-6DF855D7B913}" destId="{20019C3C-E1E2-4DEA-8099-902EB7C68D37}" srcOrd="0" destOrd="0" presId="urn:microsoft.com/office/officeart/2005/8/layout/orgChart1"/>
    <dgm:cxn modelId="{93868C0C-A022-4AAA-AC85-EC4537946645}" type="presOf" srcId="{8607C018-2BCA-4E1E-ADC6-E43D2DCFDEB5}" destId="{72080392-37F8-4943-9AFF-57BB22A937C6}" srcOrd="0" destOrd="0" presId="urn:microsoft.com/office/officeart/2005/8/layout/orgChart1"/>
    <dgm:cxn modelId="{0CE0BD4F-2273-4641-8829-E56817E571CD}" type="presOf" srcId="{A7F615EF-BE2C-4D7C-A492-BF26AE09E984}" destId="{E51EEFB1-B4A9-477B-8D21-436571D7B2DC}"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0B1EBC67-BD9D-46D9-871C-C0D2DD2F58B7}" type="presParOf" srcId="{57BA9BCC-365A-4710-9F0B-AE5E34111283}" destId="{0BD804DE-0CC3-4B2B-B109-02111D228D1C}" srcOrd="0" destOrd="0" presId="urn:microsoft.com/office/officeart/2005/8/layout/orgChart1"/>
    <dgm:cxn modelId="{FD9576DA-41B5-49C3-B428-49C7FF730103}" type="presParOf" srcId="{0BD804DE-0CC3-4B2B-B109-02111D228D1C}" destId="{65FDA49F-F7D0-4E40-A0FA-57FB787A4695}" srcOrd="0" destOrd="0" presId="urn:microsoft.com/office/officeart/2005/8/layout/orgChart1"/>
    <dgm:cxn modelId="{F6AEBA80-2925-4688-BB0E-1F7A4B500E2F}" type="presParOf" srcId="{65FDA49F-F7D0-4E40-A0FA-57FB787A4695}" destId="{A88F122A-3A8F-4C17-B7A2-132F691F99A7}" srcOrd="0" destOrd="0" presId="urn:microsoft.com/office/officeart/2005/8/layout/orgChart1"/>
    <dgm:cxn modelId="{4AAEC252-065B-4219-BE2E-97F0058C3F32}" type="presParOf" srcId="{65FDA49F-F7D0-4E40-A0FA-57FB787A4695}" destId="{58B7CD29-7A92-4B60-A7CD-60691F41BE7C}" srcOrd="1" destOrd="0" presId="urn:microsoft.com/office/officeart/2005/8/layout/orgChart1"/>
    <dgm:cxn modelId="{18D6CBDC-5005-4EDA-965F-753B27379132}" type="presParOf" srcId="{0BD804DE-0CC3-4B2B-B109-02111D228D1C}" destId="{BA33D02C-E6B6-4059-98A0-272816ED8E2C}" srcOrd="1" destOrd="0" presId="urn:microsoft.com/office/officeart/2005/8/layout/orgChart1"/>
    <dgm:cxn modelId="{ED4B350F-679E-4AB1-9F24-C19186426CB6}" type="presParOf" srcId="{BA33D02C-E6B6-4059-98A0-272816ED8E2C}" destId="{72080392-37F8-4943-9AFF-57BB22A937C6}" srcOrd="0" destOrd="0" presId="urn:microsoft.com/office/officeart/2005/8/layout/orgChart1"/>
    <dgm:cxn modelId="{DFB4912F-3C56-4597-9BE9-2D6BF0C187F2}" type="presParOf" srcId="{BA33D02C-E6B6-4059-98A0-272816ED8E2C}" destId="{229B4DF4-BD81-468B-A53B-FB0C7A876323}" srcOrd="1" destOrd="0" presId="urn:microsoft.com/office/officeart/2005/8/layout/orgChart1"/>
    <dgm:cxn modelId="{FCD59659-DCF8-4A16-94DA-A4EC4ADDA139}" type="presParOf" srcId="{229B4DF4-BD81-468B-A53B-FB0C7A876323}" destId="{7A987FD8-82FC-4712-9F38-B080E93D24ED}" srcOrd="0" destOrd="0" presId="urn:microsoft.com/office/officeart/2005/8/layout/orgChart1"/>
    <dgm:cxn modelId="{EC3381AD-907B-40F1-B227-F60EE67C7BB9}" type="presParOf" srcId="{7A987FD8-82FC-4712-9F38-B080E93D24ED}" destId="{D4847877-A882-456B-89B5-4343B21D4101}" srcOrd="0" destOrd="0" presId="urn:microsoft.com/office/officeart/2005/8/layout/orgChart1"/>
    <dgm:cxn modelId="{498557C1-D38F-4534-A187-8D03D7C02876}" type="presParOf" srcId="{7A987FD8-82FC-4712-9F38-B080E93D24ED}" destId="{D320C5F2-C510-4CC0-B0D7-1794C6EC0817}" srcOrd="1" destOrd="0" presId="urn:microsoft.com/office/officeart/2005/8/layout/orgChart1"/>
    <dgm:cxn modelId="{C04AE90A-D187-4719-919E-448533A2489F}" type="presParOf" srcId="{229B4DF4-BD81-468B-A53B-FB0C7A876323}" destId="{55B6FE52-90C0-4EF4-A9D0-80E1AEE3206A}" srcOrd="1" destOrd="0" presId="urn:microsoft.com/office/officeart/2005/8/layout/orgChart1"/>
    <dgm:cxn modelId="{0CDA9679-4DF5-4761-B5EF-5910EFC2C36B}" type="presParOf" srcId="{229B4DF4-BD81-468B-A53B-FB0C7A876323}" destId="{E9533EDE-1C17-4306-8E7A-069D406094F6}" srcOrd="2" destOrd="0" presId="urn:microsoft.com/office/officeart/2005/8/layout/orgChart1"/>
    <dgm:cxn modelId="{1E315D41-25D6-46FA-98E7-3EF21042FDD8}" type="presParOf" srcId="{BA33D02C-E6B6-4059-98A0-272816ED8E2C}" destId="{10A386F6-8ECE-439B-A83B-5B6AD2C4F8A0}" srcOrd="2" destOrd="0" presId="urn:microsoft.com/office/officeart/2005/8/layout/orgChart1"/>
    <dgm:cxn modelId="{DCDF0EEE-CB05-484F-8768-0C741102C34F}" type="presParOf" srcId="{BA33D02C-E6B6-4059-98A0-272816ED8E2C}" destId="{DC443BDB-9C53-4AC3-AFB6-C44125244C5A}" srcOrd="3" destOrd="0" presId="urn:microsoft.com/office/officeart/2005/8/layout/orgChart1"/>
    <dgm:cxn modelId="{AE5C9BF2-A684-46DA-BE2F-41604756328B}" type="presParOf" srcId="{DC443BDB-9C53-4AC3-AFB6-C44125244C5A}" destId="{E125083F-D170-4146-8875-50503A61DF6D}" srcOrd="0" destOrd="0" presId="urn:microsoft.com/office/officeart/2005/8/layout/orgChart1"/>
    <dgm:cxn modelId="{D2A7DB4D-1A76-40FB-8BD4-767386BB274C}" type="presParOf" srcId="{E125083F-D170-4146-8875-50503A61DF6D}" destId="{9B6AF713-8D67-4323-B646-4068A2BC876C}" srcOrd="0" destOrd="0" presId="urn:microsoft.com/office/officeart/2005/8/layout/orgChart1"/>
    <dgm:cxn modelId="{20F030F6-4C3F-485B-921B-4879C06E0B97}" type="presParOf" srcId="{E125083F-D170-4146-8875-50503A61DF6D}" destId="{CDBABD21-2F2F-4763-9C0D-A4F61B3E8103}" srcOrd="1" destOrd="0" presId="urn:microsoft.com/office/officeart/2005/8/layout/orgChart1"/>
    <dgm:cxn modelId="{29CD2C56-665D-447E-8609-8898EF28B9EA}" type="presParOf" srcId="{DC443BDB-9C53-4AC3-AFB6-C44125244C5A}" destId="{0D4862D6-E847-4693-A4EE-0AB36E91F054}" srcOrd="1" destOrd="0" presId="urn:microsoft.com/office/officeart/2005/8/layout/orgChart1"/>
    <dgm:cxn modelId="{55BC88F1-0D06-491B-8573-87F1F7833A7F}" type="presParOf" srcId="{DC443BDB-9C53-4AC3-AFB6-C44125244C5A}" destId="{030D4C91-6CD3-4E49-8C2B-514CC42BDE40}" srcOrd="2" destOrd="0" presId="urn:microsoft.com/office/officeart/2005/8/layout/orgChart1"/>
    <dgm:cxn modelId="{D5B904CB-7CE1-4E6F-9AD4-2F7794AF2D93}" type="presParOf" srcId="{BA33D02C-E6B6-4059-98A0-272816ED8E2C}" destId="{E51EEFB1-B4A9-477B-8D21-436571D7B2DC}" srcOrd="4" destOrd="0" presId="urn:microsoft.com/office/officeart/2005/8/layout/orgChart1"/>
    <dgm:cxn modelId="{8E8CD39B-3E8C-432D-B0F6-DBF94C47EDE6}" type="presParOf" srcId="{BA33D02C-E6B6-4059-98A0-272816ED8E2C}" destId="{53C92187-E288-4BEB-9CBC-DCF4AF02986C}" srcOrd="5" destOrd="0" presId="urn:microsoft.com/office/officeart/2005/8/layout/orgChart1"/>
    <dgm:cxn modelId="{574FE861-C160-4D25-AB1D-2C31CFE52421}" type="presParOf" srcId="{53C92187-E288-4BEB-9CBC-DCF4AF02986C}" destId="{8042F5BB-5128-46AC-85E7-DF67FE16424F}" srcOrd="0" destOrd="0" presId="urn:microsoft.com/office/officeart/2005/8/layout/orgChart1"/>
    <dgm:cxn modelId="{F1CC1588-7F37-4EDC-B93C-A1CAFA2F1643}" type="presParOf" srcId="{8042F5BB-5128-46AC-85E7-DF67FE16424F}" destId="{DCD8670C-1B49-4FA3-8514-5EDFEC496BE7}" srcOrd="0" destOrd="0" presId="urn:microsoft.com/office/officeart/2005/8/layout/orgChart1"/>
    <dgm:cxn modelId="{95FC4AC1-BC90-469C-A8B1-FB4DF1BE7BF6}" type="presParOf" srcId="{8042F5BB-5128-46AC-85E7-DF67FE16424F}" destId="{C3230535-DC83-4A49-95A2-CA8C7877350C}" srcOrd="1" destOrd="0" presId="urn:microsoft.com/office/officeart/2005/8/layout/orgChart1"/>
    <dgm:cxn modelId="{4E24F2F7-ADFE-4C4A-8277-906B9BEB7BF7}" type="presParOf" srcId="{53C92187-E288-4BEB-9CBC-DCF4AF02986C}" destId="{24BC225A-78D7-4DEE-A54C-E7D1C72CDCD4}" srcOrd="1" destOrd="0" presId="urn:microsoft.com/office/officeart/2005/8/layout/orgChart1"/>
    <dgm:cxn modelId="{3FB86419-4807-41A7-929C-2A25094786E7}" type="presParOf" srcId="{53C92187-E288-4BEB-9CBC-DCF4AF02986C}" destId="{62D3D81B-8616-4E78-8027-9EAD873638D1}" srcOrd="2" destOrd="0" presId="urn:microsoft.com/office/officeart/2005/8/layout/orgChart1"/>
    <dgm:cxn modelId="{70262363-E175-48BF-99AF-2F6AE080213E}" type="presParOf" srcId="{BA33D02C-E6B6-4059-98A0-272816ED8E2C}" destId="{20019C3C-E1E2-4DEA-8099-902EB7C68D37}" srcOrd="6" destOrd="0" presId="urn:microsoft.com/office/officeart/2005/8/layout/orgChart1"/>
    <dgm:cxn modelId="{83575652-2879-436B-9E26-7D72B89771CD}" type="presParOf" srcId="{BA33D02C-E6B6-4059-98A0-272816ED8E2C}" destId="{B2B9D473-B6E9-4116-BAE6-D32CB111D4F4}" srcOrd="7" destOrd="0" presId="urn:microsoft.com/office/officeart/2005/8/layout/orgChart1"/>
    <dgm:cxn modelId="{83A6E764-7100-4659-800F-242A232099EB}" type="presParOf" srcId="{B2B9D473-B6E9-4116-BAE6-D32CB111D4F4}" destId="{15AC2BCE-1B16-4659-B603-A3B26B985F65}" srcOrd="0" destOrd="0" presId="urn:microsoft.com/office/officeart/2005/8/layout/orgChart1"/>
    <dgm:cxn modelId="{E93F2F45-2187-4A01-8720-82697C4B4D4A}" type="presParOf" srcId="{15AC2BCE-1B16-4659-B603-A3B26B985F65}" destId="{2B0DF7BF-458D-4CF0-A657-34F05C922494}" srcOrd="0" destOrd="0" presId="urn:microsoft.com/office/officeart/2005/8/layout/orgChart1"/>
    <dgm:cxn modelId="{1F4B5F6F-1C0C-4347-A3D8-5F6CFB58C2A8}" type="presParOf" srcId="{15AC2BCE-1B16-4659-B603-A3B26B985F65}" destId="{E9390D1B-95F2-4E18-A586-967F1B064FC3}" srcOrd="1" destOrd="0" presId="urn:microsoft.com/office/officeart/2005/8/layout/orgChart1"/>
    <dgm:cxn modelId="{3400EE1E-F554-4E7F-917C-02804ADF6D07}" type="presParOf" srcId="{B2B9D473-B6E9-4116-BAE6-D32CB111D4F4}" destId="{E6376C15-2F18-408F-BCE0-C072ABEEB7D5}" srcOrd="1" destOrd="0" presId="urn:microsoft.com/office/officeart/2005/8/layout/orgChart1"/>
    <dgm:cxn modelId="{1257C5CD-75C6-4023-B3B1-A996A8E753E0}" type="presParOf" srcId="{B2B9D473-B6E9-4116-BAE6-D32CB111D4F4}" destId="{DD47F823-2ED3-4700-AC4C-7E91F414D76C}" srcOrd="2" destOrd="0" presId="urn:microsoft.com/office/officeart/2005/8/layout/orgChart1"/>
    <dgm:cxn modelId="{C854E173-63B1-4C80-A12D-E8320EBD0DB8}"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na-podnikatelske-prostredie"/>
    <f:field ref="objsubject" par="" edit="true" text=""/>
    <f:field ref="objcreatedby" par="" text="Administrator, System"/>
    <f:field ref="objcreatedat" par="" text="12.9.2019 12:59:25"/>
    <f:field ref="objchangedby" par="" text="Administrator, System"/>
    <f:field ref="objmodifiedat" par="" text="12.9.2019 13: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7AE0B64-332A-48BD-866E-C9B5FB61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5725</Words>
  <Characters>32635</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Zemanová, Ivana</cp:lastModifiedBy>
  <cp:revision>5</cp:revision>
  <cp:lastPrinted>2019-09-14T08:54:00Z</cp:lastPrinted>
  <dcterms:created xsi:type="dcterms:W3CDTF">2019-09-18T09:10:00Z</dcterms:created>
  <dcterms:modified xsi:type="dcterms:W3CDTF">2019-09-18T11:26:00Z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12. 9. 2019</vt:lpwstr>
  </property>
  <property fmtid="{D5CDD505-2E9C-101B-9397-08002B2CF9AE}" pid="151" name="FSC#COOSYSTEM@1.1:Container">
    <vt:lpwstr>COO.2145.1000.3.3587099</vt:lpwstr>
  </property>
  <property fmtid="{D5CDD505-2E9C-101B-9397-08002B2CF9AE}" pid="152" name="FSC#FSCFOLIO@1.1001:docpropproject">
    <vt:lpwstr/>
  </property>
</Properties>
</file>