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47D9E8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14:paraId="527F5513" w14:textId="77777777"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14:paraId="79EF91CA" w14:textId="77777777"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6B8F50E" w14:textId="77777777"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09E11E6" w14:textId="77777777"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14:paraId="3B21691D" w14:textId="77777777"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14:paraId="0BCA5F18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14:paraId="7D38355B" w14:textId="77777777" w:rsidTr="004D486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14:paraId="6DAEE23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14:paraId="6929A1FC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D5748" w:rsidRPr="007D5748" w14:paraId="3AE94276" w14:textId="77777777" w:rsidTr="004D486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14:paraId="7063EB14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443E4465" w14:textId="7D40D1AC" w:rsidR="007D5748" w:rsidRPr="007D5748" w:rsidRDefault="009D6C3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23D2A059" w14:textId="3AB89F3B" w:rsidR="007D5748" w:rsidRPr="007D5748" w:rsidRDefault="009D6C3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625E3F03" w14:textId="57C17C10" w:rsidR="007D5748" w:rsidRPr="007D5748" w:rsidRDefault="009D6C3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14:paraId="54A43745" w14:textId="34C165A7" w:rsidR="007D5748" w:rsidRPr="007D5748" w:rsidRDefault="009D6C3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</w:tr>
      <w:tr w:rsidR="007D5748" w:rsidRPr="007D5748" w14:paraId="4732C065" w14:textId="77777777" w:rsidTr="004D486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21A76E0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2F34CF1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17FAA42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578B92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14:paraId="0364A5A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C477438" w14:textId="77777777" w:rsidTr="004D486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14:paraId="010BB14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267" w:type="dxa"/>
            <w:noWrap/>
            <w:vAlign w:val="center"/>
          </w:tcPr>
          <w:p w14:paraId="389D527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671F01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C13374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3D8C9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38F6EC81" w14:textId="77777777" w:rsidTr="004D48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C42496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14:paraId="1606018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F766D0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7D420B45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9B752F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5748" w:rsidRPr="007D5748" w14:paraId="60C8E3CE" w14:textId="77777777" w:rsidTr="004D486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3DBE6B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562F73E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57ECC1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C67B63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1C72AFC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C51FD4" w:rsidRPr="007D5748" w14:paraId="25289207" w14:textId="77777777" w:rsidTr="004D486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5D84302" w14:textId="77777777" w:rsidR="00C51FD4" w:rsidRPr="007D5748" w:rsidRDefault="00C51FD4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248F7028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DCE6C80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325264A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33AE324" w14:textId="77777777" w:rsidR="00C51FD4" w:rsidRPr="007D5748" w:rsidRDefault="00212894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5BDF3235" w14:textId="77777777" w:rsidTr="004D486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2076E7FE" w14:textId="77777777" w:rsidR="007D5748" w:rsidRPr="007D5748" w:rsidRDefault="007D5748" w:rsidP="00212894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14:paraId="0CAEBFC3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6FF5011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BAF66C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307C362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7964A23" w14:textId="77777777" w:rsidTr="004D486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1C96108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14:paraId="4404930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E8A90F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4E96BB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D626A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76BE13E4" w14:textId="77777777" w:rsidTr="004D486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BA6D64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A77A9D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BBBE96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2F72DFA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FABA3F6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03F29680" w14:textId="77777777" w:rsidTr="004D486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14:paraId="750E180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14:paraId="38BC844F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32C945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0442FBD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2E846D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7D5748" w:rsidRPr="007D5748" w14:paraId="1E96155F" w14:textId="77777777" w:rsidTr="004D486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0C8471A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0092CF8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0B0F185D" w14:textId="7A658A76" w:rsidR="007D5748" w:rsidRPr="007D5748" w:rsidRDefault="007D6699" w:rsidP="009D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D265B56" w14:textId="247DC60F" w:rsidR="007D5748" w:rsidRPr="007D5748" w:rsidRDefault="009D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421 59</w:t>
            </w:r>
            <w:r w:rsidR="004D4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38ACAE2" w14:textId="0823E43A" w:rsidR="007D5748" w:rsidRPr="007D5748" w:rsidRDefault="009D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421 59</w:t>
            </w:r>
            <w:r w:rsidR="004D4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7D5748"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640AF1" w:rsidRPr="007D5748" w14:paraId="3E190140" w14:textId="77777777" w:rsidTr="004D48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EBEAC1C" w14:textId="63F73014" w:rsidR="00640AF1" w:rsidRPr="00F5522C" w:rsidRDefault="00640AF1" w:rsidP="009D6C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 tom: MDV SR</w:t>
            </w:r>
          </w:p>
        </w:tc>
        <w:tc>
          <w:tcPr>
            <w:tcW w:w="1267" w:type="dxa"/>
            <w:noWrap/>
            <w:vAlign w:val="center"/>
          </w:tcPr>
          <w:p w14:paraId="73DD9CC3" w14:textId="77777777" w:rsidR="00640AF1" w:rsidRPr="00F5522C" w:rsidRDefault="00640AF1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7D3E8F1" w14:textId="1CFC5326" w:rsidR="00640AF1" w:rsidRPr="00F5522C" w:rsidRDefault="00640AF1" w:rsidP="009D6C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79C2205" w14:textId="43B54053" w:rsidR="00640AF1" w:rsidRPr="00A6648B" w:rsidRDefault="00640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66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231 875</w:t>
            </w:r>
          </w:p>
        </w:tc>
        <w:tc>
          <w:tcPr>
            <w:tcW w:w="1267" w:type="dxa"/>
            <w:noWrap/>
            <w:vAlign w:val="center"/>
          </w:tcPr>
          <w:p w14:paraId="7BD1E3B1" w14:textId="6CC212B6" w:rsidR="00640AF1" w:rsidRPr="00A6648B" w:rsidRDefault="00640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A6648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231 875</w:t>
            </w:r>
          </w:p>
        </w:tc>
      </w:tr>
      <w:tr w:rsidR="007D5748" w:rsidRPr="007D5748" w14:paraId="5CB56479" w14:textId="77777777" w:rsidTr="004D48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6051C92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3C9E6290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3380B27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8108CAB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6DF14A1E" w14:textId="77777777" w:rsidR="007D5748" w:rsidRPr="007D5748" w:rsidRDefault="007D5748" w:rsidP="007D57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6699" w:rsidRPr="007D5748" w14:paraId="65966ABC" w14:textId="77777777" w:rsidTr="004D48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5DC4E4C" w14:textId="77777777" w:rsidR="007D6699" w:rsidRPr="007D5748" w:rsidRDefault="007D6699" w:rsidP="007D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14:paraId="5FB4995E" w14:textId="77777777" w:rsidR="007D6699" w:rsidRPr="007D5748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E6C8A3C" w14:textId="3F6ABC4C" w:rsidR="007D6699" w:rsidRPr="00F5522C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14FFE688" w14:textId="7CC6962F" w:rsidR="007D6699" w:rsidRPr="00F5522C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231 875</w:t>
            </w:r>
          </w:p>
        </w:tc>
        <w:tc>
          <w:tcPr>
            <w:tcW w:w="1267" w:type="dxa"/>
            <w:noWrap/>
            <w:vAlign w:val="center"/>
          </w:tcPr>
          <w:p w14:paraId="383BB4DE" w14:textId="697C7C76" w:rsidR="007D6699" w:rsidRPr="00F5522C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076F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231 875</w:t>
            </w:r>
          </w:p>
        </w:tc>
      </w:tr>
      <w:tr w:rsidR="007D6699" w:rsidRPr="007D5748" w14:paraId="4E10CF61" w14:textId="77777777" w:rsidTr="004D48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56899014" w14:textId="77777777" w:rsidR="007D6699" w:rsidRPr="007D5748" w:rsidRDefault="007D6699" w:rsidP="007D6699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14:paraId="76692AAD" w14:textId="77777777" w:rsidR="007D6699" w:rsidRPr="00F5522C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B971FC4" w14:textId="67BFB094" w:rsidR="007D6699" w:rsidRPr="00F5522C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851E71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FAA71DA" w14:textId="3FE60551" w:rsidR="007D6699" w:rsidRPr="00F5522C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231 875</w:t>
            </w:r>
          </w:p>
        </w:tc>
        <w:tc>
          <w:tcPr>
            <w:tcW w:w="1267" w:type="dxa"/>
            <w:noWrap/>
            <w:vAlign w:val="center"/>
          </w:tcPr>
          <w:p w14:paraId="38DE9542" w14:textId="7666CF50" w:rsidR="007D6699" w:rsidRPr="00F5522C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076F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231 875</w:t>
            </w:r>
          </w:p>
        </w:tc>
      </w:tr>
      <w:tr w:rsidR="007D6699" w:rsidRPr="007D5748" w14:paraId="47B14B0A" w14:textId="77777777" w:rsidTr="004D48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5F0A43C" w14:textId="77777777" w:rsidR="007D6699" w:rsidRPr="007D5748" w:rsidRDefault="007D6699" w:rsidP="007D6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14:paraId="2BD9967F" w14:textId="77777777" w:rsidR="007D6699" w:rsidRPr="007D5748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56F53FC" w14:textId="612C1690" w:rsidR="007D6699" w:rsidRPr="007D5748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AF5E030" w14:textId="77777777" w:rsidR="007D6699" w:rsidRPr="007D5748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35A64BA8" w14:textId="77777777" w:rsidR="007D6699" w:rsidRPr="007D5748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6699" w:rsidRPr="007D5748" w14:paraId="68F37615" w14:textId="77777777" w:rsidTr="004D48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7798A4C2" w14:textId="77777777" w:rsidR="007D6699" w:rsidRPr="007D5748" w:rsidRDefault="007D6699" w:rsidP="007D66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14:paraId="35F5966C" w14:textId="77777777" w:rsidR="007D6699" w:rsidRPr="007D5748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29986F19" w14:textId="736A7EBB" w:rsidR="007D6699" w:rsidRPr="007D5748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7EADEF5" w14:textId="77777777" w:rsidR="007D6699" w:rsidRPr="007D5748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687844C7" w14:textId="77777777" w:rsidR="007D6699" w:rsidRPr="007D5748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7D6699" w:rsidRPr="007D5748" w14:paraId="17FBCB78" w14:textId="77777777" w:rsidTr="00F5522C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28FB19CE" w14:textId="142B3F6D" w:rsidR="007D6699" w:rsidRPr="004D4866" w:rsidRDefault="007D6699" w:rsidP="007D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 tom: Bratislavský samosprávny kraj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419C715" w14:textId="77777777" w:rsidR="007D6699" w:rsidRPr="004D4866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BF742E7" w14:textId="16967AC0" w:rsidR="007D6699" w:rsidRPr="004D4866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851E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7CE5C54" w14:textId="29D8392E" w:rsidR="007D6699" w:rsidRPr="004D4866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138 493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52B8D623" w14:textId="6A2DE6D1" w:rsidR="007D6699" w:rsidRPr="004D4866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138 493</w:t>
            </w:r>
          </w:p>
        </w:tc>
      </w:tr>
      <w:tr w:rsidR="007D6699" w:rsidRPr="007D5748" w14:paraId="19854541" w14:textId="77777777" w:rsidTr="004D48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31B96A66" w14:textId="77777777" w:rsidR="007D6699" w:rsidRPr="007D5748" w:rsidRDefault="007D6699" w:rsidP="007D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3133A08D" w14:textId="77777777" w:rsidR="007D6699" w:rsidRPr="007D5748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24A2FE5E" w14:textId="77777777" w:rsidR="007D6699" w:rsidRPr="007D5748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1C051805" w14:textId="77777777" w:rsidR="007D6699" w:rsidRPr="007D5748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A773051" w14:textId="77777777" w:rsidR="007D6699" w:rsidRPr="007D5748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7D6699" w:rsidRPr="007D5748" w14:paraId="49B0015A" w14:textId="77777777" w:rsidTr="004D48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28BEA070" w14:textId="77777777" w:rsidR="007D6699" w:rsidRPr="007D5748" w:rsidRDefault="007D6699" w:rsidP="007D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341DA9A7" w14:textId="77777777" w:rsidR="007D6699" w:rsidRPr="007D5748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10231A6" w14:textId="25EFE886" w:rsidR="007D6699" w:rsidRPr="00F5522C" w:rsidRDefault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7C37A02B" w14:textId="11F51E62" w:rsidR="007D6699" w:rsidRPr="00F5522C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138 493</w:t>
            </w:r>
          </w:p>
        </w:tc>
        <w:tc>
          <w:tcPr>
            <w:tcW w:w="1267" w:type="dxa"/>
            <w:noWrap/>
            <w:vAlign w:val="center"/>
          </w:tcPr>
          <w:p w14:paraId="7D087CFD" w14:textId="6618A739" w:rsidR="007D6699" w:rsidRPr="00F5522C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138 493</w:t>
            </w:r>
          </w:p>
        </w:tc>
      </w:tr>
      <w:tr w:rsidR="007D6699" w:rsidRPr="007D5748" w14:paraId="6576D871" w14:textId="77777777" w:rsidTr="00F5522C">
        <w:trPr>
          <w:trHeight w:val="70"/>
          <w:jc w:val="center"/>
        </w:trPr>
        <w:tc>
          <w:tcPr>
            <w:tcW w:w="4661" w:type="dxa"/>
            <w:shd w:val="clear" w:color="auto" w:fill="auto"/>
            <w:noWrap/>
            <w:vAlign w:val="center"/>
          </w:tcPr>
          <w:p w14:paraId="2F6ABB54" w14:textId="578CC5C4" w:rsidR="007D6699" w:rsidRPr="004D4866" w:rsidRDefault="007D6699" w:rsidP="007D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 tom: Trnavský samosprávny kraj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2CA14ECC" w14:textId="4E8BD787" w:rsidR="007D6699" w:rsidRPr="004D4866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358B450" w14:textId="65D84263" w:rsidR="007D6699" w:rsidRPr="004D4866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3D0A307D" w14:textId="3477C2D5" w:rsidR="007D6699" w:rsidRPr="004D4866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51 223</w:t>
            </w:r>
          </w:p>
        </w:tc>
        <w:tc>
          <w:tcPr>
            <w:tcW w:w="1267" w:type="dxa"/>
            <w:shd w:val="clear" w:color="auto" w:fill="auto"/>
            <w:noWrap/>
            <w:vAlign w:val="center"/>
          </w:tcPr>
          <w:p w14:paraId="4AF2F391" w14:textId="717A2A4F" w:rsidR="007D6699" w:rsidRPr="004D4866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51 223</w:t>
            </w:r>
          </w:p>
        </w:tc>
      </w:tr>
      <w:tr w:rsidR="007D6699" w:rsidRPr="007D5748" w14:paraId="1A515BB2" w14:textId="77777777" w:rsidTr="004D48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B5A4DEE" w14:textId="76B61D18" w:rsidR="007D6699" w:rsidRPr="007D5748" w:rsidRDefault="007D6699" w:rsidP="007D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14:paraId="726C65FF" w14:textId="4387206C" w:rsidR="007D6699" w:rsidRPr="007D5748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391CCDD" w14:textId="31F3AF12" w:rsidR="007D6699" w:rsidRPr="00F5522C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4B6D2369" w14:textId="6C90053A" w:rsidR="007D6699" w:rsidRPr="00F5522C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4F446EA" w14:textId="6C256B0B" w:rsidR="007D6699" w:rsidRPr="00F5522C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</w:p>
        </w:tc>
      </w:tr>
      <w:tr w:rsidR="007D6699" w:rsidRPr="007D5748" w14:paraId="40820495" w14:textId="77777777" w:rsidTr="004D48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85D3788" w14:textId="72887144" w:rsidR="007D6699" w:rsidRPr="007D5748" w:rsidRDefault="007D6699" w:rsidP="007D66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14:paraId="4B2825B0" w14:textId="776E29AC" w:rsidR="007D6699" w:rsidRPr="007D5748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5E3A9D23" w14:textId="5841A1F2" w:rsidR="007D6699" w:rsidRPr="00F5522C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14:paraId="09AB3D81" w14:textId="68EEA17F" w:rsidR="007D6699" w:rsidRPr="00F5522C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51 223</w:t>
            </w:r>
          </w:p>
        </w:tc>
        <w:tc>
          <w:tcPr>
            <w:tcW w:w="1267" w:type="dxa"/>
            <w:noWrap/>
            <w:vAlign w:val="center"/>
          </w:tcPr>
          <w:p w14:paraId="09634606" w14:textId="25B66426" w:rsidR="007D6699" w:rsidRPr="00F5522C" w:rsidRDefault="007D6699" w:rsidP="007D669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sk-SK"/>
              </w:rPr>
              <w:t>51 223</w:t>
            </w:r>
          </w:p>
        </w:tc>
      </w:tr>
      <w:tr w:rsidR="001B468D" w:rsidRPr="007D5748" w14:paraId="161E4E8B" w14:textId="77777777" w:rsidTr="004D486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14:paraId="1E5E7D61" w14:textId="77777777" w:rsidR="001B468D" w:rsidRPr="007D5748" w:rsidRDefault="001B468D" w:rsidP="001B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29FCA80A" w14:textId="77777777" w:rsidR="001B468D" w:rsidRPr="007D5748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5CC74B24" w14:textId="612CC591" w:rsidR="001B468D" w:rsidRPr="007D5748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649A972B" w14:textId="4C4DBEEB" w:rsidR="001B468D" w:rsidRPr="007D5748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421 591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14:paraId="19A62676" w14:textId="5DA229A4" w:rsidR="001B468D" w:rsidRPr="007D5748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421 591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</w:t>
            </w:r>
          </w:p>
        </w:tc>
      </w:tr>
      <w:tr w:rsidR="001B468D" w:rsidRPr="007D5748" w14:paraId="5B6FBF16" w14:textId="77777777" w:rsidTr="004D486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14:paraId="17ADA284" w14:textId="406D82FF" w:rsidR="001B468D" w:rsidRDefault="001B468D" w:rsidP="001B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MDV SR</w:t>
            </w:r>
          </w:p>
          <w:p w14:paraId="57195774" w14:textId="48EADC26" w:rsidR="001B468D" w:rsidRDefault="001B468D" w:rsidP="001B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Bratislavský samosprávny kraj</w:t>
            </w:r>
          </w:p>
          <w:p w14:paraId="23B7DD86" w14:textId="7F391608" w:rsidR="001B468D" w:rsidRPr="007D5748" w:rsidRDefault="001B468D" w:rsidP="001B46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Trnavský samosprávny kraj</w:t>
            </w:r>
          </w:p>
        </w:tc>
        <w:tc>
          <w:tcPr>
            <w:tcW w:w="1267" w:type="dxa"/>
            <w:noWrap/>
            <w:vAlign w:val="center"/>
          </w:tcPr>
          <w:p w14:paraId="5FBA2BE7" w14:textId="44473951" w:rsidR="001B468D" w:rsidRPr="007D5748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04332F0A" w14:textId="7B6EB99B" w:rsidR="001B468D" w:rsidRPr="007D5748" w:rsidRDefault="001B468D" w:rsidP="001B46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14:paraId="3E1A4C41" w14:textId="601347F1" w:rsidR="001B468D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231 875</w:t>
            </w:r>
          </w:p>
          <w:p w14:paraId="291941E5" w14:textId="2D57D6D8" w:rsidR="001B468D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138 493</w:t>
            </w:r>
          </w:p>
          <w:p w14:paraId="3AA0383F" w14:textId="61D35FB3" w:rsidR="001B468D" w:rsidRPr="007D5748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51 223</w:t>
            </w:r>
          </w:p>
        </w:tc>
        <w:tc>
          <w:tcPr>
            <w:tcW w:w="1267" w:type="dxa"/>
            <w:noWrap/>
            <w:vAlign w:val="center"/>
          </w:tcPr>
          <w:p w14:paraId="3A32FEC8" w14:textId="6C76D544" w:rsidR="001B468D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231 875</w:t>
            </w:r>
          </w:p>
          <w:p w14:paraId="51650A68" w14:textId="77777777" w:rsidR="001B468D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138 493</w:t>
            </w:r>
          </w:p>
          <w:p w14:paraId="2F9AA9C5" w14:textId="050B418E" w:rsidR="001B468D" w:rsidRPr="007D5748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51 223</w:t>
            </w:r>
          </w:p>
        </w:tc>
      </w:tr>
      <w:tr w:rsidR="001B468D" w:rsidRPr="007D5748" w14:paraId="30986B70" w14:textId="77777777" w:rsidTr="004D486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14:paraId="690284A2" w14:textId="77777777" w:rsidR="001B468D" w:rsidRPr="007D5748" w:rsidRDefault="001B468D" w:rsidP="001B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20A72C4C" w14:textId="77777777" w:rsidR="001B468D" w:rsidRPr="007D5748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485B133C" w14:textId="1BDE8ACD" w:rsidR="001B468D" w:rsidRPr="007D5748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8FDC467" w14:textId="437FA660" w:rsidR="001B468D" w:rsidRPr="007D5748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14:paraId="6A649AED" w14:textId="131E8ACB" w:rsidR="001B468D" w:rsidRPr="007D5748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1B468D" w:rsidRPr="007D5748" w14:paraId="66154F5E" w14:textId="77777777" w:rsidTr="004D486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14:paraId="625E6C65" w14:textId="77777777" w:rsidR="001B468D" w:rsidRPr="007D5748" w:rsidRDefault="001B468D" w:rsidP="001B46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Rozpočtovo nekrytý vplyv </w:t>
            </w:r>
            <w:r w:rsidRPr="00A664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5B714E2F" w14:textId="77777777" w:rsidR="001B468D" w:rsidRPr="007D5748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24D145B4" w14:textId="15BF4007" w:rsidR="001B468D" w:rsidRPr="007D5748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0B6BE20F" w14:textId="3BC4503C" w:rsidR="001B468D" w:rsidRPr="007D5748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14:paraId="44CC20DB" w14:textId="18C41C7D" w:rsidR="001B468D" w:rsidRPr="007D5748" w:rsidRDefault="001B468D" w:rsidP="001B46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14:paraId="5A92B2D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48E4FA2A" w14:textId="77777777" w:rsidR="00E963A3" w:rsidRDefault="00E963A3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</w:p>
    <w:p w14:paraId="135DFF58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A664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</w:t>
      </w: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na riešenie úbytku príjmov alebo zvýšených výdavkov podľa § 33 ods. 1 zákona č. 523/2004 Z. z. o rozpočtových pravidlách verejnej správy:</w:t>
      </w:r>
    </w:p>
    <w:p w14:paraId="18197D88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14:paraId="56E22DBD" w14:textId="62067864" w:rsidR="00601A50" w:rsidRPr="00A6648B" w:rsidRDefault="004D4866" w:rsidP="002A1D5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A664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p</w:t>
      </w:r>
      <w:r w:rsidR="002503D5" w:rsidRPr="00A664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redpoklad</w:t>
      </w:r>
      <w:r w:rsidRPr="00A664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á</w:t>
      </w:r>
      <w:r w:rsidR="002503D5" w:rsidRPr="00A664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výdavky verejnej správy </w:t>
      </w:r>
      <w:r w:rsidRPr="00A664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rokoch 2021 a 202</w:t>
      </w:r>
      <w:r w:rsidR="009C7D79" w:rsidRPr="00A664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</w:t>
      </w:r>
      <w:r w:rsidRPr="00A664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vo výške 421 591 eur každoročne. Ide o</w:t>
      </w:r>
      <w:r w:rsidR="009C7D79" w:rsidRPr="00A664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úhradu za výkony vo verejnom záujme </w:t>
      </w:r>
      <w:r w:rsidR="00A664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 osobnej lodnej doprave, na úhrade ktorých sa bude podieľať objednávateľ MDV SR vo výške 55</w:t>
      </w:r>
      <w:r w:rsidR="00B4075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bookmarkStart w:id="1" w:name="_GoBack"/>
      <w:bookmarkEnd w:id="1"/>
      <w:r w:rsidR="00A664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% </w:t>
      </w:r>
      <w:r w:rsidR="00A6648B" w:rsidRPr="00A664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 celkovej ročnej úhrady za poskytnutú dopravnú službu vo verejnom záujme</w:t>
      </w:r>
      <w:r w:rsidR="00A6648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</w:t>
      </w:r>
      <w:r w:rsidR="002A1D57">
        <w:rPr>
          <w:rFonts w:ascii="Times New Roman" w:hAnsi="Times New Roman"/>
          <w:sz w:val="24"/>
          <w:szCs w:val="24"/>
        </w:rPr>
        <w:t>v</w:t>
      </w:r>
      <w:r w:rsidR="002A1D57" w:rsidRPr="0096442B">
        <w:rPr>
          <w:rFonts w:ascii="Times New Roman" w:hAnsi="Times New Roman"/>
          <w:sz w:val="24"/>
          <w:szCs w:val="24"/>
        </w:rPr>
        <w:t>yšš</w:t>
      </w:r>
      <w:r w:rsidR="002A1D57">
        <w:rPr>
          <w:rFonts w:ascii="Times New Roman" w:hAnsi="Times New Roman"/>
          <w:sz w:val="24"/>
          <w:szCs w:val="24"/>
        </w:rPr>
        <w:t>ie</w:t>
      </w:r>
      <w:r w:rsidR="002A1D57" w:rsidRPr="0096442B">
        <w:rPr>
          <w:rFonts w:ascii="Times New Roman" w:hAnsi="Times New Roman"/>
          <w:sz w:val="24"/>
          <w:szCs w:val="24"/>
        </w:rPr>
        <w:t xml:space="preserve"> územn</w:t>
      </w:r>
      <w:r w:rsidR="002A1D57">
        <w:rPr>
          <w:rFonts w:ascii="Times New Roman" w:hAnsi="Times New Roman"/>
          <w:sz w:val="24"/>
          <w:szCs w:val="24"/>
        </w:rPr>
        <w:t>é</w:t>
      </w:r>
      <w:r w:rsidR="002A1D57" w:rsidRPr="0096442B">
        <w:rPr>
          <w:rFonts w:ascii="Times New Roman" w:hAnsi="Times New Roman"/>
          <w:sz w:val="24"/>
          <w:szCs w:val="24"/>
        </w:rPr>
        <w:t xml:space="preserve"> celk</w:t>
      </w:r>
      <w:r w:rsidR="002A1D57">
        <w:rPr>
          <w:rFonts w:ascii="Times New Roman" w:hAnsi="Times New Roman"/>
          <w:sz w:val="24"/>
          <w:szCs w:val="24"/>
        </w:rPr>
        <w:t>y</w:t>
      </w:r>
      <w:r w:rsidR="002A1D57" w:rsidRPr="0096442B">
        <w:rPr>
          <w:rFonts w:ascii="Times New Roman" w:hAnsi="Times New Roman"/>
          <w:sz w:val="24"/>
          <w:szCs w:val="24"/>
        </w:rPr>
        <w:t>, na území ktor</w:t>
      </w:r>
      <w:r w:rsidR="002A1D57">
        <w:rPr>
          <w:rFonts w:ascii="Times New Roman" w:hAnsi="Times New Roman"/>
          <w:sz w:val="24"/>
          <w:szCs w:val="24"/>
        </w:rPr>
        <w:t>ých</w:t>
      </w:r>
      <w:r w:rsidR="002A1D57" w:rsidRPr="0096442B">
        <w:rPr>
          <w:rFonts w:ascii="Times New Roman" w:hAnsi="Times New Roman"/>
          <w:sz w:val="24"/>
          <w:szCs w:val="24"/>
        </w:rPr>
        <w:t xml:space="preserve"> sa nachádza nácestná alebo cieľová zastávka</w:t>
      </w:r>
      <w:r w:rsidR="002A1D57">
        <w:rPr>
          <w:rFonts w:ascii="Times New Roman" w:hAnsi="Times New Roman"/>
          <w:sz w:val="24"/>
          <w:szCs w:val="24"/>
        </w:rPr>
        <w:t xml:space="preserve">. Vyššie územné celky poskytnú príspevok </w:t>
      </w:r>
      <w:r w:rsidR="002A1D57" w:rsidRPr="0096442B">
        <w:rPr>
          <w:rFonts w:ascii="Times New Roman" w:hAnsi="Times New Roman"/>
          <w:sz w:val="24"/>
          <w:szCs w:val="24"/>
        </w:rPr>
        <w:t>vo výške</w:t>
      </w:r>
      <w:r w:rsidR="002A1D57">
        <w:rPr>
          <w:rFonts w:ascii="Times New Roman" w:hAnsi="Times New Roman"/>
          <w:sz w:val="24"/>
          <w:szCs w:val="24"/>
        </w:rPr>
        <w:t xml:space="preserve"> spolu</w:t>
      </w:r>
      <w:r w:rsidR="002A1D57" w:rsidRPr="0096442B">
        <w:rPr>
          <w:rFonts w:ascii="Times New Roman" w:hAnsi="Times New Roman"/>
          <w:sz w:val="24"/>
          <w:szCs w:val="24"/>
        </w:rPr>
        <w:t xml:space="preserve"> 45</w:t>
      </w:r>
      <w:r w:rsidR="002A1D57">
        <w:rPr>
          <w:rFonts w:ascii="Times New Roman" w:hAnsi="Times New Roman"/>
          <w:sz w:val="24"/>
          <w:szCs w:val="24"/>
        </w:rPr>
        <w:t xml:space="preserve"> </w:t>
      </w:r>
      <w:r w:rsidR="002A1D57" w:rsidRPr="0096442B">
        <w:rPr>
          <w:rFonts w:ascii="Times New Roman" w:hAnsi="Times New Roman"/>
          <w:sz w:val="24"/>
          <w:szCs w:val="24"/>
        </w:rPr>
        <w:t xml:space="preserve">% z úhrady za </w:t>
      </w:r>
      <w:r w:rsidR="002A1D57">
        <w:rPr>
          <w:rFonts w:ascii="Times New Roman" w:hAnsi="Times New Roman"/>
          <w:sz w:val="24"/>
          <w:szCs w:val="24"/>
        </w:rPr>
        <w:t>objednanú</w:t>
      </w:r>
      <w:r w:rsidR="002A1D57" w:rsidRPr="0096442B">
        <w:rPr>
          <w:rFonts w:ascii="Times New Roman" w:hAnsi="Times New Roman"/>
          <w:sz w:val="24"/>
          <w:szCs w:val="24"/>
        </w:rPr>
        <w:t xml:space="preserve"> dopravnú službu vo verejnom záujme</w:t>
      </w:r>
      <w:r w:rsidR="002A1D57">
        <w:rPr>
          <w:rFonts w:ascii="Times New Roman" w:hAnsi="Times New Roman"/>
          <w:sz w:val="24"/>
          <w:szCs w:val="24"/>
        </w:rPr>
        <w:t>, pričom každý z týchto vyšších územných celkov sa na príspevku podieľa v pomere dĺžky prepravnej trasy k celkovej prepravnej trase.</w:t>
      </w:r>
    </w:p>
    <w:p w14:paraId="3E22770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14:paraId="4B3C00E8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FBB02D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14:paraId="6DA29DC3" w14:textId="77777777"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A2F5EAD" w14:textId="77777777" w:rsidR="00100E36" w:rsidRDefault="00100E36" w:rsidP="00100E36">
      <w:pPr>
        <w:pStyle w:val="Default"/>
        <w:jc w:val="both"/>
        <w:rPr>
          <w:rFonts w:ascii="Times New Roman" w:hAnsi="Times New Roman" w:cs="Times New Roman"/>
        </w:rPr>
      </w:pPr>
      <w:r>
        <w:t>Návrh</w:t>
      </w:r>
      <w:r w:rsidRPr="00474F4E">
        <w:t xml:space="preserve"> zákona </w:t>
      </w:r>
      <w:r>
        <w:t xml:space="preserve">rieši </w:t>
      </w:r>
      <w:r w:rsidRPr="00474F4E">
        <w:t>zavedenie výkonov vo verejnom záujme vo verejnej osobnej lodnej doprave</w:t>
      </w:r>
      <w:r>
        <w:t xml:space="preserve">, zavedenie verejného dopravcu vykonávajúceho pravidelnú vnútroštátnu verejnú osobnú lodnú dopravu, rozšírenie osobitných  povinností pre verejného dopravcu, ustanovenie oprávnení dopravcu voči cestujúcim, doplnenie povinností cestujúceho v osobnej lodnej doprave. Dopĺňajú sa požiadavky na povinné údaje v prepravnom poriadku vzhľadom na vykonávanie osobnej lodnej dopravy. Na poskytovanie dopravných služieb vo verejnom záujme v osobnej doprave sa ustanovuje podmienka pre verejného dopravcu mať licenciu a byť finančne spôsobilým. Ustanovuje sa kto je objednávateľom dopravných služieb vo verejnom záujme, upravuje sa pojem dopravná obslužnosť a dopĺňajú sa ustanovenia o pláne dopravnej obslužnosti a jeho obsahu ako aj o zmluve o dopravných službách. </w:t>
      </w:r>
      <w:r w:rsidRPr="004B328A">
        <w:rPr>
          <w:rFonts w:ascii="Times New Roman" w:hAnsi="Times New Roman" w:cs="Times New Roman"/>
        </w:rPr>
        <w:t xml:space="preserve"> </w:t>
      </w:r>
    </w:p>
    <w:p w14:paraId="731B2EE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4E33027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14:paraId="4ABB391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B89D0A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14:paraId="411600A4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14:paraId="04235DF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6C58B9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14:paraId="5BD94E2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14:paraId="3A993F6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14:paraId="24226CEC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B9620A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DF2FE55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14:paraId="6E1407E0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7F061A" w14:textId="77777777"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14:paraId="5119D24F" w14:textId="77777777"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14:paraId="08EA1D09" w14:textId="77777777" w:rsidTr="004D486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14:paraId="66A609B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14:paraId="0AD0D78E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14:paraId="17BC6811" w14:textId="77777777" w:rsidTr="004D486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14:paraId="1868897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7D6E2744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5E54CC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48BEFF2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24F4FFC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14:paraId="139382E0" w14:textId="77777777" w:rsidTr="004D4866">
        <w:trPr>
          <w:trHeight w:val="70"/>
        </w:trPr>
        <w:tc>
          <w:tcPr>
            <w:tcW w:w="4530" w:type="dxa"/>
          </w:tcPr>
          <w:p w14:paraId="31F10EC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14:paraId="07D0770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6374259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79D39D1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63FAB18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52E850F0" w14:textId="77777777" w:rsidTr="004D4866">
        <w:trPr>
          <w:trHeight w:val="70"/>
        </w:trPr>
        <w:tc>
          <w:tcPr>
            <w:tcW w:w="4530" w:type="dxa"/>
          </w:tcPr>
          <w:p w14:paraId="1D1085F9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14:paraId="1DF05695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83663A7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4999C91F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BC580BB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14:paraId="6A26A3FF" w14:textId="77777777" w:rsidTr="004D4866">
        <w:trPr>
          <w:trHeight w:val="70"/>
        </w:trPr>
        <w:tc>
          <w:tcPr>
            <w:tcW w:w="4530" w:type="dxa"/>
          </w:tcPr>
          <w:p w14:paraId="3575DA3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14:paraId="054106FD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AB5C252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19EC964A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14:paraId="244E47D6" w14:textId="77777777"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14:paraId="676E63DF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0FA53FB" w14:textId="2485B73B"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D316D8" w14:textId="732F67E6" w:rsidR="00F5522C" w:rsidRDefault="00F5522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1E262" w14:textId="3082846E" w:rsidR="00F5522C" w:rsidRDefault="00F5522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A1F3CC4" w14:textId="13B5B6F4" w:rsidR="00F5522C" w:rsidRDefault="00F5522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D387C44" w14:textId="7523D35A" w:rsidR="00F5522C" w:rsidRDefault="00F5522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A7024CB" w14:textId="6538CD14" w:rsidR="00F5522C" w:rsidRDefault="00F5522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207672" w14:textId="77777777" w:rsidR="00F5522C" w:rsidRPr="007D5748" w:rsidRDefault="00F5522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E748239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14:paraId="06B4ADD6" w14:textId="77777777"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140EF5C" w14:textId="5E376931" w:rsidR="007D5748" w:rsidRDefault="009C7D7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Výpočet vp</w:t>
      </w:r>
      <w:r w:rsidR="0041227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l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yvov  na rozpočet verejnej správy vychádzal z</w:t>
      </w:r>
      <w:r w:rsidR="0041227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 finančnej analýzy projektu DUNAJBUS</w:t>
      </w:r>
      <w:r w:rsidR="00552031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. </w:t>
      </w:r>
    </w:p>
    <w:p w14:paraId="34FD1E8D" w14:textId="77777777" w:rsidR="00552031" w:rsidRDefault="00552031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0ECB543F" w14:textId="3948B2B8" w:rsidR="00552031" w:rsidRDefault="00552031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Rozdelenie príspevku:</w:t>
      </w:r>
    </w:p>
    <w:p w14:paraId="5E7FCC3B" w14:textId="71C84782" w:rsidR="00552031" w:rsidRDefault="00552031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55% objednávateľ MDV SR</w:t>
      </w:r>
    </w:p>
    <w:p w14:paraId="7542B9F8" w14:textId="114CDBB1" w:rsidR="00552031" w:rsidRPr="007D5748" w:rsidRDefault="00552031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45% vyššie územné celky</w:t>
      </w:r>
      <w:r w:rsidR="00601A50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 xml:space="preserve"> (z toho Bratislavský samosprávny kraj 73% a Trnavský samosprávny kraj 23%)</w:t>
      </w:r>
    </w:p>
    <w:p w14:paraId="532B6627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42FAB5D1" w14:textId="3954F227" w:rsid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950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92"/>
        <w:gridCol w:w="1134"/>
        <w:gridCol w:w="992"/>
        <w:gridCol w:w="992"/>
        <w:gridCol w:w="900"/>
        <w:gridCol w:w="900"/>
        <w:gridCol w:w="900"/>
      </w:tblGrid>
      <w:tr w:rsidR="004D3EBE" w:rsidRPr="00412278" w14:paraId="56FFC812" w14:textId="28A0B5CA" w:rsidTr="00F5522C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3DF9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6.3 Finančná udržateľnosť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A060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5598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9670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27F2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83FE9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ABF8E" w14:textId="6D36135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4374C3" w14:textId="4E90F142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EBE" w:rsidRPr="00412278" w14:paraId="323D2C5E" w14:textId="20E3564D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7D91E9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Peňažné toky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CE13DAA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76751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136FFC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BBDD0F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2024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1C3901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  <w:t>2025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4C728C62" w14:textId="2984462C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1805F38" w14:textId="5284CD9D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2027</w:t>
            </w:r>
          </w:p>
        </w:tc>
      </w:tr>
      <w:tr w:rsidR="004D3EBE" w:rsidRPr="00412278" w14:paraId="743ECEDD" w14:textId="14D1DC76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BE2FE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Finančné zdroje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A6F4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A2C0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7DDD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34028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11333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034AAC" w14:textId="4BD0F2C0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547DFA" w14:textId="29FD8D1D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3EBE" w:rsidRPr="00412278" w14:paraId="345A817F" w14:textId="3B71C353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E282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Príjmy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E345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1 061 885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E9B65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1 061 885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368C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1 061 885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964B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1 061 885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37144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839 837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5F2963" w14:textId="7F1B5172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839 837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C37376" w14:textId="5610804B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839 837</w:t>
            </w:r>
          </w:p>
        </w:tc>
      </w:tr>
      <w:tr w:rsidR="004D3EBE" w:rsidRPr="00412278" w14:paraId="18049248" w14:textId="74314E0E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26B11E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Celkové príjmy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0A50F9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1 061 885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D12B8A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1 061 885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E8000C2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1 061 885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FA9F216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1 061 885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5B90723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839 837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28C6746" w14:textId="52169D14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839 837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F62A964" w14:textId="4894EE51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839 837</w:t>
            </w:r>
          </w:p>
        </w:tc>
      </w:tr>
      <w:tr w:rsidR="004D3EBE" w:rsidRPr="00412278" w14:paraId="1BBBE905" w14:textId="07094DAE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998B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Investičné výdavky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7693B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C171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5F10D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D7A3C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702AC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5B281" w14:textId="1487826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CDAB60" w14:textId="2DA26F41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3EBE" w:rsidRPr="00412278" w14:paraId="4602ACDA" w14:textId="0334314F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73152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Prevádzkové výdavky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CF0CB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1 483 475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4E2C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1 483 475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D131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1 483 475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B0B29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1 483 475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7ECE0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1 550 975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54565B" w14:textId="4B92CF2E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1 618 475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18C72" w14:textId="5A22E4E3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1 618 475</w:t>
            </w:r>
          </w:p>
        </w:tc>
      </w:tr>
      <w:tr w:rsidR="004D3EBE" w:rsidRPr="00412278" w14:paraId="285C9050" w14:textId="2EF5C267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E0620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Splátky úverov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564F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E5EB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864AD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B27E0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8CDA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52FC193" w14:textId="07B3B5C1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421DF8F" w14:textId="14506610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3EBE" w:rsidRPr="00412278" w14:paraId="5F990599" w14:textId="128A4728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190989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Celkové výdavky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99BDA1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1 483 475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B0CB1F0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1 483 475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11325F8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1 483 475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A47682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1 483 475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6323C8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1 550 975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DD88F53" w14:textId="6B682916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1 618 475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FF57C7" w14:textId="15FD1074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1 618 475</w:t>
            </w:r>
          </w:p>
        </w:tc>
      </w:tr>
      <w:tr w:rsidR="004D3EBE" w:rsidRPr="00412278" w14:paraId="529670F7" w14:textId="79D74FBF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C78A7DC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Celkové peňažné toky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4091F7B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-421 590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0D0980E3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-421 590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0A237B7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-421 590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A404A9D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-421 590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F7B286C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-711 138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</w:tcPr>
          <w:p w14:paraId="541B4626" w14:textId="286CF581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-778 638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</w:tcPr>
          <w:p w14:paraId="355F1212" w14:textId="771314A6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-778 638</w:t>
            </w:r>
          </w:p>
        </w:tc>
      </w:tr>
      <w:tr w:rsidR="004D3EBE" w:rsidRPr="00412278" w14:paraId="4EF7B950" w14:textId="1B451675" w:rsidTr="00F5522C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9AD4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Prevádzková dotácia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E6337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421 590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0F319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421 590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CFCF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421 590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32E37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421 590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0AAAE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711 138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7B38C8" w14:textId="320C2CC0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778 638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3E25ED" w14:textId="181D92C0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778 638</w:t>
            </w:r>
          </w:p>
        </w:tc>
      </w:tr>
      <w:tr w:rsidR="004D3EBE" w:rsidRPr="00412278" w14:paraId="5A276182" w14:textId="5941C3B2" w:rsidTr="00F5522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08D10B3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Celkové peňažné toky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50B3FC17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23DACEE8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1C4057E0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6B77EBB0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7299AB6E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</w:tcPr>
          <w:p w14:paraId="4AFD7242" w14:textId="419390CA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CC"/>
            <w:vAlign w:val="bottom"/>
          </w:tcPr>
          <w:p w14:paraId="78152BB5" w14:textId="55266255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3EBE" w:rsidRPr="00412278" w14:paraId="317FCE94" w14:textId="5F3AC7DF" w:rsidTr="00F5522C">
        <w:trPr>
          <w:trHeight w:val="24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33D49EFE" w14:textId="77777777" w:rsidR="004D3EBE" w:rsidRPr="00412278" w:rsidRDefault="004D3EBE" w:rsidP="004D3E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Kumulovaný čistý peňažný tok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5D3D340A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0023C80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0D7BE4F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2FACC54D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1219E455" w14:textId="77777777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6D129F6F" w14:textId="3C9745A0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7E7B54F7" w14:textId="1256D070" w:rsidR="004D3EBE" w:rsidRPr="00412278" w:rsidRDefault="004D3EBE" w:rsidP="004D3EB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0ADAA766" w14:textId="0B4960E3" w:rsidR="00412278" w:rsidRDefault="0041227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14:paraId="1916A368" w14:textId="775EDF1E" w:rsidR="008B5053" w:rsidRDefault="008B505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7544" w:type="dxa"/>
        <w:tblInd w:w="-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970"/>
        <w:gridCol w:w="970"/>
        <w:gridCol w:w="970"/>
        <w:gridCol w:w="970"/>
        <w:gridCol w:w="970"/>
      </w:tblGrid>
      <w:tr w:rsidR="004D3EBE" w:rsidRPr="00412278" w14:paraId="5EF23091" w14:textId="72935C31" w:rsidTr="00F5522C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4560" w14:textId="77777777" w:rsidR="004D3EBE" w:rsidRPr="00412278" w:rsidRDefault="004D3EBE" w:rsidP="008B5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6.3 Finančná udržateľnosť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BC921" w14:textId="6DD51F1A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C1A89" w14:textId="24171BD6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4DFC36" w14:textId="2593B018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5820C" w14:textId="2DD749E8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4A5A9" w14:textId="7FA35C6A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4D3EBE" w:rsidRPr="00412278" w14:paraId="49631F90" w14:textId="504AC948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C7ED94D" w14:textId="77777777" w:rsidR="004D3EBE" w:rsidRPr="00412278" w:rsidRDefault="004D3EBE" w:rsidP="008B5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Peňažné toky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7E605EB9" w14:textId="1981AA90" w:rsidR="004D3EBE" w:rsidRDefault="004D3EBE" w:rsidP="008B505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2028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3D6DFA3B" w14:textId="1E791C13" w:rsidR="004D3EBE" w:rsidRDefault="004D3EBE" w:rsidP="008B505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2029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58BE95E3" w14:textId="2736BC80" w:rsidR="004D3EBE" w:rsidRDefault="004D3EBE" w:rsidP="008B505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2030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CD033B5" w14:textId="79EA4BCB" w:rsidR="004D3EBE" w:rsidRDefault="004D3EBE" w:rsidP="008B505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2031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14:paraId="6018A27A" w14:textId="328CE2DF" w:rsidR="004D3EBE" w:rsidRDefault="004D3EBE" w:rsidP="008B505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2032</w:t>
            </w:r>
          </w:p>
        </w:tc>
      </w:tr>
      <w:tr w:rsidR="004D3EBE" w:rsidRPr="00412278" w14:paraId="7E2C5308" w14:textId="2C1DFB90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EA0D0" w14:textId="77777777" w:rsidR="004D3EBE" w:rsidRPr="00412278" w:rsidRDefault="004D3EBE" w:rsidP="008B50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Finančné zdroje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78AB0" w14:textId="5B5242A9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669A69" w14:textId="7DD42236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F318A" w14:textId="4E316322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9563C" w14:textId="57B4F062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48839B" w14:textId="61E84B98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3EBE" w:rsidRPr="00412278" w14:paraId="3E75DD3C" w14:textId="19ED7EF1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4356" w14:textId="77777777" w:rsidR="004D3EBE" w:rsidRPr="00412278" w:rsidRDefault="004D3EBE" w:rsidP="008B50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Príjmy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721447" w14:textId="57CA2A20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839 837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5C4C22" w14:textId="01BEEA64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839 837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3DD8D3" w14:textId="1432ACDD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808 202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29115" w14:textId="771E460B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808 202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2BAEC7" w14:textId="27A8E41B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808 202</w:t>
            </w:r>
          </w:p>
        </w:tc>
      </w:tr>
      <w:tr w:rsidR="004D3EBE" w:rsidRPr="00412278" w14:paraId="20B20A66" w14:textId="71DCF037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B519F8" w14:textId="77777777" w:rsidR="004D3EBE" w:rsidRPr="00412278" w:rsidRDefault="004D3EBE" w:rsidP="008B5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Celkové príjmy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2C2D4817" w14:textId="19959AEC" w:rsidR="004D3EBE" w:rsidRDefault="004D3EBE" w:rsidP="008B50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839 837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85ADC7F" w14:textId="1B6521EF" w:rsidR="004D3EBE" w:rsidRDefault="004D3EBE" w:rsidP="008B50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839 837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66D92A" w14:textId="11D38B45" w:rsidR="004D3EBE" w:rsidRDefault="004D3EBE" w:rsidP="008B50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808 202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578134C3" w14:textId="7B928771" w:rsidR="004D3EBE" w:rsidRDefault="004D3EBE" w:rsidP="008B50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808 202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3F86BB6" w14:textId="1543AA24" w:rsidR="004D3EBE" w:rsidRDefault="004D3EBE" w:rsidP="008B50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808 202</w:t>
            </w:r>
          </w:p>
        </w:tc>
      </w:tr>
      <w:tr w:rsidR="004D3EBE" w:rsidRPr="00412278" w14:paraId="320754BD" w14:textId="2C48F72A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B395" w14:textId="77777777" w:rsidR="004D3EBE" w:rsidRPr="00412278" w:rsidRDefault="004D3EBE" w:rsidP="008B50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Investičné výdavky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EF147C" w14:textId="1A22CBA1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E97F38" w14:textId="43EAADB7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A5445" w14:textId="1D17113C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5A872" w14:textId="18FCF6C7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EDC21" w14:textId="5FE2E1BF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3EBE" w:rsidRPr="00412278" w14:paraId="713F9D3B" w14:textId="348F979C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A8EE" w14:textId="77777777" w:rsidR="004D3EBE" w:rsidRPr="00412278" w:rsidRDefault="004D3EBE" w:rsidP="008B50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Prevádzkové výdavky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ADFF8F" w14:textId="37670982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1 618 475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6975D" w14:textId="06E49A38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1 618 475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CCBCCC" w14:textId="0AFD0F98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1 618 475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978448" w14:textId="294BE501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1 618 475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B8094D" w14:textId="1DFB3ED8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1 618 475</w:t>
            </w:r>
          </w:p>
        </w:tc>
      </w:tr>
      <w:tr w:rsidR="004D3EBE" w:rsidRPr="00412278" w14:paraId="33EB099F" w14:textId="46498957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FDA6B" w14:textId="77777777" w:rsidR="004D3EBE" w:rsidRPr="00412278" w:rsidRDefault="004D3EBE" w:rsidP="008B50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Splátky úverov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4FF0E9" w14:textId="22526437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A3363" w14:textId="4DDB69A5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A1FAC" w14:textId="7570CCB5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FBDF1E" w14:textId="036A3FEE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6BB8E" w14:textId="4AA6B1DF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3EBE" w:rsidRPr="00412278" w14:paraId="68C6F5F4" w14:textId="7EF5EE1B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ADCEEEE" w14:textId="77777777" w:rsidR="004D3EBE" w:rsidRPr="00412278" w:rsidRDefault="004D3EBE" w:rsidP="008B5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Celkové výdavky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1F4296D3" w14:textId="789B6B45" w:rsidR="004D3EBE" w:rsidRDefault="004D3EBE" w:rsidP="008B50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1 618 475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7A1CA25D" w14:textId="7D6F3CDC" w:rsidR="004D3EBE" w:rsidRDefault="004D3EBE" w:rsidP="008B50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1 618 475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0F170FD9" w14:textId="2F7EBB6F" w:rsidR="004D3EBE" w:rsidRDefault="004D3EBE" w:rsidP="008B50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1 618 475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49A70FFC" w14:textId="2BE96060" w:rsidR="004D3EBE" w:rsidRDefault="004D3EBE" w:rsidP="008B50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1 618 475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BBC7280" w14:textId="780283D6" w:rsidR="004D3EBE" w:rsidRDefault="004D3EBE" w:rsidP="008B505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1 618 475</w:t>
            </w:r>
          </w:p>
        </w:tc>
      </w:tr>
      <w:tr w:rsidR="004D3EBE" w:rsidRPr="00412278" w14:paraId="4558EEAC" w14:textId="47817988" w:rsidTr="00F5522C">
        <w:trPr>
          <w:trHeight w:val="225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33D67525" w14:textId="77777777" w:rsidR="004D3EBE" w:rsidRPr="00412278" w:rsidRDefault="004D3EBE" w:rsidP="008B5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Celkové peňažné toky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bottom"/>
          </w:tcPr>
          <w:p w14:paraId="3065453C" w14:textId="13C98CDB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-778 638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bottom"/>
          </w:tcPr>
          <w:p w14:paraId="55E99C50" w14:textId="362D6070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-778 638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bottom"/>
          </w:tcPr>
          <w:p w14:paraId="41A4C021" w14:textId="05D968FB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-810 273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bottom"/>
          </w:tcPr>
          <w:p w14:paraId="5D29BF31" w14:textId="009D12D2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-810 273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bottom"/>
          </w:tcPr>
          <w:p w14:paraId="4D2038DD" w14:textId="1388A20E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-810 273</w:t>
            </w:r>
          </w:p>
        </w:tc>
      </w:tr>
      <w:tr w:rsidR="004D3EBE" w:rsidRPr="00412278" w14:paraId="612AD728" w14:textId="683243AF" w:rsidTr="00F5522C">
        <w:trPr>
          <w:trHeight w:val="2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91B57" w14:textId="77777777" w:rsidR="004D3EBE" w:rsidRPr="00412278" w:rsidRDefault="004D3EBE" w:rsidP="008B505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Prevádzková dotácia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228D09" w14:textId="13D90D01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778 638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D2C3B" w14:textId="08D4910B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778 638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7EE81" w14:textId="5DCD16E1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810 273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7C1BDB" w14:textId="1FF3A54F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810 273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5B82C3" w14:textId="7BBDA98E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810 273</w:t>
            </w:r>
          </w:p>
        </w:tc>
      </w:tr>
      <w:tr w:rsidR="004D3EBE" w:rsidRPr="00412278" w14:paraId="15F060AE" w14:textId="30B46C26" w:rsidTr="00F5522C">
        <w:trPr>
          <w:trHeight w:val="240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14:paraId="438D11CB" w14:textId="77777777" w:rsidR="004D3EBE" w:rsidRPr="00412278" w:rsidRDefault="004D3EBE" w:rsidP="008B5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Celkové peňažné toky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bottom"/>
          </w:tcPr>
          <w:p w14:paraId="61EAB31E" w14:textId="53A50B89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bottom"/>
          </w:tcPr>
          <w:p w14:paraId="481D4016" w14:textId="7DB85BE2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bottom"/>
          </w:tcPr>
          <w:p w14:paraId="25853057" w14:textId="24A9FA7E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bottom"/>
          </w:tcPr>
          <w:p w14:paraId="7F1639F9" w14:textId="27FB8453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CC"/>
            <w:vAlign w:val="bottom"/>
          </w:tcPr>
          <w:p w14:paraId="14A5CAA5" w14:textId="361EAED0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D3EBE" w:rsidRPr="00412278" w14:paraId="0C6466C8" w14:textId="375BD171" w:rsidTr="00F5522C">
        <w:trPr>
          <w:trHeight w:val="240"/>
        </w:trPr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noWrap/>
            <w:vAlign w:val="bottom"/>
            <w:hideMark/>
          </w:tcPr>
          <w:p w14:paraId="41B9B513" w14:textId="77777777" w:rsidR="004D3EBE" w:rsidRPr="00412278" w:rsidRDefault="004D3EBE" w:rsidP="008B50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</w:pPr>
            <w:r w:rsidRPr="0041227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sk-SK"/>
              </w:rPr>
              <w:t>Kumulovaný čistý peňažný tok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3863C24A" w14:textId="7EE7A4FC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4BFED6B7" w14:textId="17B15CD9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60B7F202" w14:textId="0A43A9B5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2873BD25" w14:textId="60D2330F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bottom"/>
          </w:tcPr>
          <w:p w14:paraId="587EAA0D" w14:textId="52252FB6" w:rsidR="004D3EBE" w:rsidRDefault="004D3EBE" w:rsidP="008B505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14:paraId="0DA26DB9" w14:textId="77777777" w:rsidR="008B5053" w:rsidRPr="007D5748" w:rsidRDefault="008B505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8B5053" w:rsidRPr="007D5748" w:rsidSect="004D486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14:paraId="733AF4C3" w14:textId="2F2DF7BF" w:rsidR="007D5748" w:rsidRPr="007D5748" w:rsidRDefault="000A74F7" w:rsidP="00F5522C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5522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lastRenderedPageBreak/>
        <w:t>Ministerstvo dopravy a výstavby SR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ab/>
      </w:r>
      <w:r w:rsidR="008B50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buľka č. </w:t>
      </w:r>
      <w:r w:rsidR="008B50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3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7CCDB18" w14:textId="77777777"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14:paraId="215AA24A" w14:textId="77777777" w:rsidTr="004D486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8FE041B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3F05839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675696F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14:paraId="4652CDE7" w14:textId="77777777" w:rsidTr="004D4866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10B7FE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6F4D35" w14:textId="11861D87" w:rsidR="007D5748" w:rsidRPr="007D5748" w:rsidRDefault="009D6C3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F1E476" w14:textId="61276DED" w:rsidR="007D5748" w:rsidRPr="007D5748" w:rsidRDefault="009D6C3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D66698" w14:textId="40B10B8B" w:rsidR="007D5748" w:rsidRPr="007D5748" w:rsidRDefault="009D6C3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2ACC5B" w14:textId="6314A34B" w:rsidR="007D5748" w:rsidRPr="007D5748" w:rsidRDefault="009D6C3B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E918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552031" w:rsidRPr="007D5748" w14:paraId="57C2B39F" w14:textId="77777777" w:rsidTr="00F5522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DE2C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A53438" w14:textId="77777777" w:rsidR="00552031" w:rsidRPr="007D5748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13A76" w14:textId="04141F20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C8CD8" w14:textId="3D6259E4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231 875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1B5A" w14:textId="011F4597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231 875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A2038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43353BF0" w14:textId="77777777" w:rsidTr="004D48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CC34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3C0E2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B5759" w14:textId="77777777" w:rsidR="007D5748" w:rsidRPr="00F5522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52C27B" w14:textId="77777777" w:rsidR="007D5748" w:rsidRPr="00F5522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BB7A9" w14:textId="77777777" w:rsidR="007D5748" w:rsidRPr="00F5522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EC1931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6390BDE8" w14:textId="77777777" w:rsidTr="004D48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4AD0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80B97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18DC6" w14:textId="77777777" w:rsidR="007D5748" w:rsidRPr="00F5522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58D0AE" w14:textId="77777777" w:rsidR="007D5748" w:rsidRPr="00F5522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4A5E54" w14:textId="77777777" w:rsidR="007D5748" w:rsidRPr="00F5522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1A26A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14:paraId="5C1B6142" w14:textId="77777777" w:rsidTr="004D48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61CB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FE93E5" w14:textId="77777777"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C884B" w14:textId="77777777" w:rsidR="007D5748" w:rsidRPr="00F5522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855F65" w14:textId="77777777" w:rsidR="007D5748" w:rsidRPr="00F5522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9575E" w14:textId="77777777" w:rsidR="007D5748" w:rsidRPr="00F5522C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A899B66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2031" w:rsidRPr="007D5748" w14:paraId="683E3B43" w14:textId="77777777" w:rsidTr="00F5522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0C93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236F3" w14:textId="77777777" w:rsidR="00552031" w:rsidRPr="007D5748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2D00F" w14:textId="12FAC8FF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4A9BD" w14:textId="1231312F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sk-SK"/>
              </w:rPr>
              <w:t>231 875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608CC8" w14:textId="04388E1A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Cs/>
                <w:iCs/>
                <w:szCs w:val="24"/>
                <w:lang w:eastAsia="sk-SK"/>
              </w:rPr>
              <w:t>231 875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059551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2031" w:rsidRPr="007D5748" w14:paraId="11120E3A" w14:textId="77777777" w:rsidTr="004D48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45654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2097F4" w14:textId="77777777" w:rsidR="00552031" w:rsidRPr="007D5748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23167" w14:textId="77777777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DDF405" w14:textId="77777777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E70EC0" w14:textId="77777777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2DB8A9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552031" w:rsidRPr="007D5748" w14:paraId="40020578" w14:textId="77777777" w:rsidTr="004D48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90F2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D97DD" w14:textId="77777777" w:rsidR="00552031" w:rsidRPr="007D5748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D7CE2D" w14:textId="77777777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D8CD5" w14:textId="77777777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E0A438" w14:textId="77777777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08ADD8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2031" w:rsidRPr="007D5748" w14:paraId="38464009" w14:textId="77777777" w:rsidTr="004D48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A9CE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71C2E" w14:textId="77777777" w:rsidR="00552031" w:rsidRPr="007D5748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0CA1C" w14:textId="77777777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164CE4" w14:textId="77777777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90B3EC" w14:textId="77777777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53508F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2031" w:rsidRPr="007D5748" w14:paraId="7966764B" w14:textId="77777777" w:rsidTr="004D48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37B0C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647D22" w14:textId="77777777" w:rsidR="00552031" w:rsidRPr="007D5748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17245" w14:textId="77777777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990A3" w14:textId="77777777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EB9AB" w14:textId="77777777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D45CA15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2031" w:rsidRPr="007D5748" w14:paraId="288BD74E" w14:textId="77777777" w:rsidTr="004D486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2663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E2E89A5" w14:textId="77777777" w:rsidR="00552031" w:rsidRPr="007D5748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2A634527" w14:textId="77777777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D60A436" w14:textId="77777777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3F888A8D" w14:textId="77777777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382261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2031" w:rsidRPr="007D5748" w14:paraId="2543074A" w14:textId="77777777" w:rsidTr="00F5522C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CF8CC0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576B2F" w14:textId="77777777" w:rsidR="00552031" w:rsidRPr="007D5748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B79DDB" w14:textId="29C95F3F" w:rsidR="00552031" w:rsidRPr="00F5522C" w:rsidRDefault="006A733B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32F7B61" w14:textId="2D57B60D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231 875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9D0125" w14:textId="18EFD31D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231 875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6541B82A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799F246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06D8CE7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D526999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C876A50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E7DE600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00596B6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5389035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808149C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E24B900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D77A115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703876F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2D9001E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280D062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02F2E76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0702505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11A8FA2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711D5AA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4C14562" w14:textId="102A5524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43110C70" w14:textId="77777777" w:rsidR="00601A50" w:rsidRDefault="00601A50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0730C13" w14:textId="77777777" w:rsidR="000A74F7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EE4F75F" w14:textId="456D589F" w:rsidR="008B5053" w:rsidRPr="000A74F7" w:rsidRDefault="000A74F7" w:rsidP="00F5522C">
      <w:pPr>
        <w:tabs>
          <w:tab w:val="num" w:pos="1080"/>
        </w:tabs>
        <w:spacing w:after="0" w:line="240" w:lineRule="auto"/>
        <w:ind w:right="-32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5522C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lastRenderedPageBreak/>
        <w:t>Bratislavský samosprávny kraj</w:t>
      </w:r>
      <w:r w:rsidRPr="00F5522C">
        <w:rPr>
          <w:rFonts w:ascii="Times New Roman" w:eastAsia="Times New Roman" w:hAnsi="Times New Roman" w:cs="Times New Roman"/>
          <w:bCs/>
          <w:szCs w:val="20"/>
          <w:lang w:eastAsia="sk-SK"/>
        </w:rPr>
        <w:tab/>
      </w:r>
      <w:r w:rsidRPr="00F5522C">
        <w:rPr>
          <w:rFonts w:ascii="Times New Roman" w:eastAsia="Times New Roman" w:hAnsi="Times New Roman" w:cs="Times New Roman"/>
          <w:bCs/>
          <w:szCs w:val="20"/>
          <w:lang w:eastAsia="sk-SK"/>
        </w:rPr>
        <w:tab/>
      </w:r>
      <w:r w:rsidRPr="00F5522C">
        <w:rPr>
          <w:rFonts w:ascii="Times New Roman" w:eastAsia="Times New Roman" w:hAnsi="Times New Roman" w:cs="Times New Roman"/>
          <w:bCs/>
          <w:szCs w:val="20"/>
          <w:lang w:eastAsia="sk-SK"/>
        </w:rPr>
        <w:tab/>
      </w:r>
      <w:r w:rsidRPr="00F5522C">
        <w:rPr>
          <w:rFonts w:ascii="Times New Roman" w:eastAsia="Times New Roman" w:hAnsi="Times New Roman" w:cs="Times New Roman"/>
          <w:bCs/>
          <w:szCs w:val="20"/>
          <w:lang w:eastAsia="sk-SK"/>
        </w:rPr>
        <w:tab/>
      </w:r>
      <w:r w:rsidRPr="00F5522C">
        <w:rPr>
          <w:rFonts w:ascii="Times New Roman" w:eastAsia="Times New Roman" w:hAnsi="Times New Roman" w:cs="Times New Roman"/>
          <w:bCs/>
          <w:szCs w:val="20"/>
          <w:lang w:eastAsia="sk-SK"/>
        </w:rPr>
        <w:tab/>
      </w:r>
      <w:r w:rsidRPr="00F5522C">
        <w:rPr>
          <w:rFonts w:ascii="Times New Roman" w:eastAsia="Times New Roman" w:hAnsi="Times New Roman" w:cs="Times New Roman"/>
          <w:bCs/>
          <w:szCs w:val="20"/>
          <w:lang w:eastAsia="sk-SK"/>
        </w:rPr>
        <w:tab/>
      </w:r>
      <w:r w:rsidRPr="00F5522C">
        <w:rPr>
          <w:rFonts w:ascii="Times New Roman" w:eastAsia="Times New Roman" w:hAnsi="Times New Roman" w:cs="Times New Roman"/>
          <w:bCs/>
          <w:szCs w:val="20"/>
          <w:lang w:eastAsia="sk-SK"/>
        </w:rPr>
        <w:tab/>
      </w:r>
      <w:r w:rsidRPr="00F5522C">
        <w:rPr>
          <w:rFonts w:ascii="Times New Roman" w:eastAsia="Times New Roman" w:hAnsi="Times New Roman" w:cs="Times New Roman"/>
          <w:bCs/>
          <w:szCs w:val="20"/>
          <w:lang w:eastAsia="sk-SK"/>
        </w:rPr>
        <w:tab/>
      </w:r>
      <w:r w:rsidRPr="00F5522C">
        <w:rPr>
          <w:rFonts w:ascii="Times New Roman" w:eastAsia="Times New Roman" w:hAnsi="Times New Roman" w:cs="Times New Roman"/>
          <w:bCs/>
          <w:szCs w:val="20"/>
          <w:lang w:eastAsia="sk-SK"/>
        </w:rPr>
        <w:tab/>
      </w:r>
      <w:r w:rsidRPr="00F5522C">
        <w:rPr>
          <w:rFonts w:ascii="Times New Roman" w:eastAsia="Times New Roman" w:hAnsi="Times New Roman" w:cs="Times New Roman"/>
          <w:bCs/>
          <w:szCs w:val="20"/>
          <w:lang w:eastAsia="sk-SK"/>
        </w:rPr>
        <w:tab/>
      </w:r>
      <w:r w:rsidRPr="00F5522C">
        <w:rPr>
          <w:rFonts w:ascii="Times New Roman" w:eastAsia="Times New Roman" w:hAnsi="Times New Roman" w:cs="Times New Roman"/>
          <w:bCs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bCs/>
          <w:szCs w:val="20"/>
          <w:lang w:eastAsia="sk-SK"/>
        </w:rPr>
        <w:tab/>
      </w:r>
      <w:r w:rsidR="008B5053" w:rsidRPr="000A74F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4 </w:t>
      </w:r>
    </w:p>
    <w:p w14:paraId="50F2B64D" w14:textId="77777777" w:rsidR="008B5053" w:rsidRPr="007D5748" w:rsidRDefault="008B5053" w:rsidP="008B505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8B5053" w:rsidRPr="007D5748" w14:paraId="583CBAF7" w14:textId="77777777" w:rsidTr="00640AF1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488A0F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BE50C03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D0A8929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B5053" w:rsidRPr="007D5748" w14:paraId="032937D4" w14:textId="77777777" w:rsidTr="00640AF1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CDD841A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921A246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5B468D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AAE5103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66A5FF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1388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01A50" w:rsidRPr="007D5748" w14:paraId="457311A4" w14:textId="77777777" w:rsidTr="00F5522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750" w14:textId="77777777" w:rsidR="00601A50" w:rsidRPr="007D5748" w:rsidRDefault="00601A50" w:rsidP="00601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A113DB" w14:textId="77777777" w:rsidR="00601A50" w:rsidRPr="007D5748" w:rsidRDefault="00601A50" w:rsidP="006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3703A" w14:textId="7BBAFE8F" w:rsidR="00601A50" w:rsidRPr="00F5522C" w:rsidRDefault="00601A50" w:rsidP="006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55FB4" w14:textId="04D0881A" w:rsidR="00601A50" w:rsidRPr="00F5522C" w:rsidRDefault="00601A50" w:rsidP="006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138 493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52EF7" w14:textId="1BEFC3A4" w:rsidR="00601A50" w:rsidRPr="00F5522C" w:rsidRDefault="00601A50" w:rsidP="006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138 493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47AADF" w14:textId="77777777" w:rsidR="00601A50" w:rsidRPr="007D5748" w:rsidRDefault="00601A50" w:rsidP="0060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B5053" w:rsidRPr="007D5748" w14:paraId="1B4E4838" w14:textId="77777777" w:rsidTr="00640A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983E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5704B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61CB0E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7C1D0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93075A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8DE9C6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B5053" w:rsidRPr="007D5748" w14:paraId="611CF158" w14:textId="77777777" w:rsidTr="00640A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466A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DB2195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A41922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651C8C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04EF9D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694231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2031" w:rsidRPr="007D5748" w14:paraId="16DB05CD" w14:textId="77777777" w:rsidTr="00F5522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3A8DE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22417" w14:textId="77777777" w:rsidR="00552031" w:rsidRPr="007D5748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F5F39" w14:textId="5CDF1ECB" w:rsidR="00552031" w:rsidRPr="00F5522C" w:rsidRDefault="00552031" w:rsidP="00F55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D184" w14:textId="31FC2A35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569D8D" w14:textId="419CA895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E719F1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A1D57" w:rsidRPr="007D5748" w14:paraId="41F873BF" w14:textId="77777777" w:rsidTr="00DD534E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3561" w14:textId="77777777" w:rsidR="002A1D57" w:rsidRPr="007D5748" w:rsidRDefault="002A1D57" w:rsidP="002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EB503" w14:textId="77777777" w:rsidR="002A1D57" w:rsidRPr="007D5748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307C9" w14:textId="77777777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5E7FBD" w14:textId="1B550371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sk-SK"/>
              </w:rPr>
              <w:t>138 493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5747B5" w14:textId="2771B4F5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Cs w:val="24"/>
                <w:lang w:eastAsia="sk-SK"/>
              </w:rPr>
              <w:t>138 493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66C09F" w14:textId="77777777" w:rsidR="002A1D57" w:rsidRPr="007D5748" w:rsidRDefault="002A1D57" w:rsidP="002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A1D57" w:rsidRPr="007D5748" w14:paraId="75C9F9C1" w14:textId="77777777" w:rsidTr="00640A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3402" w14:textId="77777777" w:rsidR="002A1D57" w:rsidRPr="007D5748" w:rsidRDefault="002A1D57" w:rsidP="002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4137D3" w14:textId="77777777" w:rsidR="002A1D57" w:rsidRPr="007D5748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7604F" w14:textId="77777777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69B8F" w14:textId="77777777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A5CCC" w14:textId="77777777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F16B928" w14:textId="77777777" w:rsidR="002A1D57" w:rsidRPr="007D5748" w:rsidRDefault="002A1D57" w:rsidP="002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A1D57" w:rsidRPr="007D5748" w14:paraId="238F7DAA" w14:textId="77777777" w:rsidTr="00640A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6108" w14:textId="77777777" w:rsidR="002A1D57" w:rsidRPr="007D5748" w:rsidRDefault="002A1D57" w:rsidP="002A1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BA6AB8" w14:textId="77777777" w:rsidR="002A1D57" w:rsidRPr="007D5748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9CBD28" w14:textId="77777777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1176BC" w14:textId="77777777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04BD8D" w14:textId="77777777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E886FD" w14:textId="77777777" w:rsidR="002A1D57" w:rsidRPr="007D5748" w:rsidRDefault="002A1D57" w:rsidP="002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A1D57" w:rsidRPr="007D5748" w14:paraId="3DB4A93D" w14:textId="77777777" w:rsidTr="00640A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002" w14:textId="77777777" w:rsidR="002A1D57" w:rsidRPr="007D5748" w:rsidRDefault="002A1D57" w:rsidP="002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7120FB" w14:textId="77777777" w:rsidR="002A1D57" w:rsidRPr="007D5748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0B185F" w14:textId="77777777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B2D087" w14:textId="77777777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F6809E" w14:textId="77777777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B1025E" w14:textId="77777777" w:rsidR="002A1D57" w:rsidRPr="007D5748" w:rsidRDefault="002A1D57" w:rsidP="002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A1D57" w:rsidRPr="007D5748" w14:paraId="3F1A70EE" w14:textId="77777777" w:rsidTr="00640A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61E0" w14:textId="77777777" w:rsidR="002A1D57" w:rsidRPr="007D5748" w:rsidRDefault="002A1D57" w:rsidP="002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0AA9D" w14:textId="77777777" w:rsidR="002A1D57" w:rsidRPr="007D5748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E1385" w14:textId="77777777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F778F" w14:textId="77777777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6A832A" w14:textId="77777777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A36B069" w14:textId="77777777" w:rsidR="002A1D57" w:rsidRPr="007D5748" w:rsidRDefault="002A1D57" w:rsidP="002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A1D57" w:rsidRPr="007D5748" w14:paraId="2C411FB0" w14:textId="77777777" w:rsidTr="00640A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2A8E" w14:textId="77777777" w:rsidR="002A1D57" w:rsidRPr="007D5748" w:rsidRDefault="002A1D57" w:rsidP="002A1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4E4C9075" w14:textId="77777777" w:rsidR="002A1D57" w:rsidRPr="007D5748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A4EB08B" w14:textId="77777777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5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7D7AEBE" w14:textId="77777777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55203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579E97" w14:textId="77777777" w:rsidR="002A1D57" w:rsidRPr="00552031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5520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6BF274" w14:textId="77777777" w:rsidR="002A1D57" w:rsidRPr="007D5748" w:rsidRDefault="002A1D57" w:rsidP="002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A1D57" w:rsidRPr="007D5748" w14:paraId="255C0288" w14:textId="77777777" w:rsidTr="00F5522C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9696AB8" w14:textId="77777777" w:rsidR="002A1D57" w:rsidRPr="007D5748" w:rsidRDefault="002A1D57" w:rsidP="002A1D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2FEF22" w14:textId="77777777" w:rsidR="002A1D57" w:rsidRPr="007D5748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F5C079" w14:textId="6CD448B7" w:rsidR="002A1D57" w:rsidRPr="00F5522C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E5A2A0" w14:textId="2271613D" w:rsidR="002A1D57" w:rsidRPr="00F5522C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138 493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9C7E3B" w14:textId="5274B6C9" w:rsidR="002A1D57" w:rsidRPr="00F5522C" w:rsidRDefault="002A1D57" w:rsidP="002A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  <w:lang w:eastAsia="sk-SK"/>
              </w:rPr>
              <w:t>138 493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49A3A0C8" w14:textId="77777777" w:rsidR="002A1D57" w:rsidRPr="007D5748" w:rsidRDefault="002A1D57" w:rsidP="002A1D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7604D1CA" w14:textId="77777777" w:rsidR="008B5053" w:rsidRPr="007D5748" w:rsidRDefault="008B5053" w:rsidP="008B505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F11C7C" w14:textId="7F22DC80" w:rsidR="008B5053" w:rsidRDefault="008B5053" w:rsidP="008B505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7720DD0" w14:textId="1DF6DA5A" w:rsidR="000A74F7" w:rsidRDefault="000A74F7" w:rsidP="008B505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22235DAD" w14:textId="5F68842D" w:rsidR="000A74F7" w:rsidRDefault="000A74F7" w:rsidP="008B505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7A388DA" w14:textId="577595E5" w:rsidR="000A74F7" w:rsidRDefault="000A74F7" w:rsidP="008B505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50444FC" w14:textId="4A328CAF" w:rsidR="000A74F7" w:rsidRDefault="000A74F7" w:rsidP="008B505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104BF077" w14:textId="39D9B746" w:rsidR="000A74F7" w:rsidRDefault="000A74F7" w:rsidP="008B505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058BC9D" w14:textId="57494BEC" w:rsidR="000A74F7" w:rsidRDefault="000A74F7" w:rsidP="008B505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1F26EA2" w14:textId="7703180D" w:rsidR="000A74F7" w:rsidRDefault="000A74F7" w:rsidP="008B505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CBE902D" w14:textId="673F5A5A" w:rsidR="000A74F7" w:rsidRDefault="000A74F7" w:rsidP="008B505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47A0D69" w14:textId="77CB3CC5" w:rsidR="000A74F7" w:rsidRDefault="000A74F7" w:rsidP="008B505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4AE74315" w14:textId="72B55AEB" w:rsidR="000A74F7" w:rsidRDefault="000A74F7" w:rsidP="008B505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26DF065" w14:textId="5E79A8A1" w:rsidR="000A74F7" w:rsidRDefault="000A74F7" w:rsidP="008B505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7C471056" w14:textId="200014FC" w:rsidR="000A74F7" w:rsidRDefault="000A74F7" w:rsidP="008B505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3E31C37D" w14:textId="2E2ED0E0" w:rsidR="000A74F7" w:rsidRDefault="000A74F7" w:rsidP="008B505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550FF4FE" w14:textId="77777777" w:rsidR="000A74F7" w:rsidRPr="007D5748" w:rsidRDefault="000A74F7" w:rsidP="008B5053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9DE7C52" w14:textId="03A5812C" w:rsidR="008B5053" w:rsidRPr="007D5748" w:rsidRDefault="000A74F7" w:rsidP="008B5053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Trnavský samosprávny kraj                                                                                                                                                                             </w:t>
      </w:r>
      <w:r w:rsidR="008B5053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Tabuľka č. </w:t>
      </w:r>
      <w:r w:rsidR="008B505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5</w:t>
      </w:r>
      <w:r w:rsidR="008B5053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14:paraId="3753FCE7" w14:textId="77777777" w:rsidR="008B5053" w:rsidRPr="007D5748" w:rsidRDefault="008B5053" w:rsidP="008B5053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8B5053" w:rsidRPr="007D5748" w14:paraId="007F6B69" w14:textId="77777777" w:rsidTr="00640AF1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19FCB7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C00C74D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4EAD879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8B5053" w:rsidRPr="007D5748" w14:paraId="1DA58EC2" w14:textId="77777777" w:rsidTr="00640AF1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483944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C9C04A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E2D35F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D3EF1A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F88A191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2022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B31E3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601A50" w:rsidRPr="007D5748" w14:paraId="5712D10C" w14:textId="77777777" w:rsidTr="00F5522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7247" w14:textId="77777777" w:rsidR="00601A50" w:rsidRPr="007D5748" w:rsidRDefault="00601A50" w:rsidP="00601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70AC7" w14:textId="77777777" w:rsidR="00601A50" w:rsidRPr="007D5748" w:rsidRDefault="00601A50" w:rsidP="006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526DF" w14:textId="28259771" w:rsidR="00601A50" w:rsidRPr="00F5522C" w:rsidRDefault="00601A50" w:rsidP="006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103C9" w14:textId="11C6D8F5" w:rsidR="00601A50" w:rsidRPr="00F5522C" w:rsidRDefault="00601A50" w:rsidP="006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51 223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5B40DC" w14:textId="3D40D087" w:rsidR="00601A50" w:rsidRPr="00F5522C" w:rsidRDefault="00601A50" w:rsidP="006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  <w:t>51 223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42817" w14:textId="77777777" w:rsidR="00601A50" w:rsidRPr="007D5748" w:rsidRDefault="00601A50" w:rsidP="0060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B5053" w:rsidRPr="007D5748" w14:paraId="06AB25A2" w14:textId="77777777" w:rsidTr="00640A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9945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06B2B9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3480F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F05406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D4254C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A7BA83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B5053" w:rsidRPr="007D5748" w14:paraId="15741B3F" w14:textId="77777777" w:rsidTr="00640A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7CDC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8F5E8ED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F5A03D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43AF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5E96C6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AE9B2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B5053" w:rsidRPr="007D5748" w14:paraId="426749F4" w14:textId="77777777" w:rsidTr="00640A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019A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B82FE2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11E11F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F62B05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DD209A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738A038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552031" w:rsidRPr="007D5748" w14:paraId="26730706" w14:textId="77777777" w:rsidTr="00F5522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E5AB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3844C" w14:textId="77777777" w:rsidR="00552031" w:rsidRPr="007D5748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733C6" w14:textId="452F9C2C" w:rsidR="00552031" w:rsidRPr="00F5522C" w:rsidRDefault="00552031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9F671" w14:textId="74AE6539" w:rsidR="00552031" w:rsidRPr="00F5522C" w:rsidRDefault="00601A50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sk-SK"/>
              </w:rPr>
              <w:t>51 223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019C7" w14:textId="677064B0" w:rsidR="00552031" w:rsidRPr="00F5522C" w:rsidRDefault="00601A50" w:rsidP="00552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sk-SK"/>
              </w:rPr>
              <w:t>51 223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9C122" w14:textId="77777777" w:rsidR="00552031" w:rsidRPr="007D5748" w:rsidRDefault="00552031" w:rsidP="00552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B5053" w:rsidRPr="007D5748" w14:paraId="7EE3EACE" w14:textId="77777777" w:rsidTr="00640A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14A92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F69143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2FA974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84B97C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CC8490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2068331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8B5053" w:rsidRPr="007D5748" w14:paraId="2189E743" w14:textId="77777777" w:rsidTr="00640A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D25B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99A7B9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46D07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977318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27397C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D514BF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B5053" w:rsidRPr="007D5748" w14:paraId="036E0353" w14:textId="77777777" w:rsidTr="00640A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C331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41FE13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BCFF7D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7A2170F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B5A38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A0D091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B5053" w:rsidRPr="007D5748" w14:paraId="21208B3F" w14:textId="77777777" w:rsidTr="00640A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46EB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E76EF3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8485B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C89FF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E6EBA7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EB54CA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8B5053" w:rsidRPr="007D5748" w14:paraId="17D12843" w14:textId="77777777" w:rsidTr="00640AF1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BCC3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7D786C9D" w14:textId="77777777" w:rsidR="008B5053" w:rsidRPr="007D5748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0FEBB2E8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603B2919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58A49479" w14:textId="77777777" w:rsidR="008B5053" w:rsidRPr="00F5522C" w:rsidRDefault="008B5053" w:rsidP="0064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E0D17B" w14:textId="77777777" w:rsidR="008B5053" w:rsidRPr="007D5748" w:rsidRDefault="008B5053" w:rsidP="00640A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601A50" w:rsidRPr="007D5748" w14:paraId="30C75C03" w14:textId="77777777" w:rsidTr="00F5522C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025E3E" w14:textId="77777777" w:rsidR="00601A50" w:rsidRPr="007D5748" w:rsidRDefault="00601A50" w:rsidP="00601A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E64A70" w14:textId="77777777" w:rsidR="00601A50" w:rsidRPr="007D5748" w:rsidRDefault="00601A50" w:rsidP="006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28354" w14:textId="4603F466" w:rsidR="00601A50" w:rsidRPr="00F5522C" w:rsidRDefault="006A733B" w:rsidP="006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3502C9" w14:textId="796471B9" w:rsidR="00601A50" w:rsidRPr="00F5522C" w:rsidRDefault="00601A50" w:rsidP="006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szCs w:val="20"/>
                <w:lang w:eastAsia="sk-SK"/>
              </w:rPr>
              <w:t>51 223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B8A79E" w14:textId="4B5F739D" w:rsidR="00601A50" w:rsidRPr="00F5522C" w:rsidRDefault="00601A50" w:rsidP="00601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sk-SK"/>
              </w:rPr>
            </w:pPr>
            <w:r w:rsidRPr="00F5522C">
              <w:rPr>
                <w:rFonts w:ascii="Times New Roman" w:eastAsia="Times New Roman" w:hAnsi="Times New Roman" w:cs="Times New Roman"/>
                <w:b/>
                <w:szCs w:val="24"/>
                <w:lang w:eastAsia="sk-SK"/>
              </w:rPr>
              <w:t>51 223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80346FD" w14:textId="77777777" w:rsidR="00601A50" w:rsidRPr="007D5748" w:rsidRDefault="00601A50" w:rsidP="00601A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14:paraId="0A08049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0A3EEE3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5C106DD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D5339E7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CE160D4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D4CA66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30992506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E2E1C09" w14:textId="4741C64D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1100E991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B0D1FAA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71849B3D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07447550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6855452B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14:paraId="2A4B6AEC" w14:textId="77777777"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7D5748" w:rsidRPr="007D5748" w14:paraId="4514C2A4" w14:textId="77777777" w:rsidTr="004D4866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14:paraId="4719447D" w14:textId="4BBAD05A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540EF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A78DC47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9A76642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60AE358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AC079FC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42CFC05C" w14:textId="77777777" w:rsidTr="004D4866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14:paraId="5310D510" w14:textId="16295A32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7CA9C01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14:paraId="0CE3BEDA" w14:textId="77777777" w:rsidTr="004D486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71355C6" w14:textId="4B75F58C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BCE6A4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8D07F29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1AB1F7D" w14:textId="77777777"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14:paraId="7B9BEA43" w14:textId="77777777" w:rsidR="00CB3623" w:rsidRDefault="00CB3623" w:rsidP="00F5522C">
      <w:pPr>
        <w:spacing w:after="0" w:line="240" w:lineRule="auto"/>
        <w:jc w:val="center"/>
      </w:pPr>
    </w:p>
    <w:sectPr w:rsidR="00CB3623" w:rsidSect="00F5522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D23E3" w14:textId="77777777" w:rsidR="005A1A0B" w:rsidRDefault="005A1A0B">
      <w:pPr>
        <w:spacing w:after="0" w:line="240" w:lineRule="auto"/>
      </w:pPr>
      <w:r>
        <w:separator/>
      </w:r>
    </w:p>
  </w:endnote>
  <w:endnote w:type="continuationSeparator" w:id="0">
    <w:p w14:paraId="3C26D6AF" w14:textId="77777777" w:rsidR="005A1A0B" w:rsidRDefault="005A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65E164" w14:textId="77777777" w:rsidR="00A6648B" w:rsidRDefault="00A6648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14:paraId="7C849DE1" w14:textId="77777777" w:rsidR="00A6648B" w:rsidRDefault="00A6648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FCFF13" w14:textId="19832352" w:rsidR="00A6648B" w:rsidRDefault="00A6648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B4075F">
      <w:rPr>
        <w:noProof/>
      </w:rPr>
      <w:t>1</w:t>
    </w:r>
    <w:r>
      <w:fldChar w:fldCharType="end"/>
    </w:r>
  </w:p>
  <w:p w14:paraId="7FD2604D" w14:textId="77777777" w:rsidR="00A6648B" w:rsidRDefault="00A6648B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8C9BD" w14:textId="77777777" w:rsidR="00A6648B" w:rsidRDefault="00A6648B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14:paraId="12D007EB" w14:textId="77777777" w:rsidR="00A6648B" w:rsidRDefault="00A6648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AFFEC" w14:textId="77777777" w:rsidR="005A1A0B" w:rsidRDefault="005A1A0B">
      <w:pPr>
        <w:spacing w:after="0" w:line="240" w:lineRule="auto"/>
      </w:pPr>
      <w:r>
        <w:separator/>
      </w:r>
    </w:p>
  </w:footnote>
  <w:footnote w:type="continuationSeparator" w:id="0">
    <w:p w14:paraId="4E20452E" w14:textId="77777777" w:rsidR="005A1A0B" w:rsidRDefault="005A1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319724" w14:textId="77777777" w:rsidR="00A6648B" w:rsidRDefault="00A6648B" w:rsidP="004D486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14:paraId="518034E4" w14:textId="77777777" w:rsidR="00A6648B" w:rsidRPr="00EB59C8" w:rsidRDefault="00A6648B" w:rsidP="004D486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54E06" w14:textId="77777777" w:rsidR="00A6648B" w:rsidRPr="0024067A" w:rsidRDefault="00A6648B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177B6" w14:textId="77777777" w:rsidR="00A6648B" w:rsidRPr="000A15AE" w:rsidRDefault="00A6648B" w:rsidP="004D486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35EB6"/>
    <w:rsid w:val="00042A92"/>
    <w:rsid w:val="000543C8"/>
    <w:rsid w:val="00057135"/>
    <w:rsid w:val="000A74F7"/>
    <w:rsid w:val="000C5B2A"/>
    <w:rsid w:val="00100E36"/>
    <w:rsid w:val="001127A8"/>
    <w:rsid w:val="00150963"/>
    <w:rsid w:val="0016602F"/>
    <w:rsid w:val="00170D2B"/>
    <w:rsid w:val="00176978"/>
    <w:rsid w:val="001B468D"/>
    <w:rsid w:val="00200898"/>
    <w:rsid w:val="00212894"/>
    <w:rsid w:val="00230FA9"/>
    <w:rsid w:val="002503D5"/>
    <w:rsid w:val="002A1D57"/>
    <w:rsid w:val="00317B90"/>
    <w:rsid w:val="00412278"/>
    <w:rsid w:val="00440CA4"/>
    <w:rsid w:val="00487203"/>
    <w:rsid w:val="004D3EBE"/>
    <w:rsid w:val="004D4866"/>
    <w:rsid w:val="004F26B4"/>
    <w:rsid w:val="005005EC"/>
    <w:rsid w:val="0050716B"/>
    <w:rsid w:val="00531C77"/>
    <w:rsid w:val="00552031"/>
    <w:rsid w:val="005A1A0B"/>
    <w:rsid w:val="00601A50"/>
    <w:rsid w:val="00640AF1"/>
    <w:rsid w:val="00682797"/>
    <w:rsid w:val="006A733B"/>
    <w:rsid w:val="006C58B9"/>
    <w:rsid w:val="007246BD"/>
    <w:rsid w:val="007D5748"/>
    <w:rsid w:val="007D6699"/>
    <w:rsid w:val="008B5053"/>
    <w:rsid w:val="008B77D6"/>
    <w:rsid w:val="008D339D"/>
    <w:rsid w:val="008E2736"/>
    <w:rsid w:val="009079FC"/>
    <w:rsid w:val="009706B7"/>
    <w:rsid w:val="009C7D79"/>
    <w:rsid w:val="009D6C3B"/>
    <w:rsid w:val="00A6648B"/>
    <w:rsid w:val="00B4075F"/>
    <w:rsid w:val="00B5535C"/>
    <w:rsid w:val="00BC1CCD"/>
    <w:rsid w:val="00C15212"/>
    <w:rsid w:val="00C51FD4"/>
    <w:rsid w:val="00CB3623"/>
    <w:rsid w:val="00CE299A"/>
    <w:rsid w:val="00D308B1"/>
    <w:rsid w:val="00DE5BF1"/>
    <w:rsid w:val="00DF5FC5"/>
    <w:rsid w:val="00E07CE9"/>
    <w:rsid w:val="00E963A3"/>
    <w:rsid w:val="00EA1E90"/>
    <w:rsid w:val="00EA2B85"/>
    <w:rsid w:val="00F40136"/>
    <w:rsid w:val="00F5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44E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E3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F26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26B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26B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26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26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0E36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4F26B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F26B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F26B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F26B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F26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2C7B2B9-D707-4816-BA2E-943012690F17}">
  <ds:schemaRefs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1156</Words>
  <Characters>6593</Characters>
  <Application>Microsoft Office Word</Application>
  <DocSecurity>4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7734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Csöböková, Silvia</cp:lastModifiedBy>
  <cp:revision>2</cp:revision>
  <cp:lastPrinted>2019-09-20T10:30:00Z</cp:lastPrinted>
  <dcterms:created xsi:type="dcterms:W3CDTF">2019-09-20T10:31:00Z</dcterms:created>
  <dcterms:modified xsi:type="dcterms:W3CDTF">2019-09-20T10:31:00Z</dcterms:modified>
</cp:coreProperties>
</file>