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E6" w:rsidRPr="00935AAC" w:rsidRDefault="002B2B76">
      <w:pPr>
        <w:pStyle w:val="Normlnywebov"/>
        <w:spacing w:before="60" w:after="60"/>
        <w:jc w:val="center"/>
        <w:rPr>
          <w:b/>
          <w:bCs/>
          <w:caps/>
          <w:spacing w:val="30"/>
        </w:rPr>
      </w:pPr>
      <w:r w:rsidRPr="00935AAC">
        <w:rPr>
          <w:b/>
          <w:bCs/>
          <w:caps/>
          <w:spacing w:val="30"/>
        </w:rPr>
        <w:t>Dôvodová správa</w:t>
      </w:r>
    </w:p>
    <w:p w:rsidR="00254AE6" w:rsidRPr="00935AAC" w:rsidRDefault="00254AE6">
      <w:pPr>
        <w:pStyle w:val="Normlnywebov"/>
        <w:spacing w:before="60" w:after="60"/>
        <w:jc w:val="both"/>
        <w:rPr>
          <w:b/>
          <w:bCs/>
        </w:rPr>
      </w:pPr>
    </w:p>
    <w:p w:rsidR="00254AE6" w:rsidRPr="00935AAC" w:rsidRDefault="002B2B76">
      <w:pPr>
        <w:pStyle w:val="Normlnywebov"/>
        <w:spacing w:before="60" w:after="60"/>
        <w:jc w:val="both"/>
        <w:rPr>
          <w:b/>
          <w:bCs/>
        </w:rPr>
      </w:pPr>
      <w:r w:rsidRPr="00935AAC">
        <w:rPr>
          <w:b/>
          <w:bCs/>
        </w:rPr>
        <w:t>Všeobecná časť</w:t>
      </w:r>
    </w:p>
    <w:p w:rsidR="00254AE6" w:rsidRPr="00935AAC" w:rsidRDefault="002B2B76">
      <w:pPr>
        <w:pStyle w:val="Zkladntext2"/>
        <w:rPr>
          <w:color w:val="auto"/>
        </w:rPr>
      </w:pPr>
      <w:r w:rsidRPr="00935AAC">
        <w:rPr>
          <w:rStyle w:val="Zstupntext"/>
          <w:color w:val="auto"/>
        </w:rPr>
        <w:t>Návrh nariadenia vlády Slovenskej republiky, ktorým sa ustanovuje národná tabuľka frekvenčného spektra, bol vypracovaný na základe Plánu legislatívnych úloh vlády na rok 2019 na mesiac november, bod č. 1 a podľa § 6 ods. 2 písm. b) a § 30 ods. 3 zákona č. 351/2011 Z. z. o elektronických komunikáciách, v spolupráci s členmi Medzirezortnej komisie pre harmonizáciu využívania frekvenčného spektra, t. j. s Úradom pre reguláciu elektronických komunikácií a poštových služieb, Ministerstvom obrany Slovenskej republiky, Ministerstvom vnútra Slovenskej republiky a Slovenskou informačnou službou.</w:t>
      </w:r>
    </w:p>
    <w:p w:rsidR="00254AE6" w:rsidRPr="00935AAC" w:rsidRDefault="002B2B76">
      <w:pPr>
        <w:pStyle w:val="Zkladntext2"/>
        <w:rPr>
          <w:color w:val="auto"/>
        </w:rPr>
      </w:pPr>
      <w:r w:rsidRPr="00935AAC">
        <w:rPr>
          <w:rStyle w:val="Zstupntext"/>
          <w:color w:val="auto"/>
        </w:rPr>
        <w:t>Národná tabuľka frekvenčného spektra (ďalej len „NTFS“) je špecifický materiál, ktorý je pripravovaný skupinou odborníkov z vyššie uvedených rezortov a obsahuje najmä:</w:t>
      </w:r>
    </w:p>
    <w:p w:rsidR="00254AE6" w:rsidRPr="00935AAC" w:rsidRDefault="002B2B76">
      <w:pPr>
        <w:pStyle w:val="Standard"/>
        <w:numPr>
          <w:ilvl w:val="0"/>
          <w:numId w:val="9"/>
        </w:numPr>
        <w:ind w:left="284" w:hanging="284"/>
        <w:jc w:val="both"/>
      </w:pPr>
      <w:r w:rsidRPr="00935AAC">
        <w:rPr>
          <w:rStyle w:val="Zstupntext"/>
          <w:color w:val="auto"/>
        </w:rPr>
        <w:t>údaje o frekvenčnom pásme a jeho pridelení pre príslušné rádiokomunikačné služby podľa aktuálneho Rádiokomunikačného poriadku (RR) pre Región 1 (Slovensko je súčasťou tohto regiónu),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údaje o frekvenčnom pásme a jeho pridelení v Slovenskej republike, pričom toto pridelenie nepresahuje pridelenia pre služby podľa RR, pásmo však môže byť pridelené pre menej služieb,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informáciu, či je príslušné frekvenčné pásmo v Slovenskej republike pridelené na civilné alebo vojenské účely,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poznámky k prideleniu frekvenčného pásma (napr. údaje o chránených frekvenciách),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informácie o využití frekvenčných pásiem pre konkrétne aplikácie v rámci rádiokomunikačnej služby, pričom je rešpektovaný zoznam aplikácií podľa rozhodnutia Európskeho komunikačného výboru ECC/DEC/(01)03 o Frekvenčnom informačnom systéme Európskeho komunikačného úradu (ECO Frequency Information System – ďalej len „EFIS“) a poznámky k tomuto využitiu.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Okrem toho NTFS obsahuje aj poznámky k prideleniam frekvenčných pásiem podľa RR, vysvetlenie špecifických výrazov z oblasti správy frekvencií, definície kategórií (rádiokomunikačných) služieb, definície výrazov z oblasti zdieľania frekvencií (kategórie rušení), definície kategórií pridelení frekvenčných pásiem a skratky použité v NTFS.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V porovnaní s NTFS, ktorá bola ustanovená nariadením vlády Slovenskej republiky č. 386/2018</w:t>
      </w:r>
      <w:r w:rsidR="00B11CF8">
        <w:rPr>
          <w:rStyle w:val="Zstupntext"/>
          <w:color w:val="auto"/>
        </w:rPr>
        <w:t xml:space="preserve"> Z. z.</w:t>
      </w:r>
      <w:r w:rsidRPr="00935AAC">
        <w:rPr>
          <w:rStyle w:val="Zstupntext"/>
          <w:color w:val="auto"/>
        </w:rPr>
        <w:t>, ktorým sa ustanovuje národná tabuľka frekvenčného spektra, boli v novom návrhu NTFS vykonané najmä nasledujúce zmeny:</w:t>
      </w:r>
    </w:p>
    <w:p w:rsidR="00254AE6" w:rsidRPr="00935AAC" w:rsidRDefault="002B2B76">
      <w:pPr>
        <w:pStyle w:val="Standard"/>
        <w:numPr>
          <w:ilvl w:val="0"/>
          <w:numId w:val="10"/>
        </w:numPr>
        <w:spacing w:before="120"/>
        <w:jc w:val="both"/>
      </w:pPr>
      <w:r w:rsidRPr="00935AAC">
        <w:t>Bol aktualizovaný zoznam skratiek – vyplynulo z najnovšej terminológie EFIS, resp. tabuľky ECA a zo slovenských prekladov.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 celej tabuľke došlo k aktualizácii údajov o relevantných dokumentoch EU:</w:t>
      </w:r>
    </w:p>
    <w:p w:rsidR="00254AE6" w:rsidRPr="00935AAC" w:rsidRDefault="002B2B76">
      <w:pPr>
        <w:pStyle w:val="Standard"/>
        <w:numPr>
          <w:ilvl w:val="0"/>
          <w:numId w:val="11"/>
        </w:numPr>
        <w:spacing w:before="60"/>
        <w:jc w:val="both"/>
      </w:pPr>
      <w:r w:rsidRPr="00935AAC">
        <w:t>pre využitie GSM a TRA-ECS v pásme 900 MHz v stĺpci „Využitie v SR“ bolo doplnená smernica Európskeho parlamentu a Rady č. 2009/114/ES,</w:t>
      </w:r>
    </w:p>
    <w:p w:rsidR="00254AE6" w:rsidRPr="00935AAC" w:rsidRDefault="002B2B76">
      <w:pPr>
        <w:pStyle w:val="Standard"/>
        <w:numPr>
          <w:ilvl w:val="0"/>
          <w:numId w:val="7"/>
        </w:numPr>
        <w:spacing w:before="60"/>
        <w:jc w:val="both"/>
      </w:pPr>
      <w:r w:rsidRPr="00935AAC">
        <w:t>pre využitie DECT v pásme 1880 – 1930 MHz v stĺpci „Využitie v SR“  bola doplnená smernica Rady 91/287/EHS,</w:t>
      </w:r>
    </w:p>
    <w:p w:rsidR="00254AE6" w:rsidRPr="00935AAC" w:rsidRDefault="002B2B76">
      <w:pPr>
        <w:pStyle w:val="Standard"/>
        <w:numPr>
          <w:ilvl w:val="0"/>
          <w:numId w:val="7"/>
        </w:numPr>
        <w:spacing w:before="60"/>
        <w:jc w:val="both"/>
      </w:pPr>
      <w:r w:rsidRPr="00935AAC">
        <w:t>pre využitie TRA-ECS v pásme 3400 – 3600 MHz v stĺpci „Využitie v SR“   bolo doplnené vykonávacie rozhodnutie Komisie (EÚ) 2019/235.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 celej tabuľke došlo k aktualizácii platnosti príslušných rozhodnutí a odporúčaní ECC podľa súčasného stavu:</w:t>
      </w:r>
    </w:p>
    <w:p w:rsidR="00254AE6" w:rsidRPr="00935AAC" w:rsidRDefault="002B2B76">
      <w:pPr>
        <w:pStyle w:val="Standard"/>
        <w:numPr>
          <w:ilvl w:val="0"/>
          <w:numId w:val="7"/>
        </w:numPr>
        <w:spacing w:before="60"/>
        <w:jc w:val="both"/>
      </w:pPr>
      <w:r w:rsidRPr="00935AAC">
        <w:t>doplnené rozhodnutie ECC/DEC/(19)02,</w:t>
      </w:r>
    </w:p>
    <w:p w:rsidR="00254AE6" w:rsidRPr="00935AAC" w:rsidRDefault="002B2B76">
      <w:pPr>
        <w:pStyle w:val="Standard"/>
        <w:numPr>
          <w:ilvl w:val="0"/>
          <w:numId w:val="7"/>
        </w:numPr>
        <w:spacing w:before="60"/>
        <w:jc w:val="both"/>
      </w:pPr>
      <w:r w:rsidRPr="00935AAC">
        <w:lastRenderedPageBreak/>
        <w:t>vypustené zrušené rozhodnutie ECC/DEC/(06)06.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 celej tabuľke v stĺpci „Poznámka k využitiu“ bola vypustená informácia „všeobecné povolenie“.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 zmysle odporúčania ITU-R TF.460-6 a prílohy k odporúčaniu ITUR TF.768 z mája 2019 boli spresnené, resp. aktualizované údaje o chránených frekvenčných normáloch a časových signáloch, a to vo frekvenčných pásmach 19,95 – 70 kHz, 148,5 – 255 kHz, 526,5 – 1606,5 kHz, 2498 – 2501 kHz, 4995 – 5005 kHz, 9995 – 10003 kHz, 1003 – 1005 kHz, 14900 – 15005 kHz, 15005 – 15010 kHz, 19990 – 19995 kHz, 19995 – 20010 kHz, 24990 – 25005 kHz a  400,05 – 401 MHz.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 stĺpci „Poznámka k prideleniu“ boli doplnené údaje o chránených frekvenciách vo frekvenčných pásmach: 2173,5 – 2190,5 kHz, 4063 – 4438 kHz, 6200 – 6525 kHz, 8195 – 8815 kHz, 12230 – 13200 kHz, 16360 – 17410 kHz, 19680 – 19800 kHz, 22000 – 22885 kHz, 26100 – 26175 kHz, 117,975 – 137 MHz, 156,4875 – 156,5625 MHz a 235 – 260</w:t>
      </w:r>
      <w:r w:rsidRPr="00935AAC">
        <w:rPr>
          <w:lang w:val="be-BY"/>
        </w:rPr>
        <w:t xml:space="preserve"> </w:t>
      </w:r>
      <w:r w:rsidRPr="00935AAC">
        <w:t>MHz.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490 – 495 kHz v stĺpci „Poznámka k využitiu“ bola doplnená pre Letecké majáky poznámka „NDB a L“.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2173,5 – 2190,5 kHz v stĺpci „Využitie v SR“ bola skratka GMDSS nahradená pojmom „Plavebná komunikácia“ a v tom istom stĺpci bola doplnená skratka DSC (s príslušnými poznámkami k využitiu), pričom sa vychádzalo z poznámok k RR č. 5.108 – 5.111, odporúčania ITU-R M.541 a tabuľky ECA.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2850 – 3025 kHz bol v stĺpci „Poznámka k využitiu“ bol doplnený údaj o tiesňovej frekvencii 3023 kHz, vyplývajúci z poznámky k RR č. 5.111.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4063 – 4438 kHz v stĺpci „Využitie v SR“ boli doplnené pojmy „Plavebná komunikácia“ a „DSC“ (s príslušnými poznámkami k využitiu), pričom sa vychádzalo z poznámok k RR č. 5.109, 5.110, 5.132, odporúčania ITU-R M.541 a tabuľky ECA.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4750 – 4850 kHz v stĺpci „Pridelenie v SR“ bola služba „LETECKÁ POHYBLIVÁ (OR)“ pridelená aj na vojenské účely. Zároveň bolo v stĺpci „Využitie v SR“ doplnený pojem „Obranné systémy“.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4995 – 5003 kHz v stĺpci „Využitie v SR“ bol vypustený pojem „Frekvenčné normály a časové signály“ z dôvodu, že Slovensko takéto signály nevysiela. Informácia o chránených frekvenčných normáloch bola presunutá do stĺpca „Poznámka k prideleniu“.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5480 – 5680 kHz v stĺpci „Využitie v SR“ bol doplnený pojem „ SAR (komunikácia)“, pričom sa vychádzalo z poznámky k RR č. 5.111 a tabuľky ECA.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6200 – 6525 kHz v stĺpci „Využitie v SR“ bol doplnený pojem „DSC“, pričom sa vychádzalo z poznámky k RR č. 5.109 a tabuľky ECA. Zároveň v stĺpci „Poznámka k využitiu“ boli doplnené spresnené poznámky k využitiu SAR (komunikácia) a DSC.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frekvenčných pásmach 7300 – 7400 kHz a 7400 – 7500 kHz v stĺpci „Pridelenie v SR“ boli doplnené služby „PEVNÁ“ a „POHYBLIVÁ“ na civilné i vojenské účely.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8195 – 8815 kHz v stĺpci „Využitie v SR“ boli doplnené pojmy „Plavebná komunikácia“ a „DSC“ (s príslušnými poznámkami k využitiu), pričom sa vychádzalo z poznámok k RR č. 5.109 – 5.111, 5.132, odporúčania ITU-R M.541 a tabuľky ECA.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lastRenderedPageBreak/>
        <w:t>Vo frekvenčných pásmach 9400 – 9500 kHz, 9500 – 9900 kHz, 11600 – 11650 kHz, 11650 – 12050 kHz, 12050 – 12100 kHz, 15600 – 15800 kHz, 17480 – 17750 kHz a 18900 – 19020 kHz v stĺpci „Pridelenie v SR“ bola doplnená služba „PEVNÁ“ pre civilné a vojenské účely.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12230 – 13200 kHz v stĺpci „Využitie v SR“ boli doplnené pojmy „Plavebná komunikácia“ a „DSC“ (s príslušnými poznámkami k využitiu), pričom sa vychádzalo z poznámok k RR č. 5.109, 5.110, 5.132 a odporúčania ITU-R M.541.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frekvenčných pásmach 13570 – 13600 kHz a 13800 – 13870 kHz v stĺpci „Pridelenie v SR“ boli doplnené služby „PEVNÁ“ a „POHYBLIVÁ okrem leteckej pohyblivej“, a to na civilné a vojenské účely.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16360 – 17410 kHz v stĺpci „Využitie v SR“ boli doplnené pojmy „Plavebná komunikácia“ a „DSC“ (s príslušnými poznámkami k využitiu), pričom sa vychádzalo z poznámok k RR č. 5.109, 5.132 a odporúčania ITU-R M.541.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frekvenčných pásmach 19680 – 19800 kHz,  22000 – 22855 kHz, 26100 – 26175 kHz v stĺpci „Využitie v SR“ bol doplnený pojem „Plavebná komunikácia“ (s príslušnou poznámkou k využitiu), pričom sa vychádzalo z poznámky k RR č. 5.132.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48,5 – 66 MHz v stĺpci „Využitie v SR“ bol podľa VPR-01/2018 doplnený pojem „Nešpecifikované SRD“.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66 – 67 MHz v stĺpci „Pridelenie v SR“ bola zmenená „POHYBLIVÁ“ služba pre vojenské účely zmenená z podružnej na prednostnú.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68 – 74,8 MHz v stĺpci „Pridelenie v SR“ bolo rozšírené pridelenie pre službu „POHYBLIVÁ okrem leteckej pohyblivej“ aj na vojenské účely, s obmedzením na úsek 73,3 – 74,1 MHz, a to pre obranné systémy.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75,2 – 87,5 MHz v stĺpci „Pridelenie v SR“ bolo rozšírené pridelenie pre službu „POHYBLIVÁ okrem leteckej pohyblivej“ aj na vojenské účely, s obmedzením na úsek 79 – 79,7 MHz, a to pre obranné systémy.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108 – 117,975 MHz v stĺpci „Pridelenie v SR“ bola pre „LETECKÚ RÁDONAVIGÁCIU“ doplnená relevantná poznámka RR 5.197A.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137 – 138 MHz v stĺpci „Frekvenčné pásmo v SR“ bola doplnená relevantná poznámka RR 5.208.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 xml:space="preserve">Vo frekvenčnom pásme 156,7875 – 156,8125 MHz v stĺpci „Poznámka k využitiu“ bola doplnená informácia o frekvencii 156,8 MHz, ktorá sa využíva ako tiesňová, bezpečnostná a volacia frekvencia pre rádiotelefóniu. 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400,05 – 400,15 MHz v stĺpci „Frekvenčné pásmo v SR“ bola doplnená relevantná poznámka RR 5.261.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694 – 790</w:t>
      </w:r>
      <w:r w:rsidRPr="00935AAC">
        <w:rPr>
          <w:lang w:val="be-BY"/>
        </w:rPr>
        <w:t xml:space="preserve"> </w:t>
      </w:r>
      <w:r w:rsidRPr="00935AAC">
        <w:t>MHz v stĺpci „Poznámka k využitiu“ bola doplnená informácia o frekvenciách pre vzostup a zostup a pre duplexné frekvencie pre využitie TRA-ECS.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2300 – 2450 MHz v stĺpci „Poznámka k využitiu“ bola doplnená informácia pre využitie Video PMSE len v úseku 2300 – 2400 MHz.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v pásme 7250 – 7375 MHz v stĺpci „Pridelenie v SR“ bola doplnená služba „Družicová pevná (zostup)“ na vojenské účely.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lastRenderedPageBreak/>
        <w:t>Vo frekvenčnom pásme 9000 – 9200 MHz v stĺpci „Pridelenie v SR“ bola doplnená služba „RÁDIOLOKÁCIA“ aj na vojenské účely.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9200 – 9300 MHz v stĺpci „Pridelenie v SR“ bola zmenená služba „rádiolokáciu“ na vojenské účely zmenená z podružnej na prednostnú („RÁDIOLOKÁCIA“).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10 – 10,4 GHz v stĺpci „Poznámka k využitiu“ bola služba „PEVNÁ“ na vojenské účely obmedzená len na úsek 10 – 10,3 GHz.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10 – 10,4 GHz v stĺpci „Pridelenie v SR“ bola služba „RÁDIOLOKÁCIA“ rozšírená aj na vojenské účely a v stĺpci „Poznámka k využitiu“ bola obmedzená len na úsek 10 – 10,1 GHz.</w:t>
      </w:r>
    </w:p>
    <w:p w:rsidR="00254AE6" w:rsidRPr="00935AAC" w:rsidRDefault="002B2B76">
      <w:pPr>
        <w:pStyle w:val="Standard"/>
        <w:numPr>
          <w:ilvl w:val="0"/>
          <w:numId w:val="3"/>
        </w:numPr>
        <w:spacing w:before="120"/>
        <w:jc w:val="both"/>
      </w:pPr>
      <w:r w:rsidRPr="00935AAC">
        <w:t>Vo frekvenčnom pásme 77,5 – 86 GHz v stĺpci „Poznámka k využitiu“ bolo spresnené využitie TLPR a LPR len na úsek 75 – 85 GHz v súlade s VPR-02/2011 pre LPR a VPR-12/2014 pre TLPR.</w:t>
      </w:r>
    </w:p>
    <w:p w:rsidR="00254AE6" w:rsidRPr="00935AAC" w:rsidRDefault="002B2B76" w:rsidP="00BD183E">
      <w:pPr>
        <w:pStyle w:val="Zkladntext2"/>
        <w:spacing w:before="240"/>
        <w:rPr>
          <w:color w:val="auto"/>
        </w:rPr>
      </w:pPr>
      <w:r w:rsidRPr="00935AAC">
        <w:rPr>
          <w:rStyle w:val="Zstupntext"/>
          <w:color w:val="auto"/>
        </w:rPr>
        <w:t>Za</w:t>
      </w:r>
      <w:bookmarkStart w:id="0" w:name="_GoBack"/>
      <w:bookmarkEnd w:id="0"/>
      <w:r w:rsidRPr="00935AAC">
        <w:rPr>
          <w:rStyle w:val="Zstupntext"/>
          <w:color w:val="auto"/>
        </w:rPr>
        <w:t>bezpečenie účelného využívania frekvenčného spektra, hospodárenie a  dohľad nad efektívnym využívaním frekvenčného spektra prináleží štátu a je zabezpečené prostredníctvom Úradu pre reguláciu elektronických komunikácií a poštových služieb.</w:t>
      </w:r>
    </w:p>
    <w:p w:rsidR="00254AE6" w:rsidRPr="00BD183E" w:rsidRDefault="002B2B76" w:rsidP="00BD183E">
      <w:pPr>
        <w:widowControl/>
        <w:spacing w:before="120" w:after="0" w:line="252" w:lineRule="auto"/>
        <w:ind w:firstLine="539"/>
        <w:jc w:val="both"/>
        <w:rPr>
          <w:rFonts w:ascii="Times New Roman" w:hAnsi="Times New Roman"/>
          <w:color w:val="000000"/>
        </w:rPr>
      </w:pPr>
      <w:r w:rsidRPr="00935AAC">
        <w:rPr>
          <w:rStyle w:val="Zstupntext"/>
          <w:color w:val="auto"/>
        </w:rPr>
        <w:t xml:space="preserve">Predložený návrh nariadenia vlády Slovenskej republiky nebude mať </w:t>
      </w:r>
      <w:r w:rsidR="00BD183E" w:rsidRPr="00055FDB">
        <w:rPr>
          <w:rStyle w:val="Zstupntext"/>
          <w:color w:val="000000"/>
        </w:rPr>
        <w:t xml:space="preserve">vplyvy na rozpočet verejnej správy, podnikateľské prostredie, sociálne vplyvy, </w:t>
      </w:r>
      <w:r w:rsidR="00BD183E">
        <w:rPr>
          <w:rStyle w:val="Zstupntext"/>
          <w:color w:val="000000"/>
        </w:rPr>
        <w:t xml:space="preserve">vplyv na manželstvo, rodičovstvo a rodinu, </w:t>
      </w:r>
      <w:r w:rsidR="00BD183E" w:rsidRPr="00055FDB">
        <w:rPr>
          <w:rStyle w:val="Zstupntext"/>
          <w:color w:val="000000"/>
        </w:rPr>
        <w:t>vplyvy na životné prostredie, vplyvy na informatizáciu spoločnosti a ani vplyvy na služby verejnej správy pre občana</w:t>
      </w:r>
      <w:r w:rsidR="00BD183E">
        <w:rPr>
          <w:rStyle w:val="Zstupntext"/>
          <w:color w:val="000000"/>
        </w:rPr>
        <w:t>.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Návrh nariadenia vlády Slovenskej republiky je v súlade s Ústavou Slovenskej republiky,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254AE6" w:rsidRPr="00935AAC" w:rsidRDefault="00254AE6">
      <w:pPr>
        <w:pStyle w:val="Normlnywebov"/>
        <w:spacing w:before="0" w:after="0"/>
        <w:jc w:val="both"/>
        <w:rPr>
          <w:b/>
          <w:bCs/>
        </w:rPr>
      </w:pPr>
    </w:p>
    <w:p w:rsidR="00254AE6" w:rsidRPr="00935AAC" w:rsidRDefault="002B2B76" w:rsidP="00BD183E">
      <w:pPr>
        <w:pStyle w:val="Normlnywebov"/>
        <w:spacing w:before="120" w:after="0"/>
        <w:jc w:val="both"/>
        <w:rPr>
          <w:b/>
          <w:bCs/>
        </w:rPr>
      </w:pPr>
      <w:r w:rsidRPr="00935AAC">
        <w:rPr>
          <w:b/>
          <w:bCs/>
        </w:rPr>
        <w:t>Osobitná časť</w:t>
      </w:r>
    </w:p>
    <w:p w:rsidR="00254AE6" w:rsidRPr="00935AAC" w:rsidRDefault="002B2B76">
      <w:pPr>
        <w:pStyle w:val="Nadpis3"/>
        <w:spacing w:before="240"/>
        <w:rPr>
          <w:color w:val="auto"/>
        </w:rPr>
      </w:pPr>
      <w:r w:rsidRPr="00935AAC">
        <w:rPr>
          <w:rStyle w:val="Zstupntext"/>
          <w:color w:val="auto"/>
        </w:rPr>
        <w:t> K § 1</w:t>
      </w:r>
    </w:p>
    <w:p w:rsidR="00254AE6" w:rsidRPr="00935AAC" w:rsidRDefault="002B2B76">
      <w:pPr>
        <w:pStyle w:val="Standard"/>
        <w:spacing w:before="120"/>
        <w:ind w:firstLine="709"/>
        <w:jc w:val="both"/>
      </w:pPr>
      <w:r w:rsidRPr="00935AAC">
        <w:t xml:space="preserve">V súlade s § 30 ods. 3 zákona č. 351/2011 Z. z. o elektronických komunikáciách sa ustanovuje nová </w:t>
      </w:r>
      <w:r w:rsidRPr="00935AAC">
        <w:rPr>
          <w:bCs/>
        </w:rPr>
        <w:t>národná tabuľka frekvenčného spektra.</w:t>
      </w:r>
    </w:p>
    <w:p w:rsidR="00254AE6" w:rsidRPr="00935AAC" w:rsidRDefault="00254AE6">
      <w:pPr>
        <w:pStyle w:val="Nadpis3"/>
        <w:spacing w:before="0"/>
        <w:rPr>
          <w:color w:val="auto"/>
        </w:rPr>
      </w:pPr>
    </w:p>
    <w:p w:rsidR="00254AE6" w:rsidRPr="00935AAC" w:rsidRDefault="002B2B76">
      <w:pPr>
        <w:pStyle w:val="Nadpis3"/>
        <w:spacing w:before="0"/>
        <w:rPr>
          <w:color w:val="auto"/>
        </w:rPr>
      </w:pPr>
      <w:r w:rsidRPr="00935AAC">
        <w:rPr>
          <w:rStyle w:val="Zstupntext"/>
          <w:color w:val="auto"/>
        </w:rPr>
        <w:t>K § 2</w:t>
      </w:r>
    </w:p>
    <w:p w:rsidR="00254AE6" w:rsidRPr="00935AAC" w:rsidRDefault="002B2B76">
      <w:pPr>
        <w:pStyle w:val="Standard"/>
        <w:spacing w:before="120"/>
        <w:jc w:val="both"/>
      </w:pPr>
      <w:r w:rsidRPr="00935AAC">
        <w:tab/>
        <w:t xml:space="preserve">V súvislosti s ustanovením novej </w:t>
      </w:r>
      <w:r w:rsidRPr="00935AAC">
        <w:rPr>
          <w:bCs/>
        </w:rPr>
        <w:t xml:space="preserve">národnej tabuľky frekvenčného spektra sa súčasne zrušuje doterajšie </w:t>
      </w:r>
      <w:r w:rsidRPr="00935AAC">
        <w:t xml:space="preserve">nariadenie vlády Slovenskej republiky </w:t>
      </w:r>
      <w:r w:rsidRPr="00935AAC">
        <w:rPr>
          <w:rStyle w:val="Zstupntext"/>
          <w:color w:val="auto"/>
        </w:rPr>
        <w:t>č. 386/2018</w:t>
      </w:r>
      <w:r w:rsidR="00BD183E">
        <w:rPr>
          <w:rStyle w:val="Zstupntext"/>
          <w:color w:val="auto"/>
        </w:rPr>
        <w:t xml:space="preserve"> Z. z.</w:t>
      </w:r>
      <w:r w:rsidRPr="00935AAC">
        <w:rPr>
          <w:rStyle w:val="Zstupntext"/>
          <w:color w:val="auto"/>
        </w:rPr>
        <w:t>, ktorým sa ustanovuje národná tabuľka frekvenčného spektra</w:t>
      </w:r>
      <w:r w:rsidRPr="00935AAC">
        <w:rPr>
          <w:bCs/>
        </w:rPr>
        <w:t>.</w:t>
      </w:r>
    </w:p>
    <w:p w:rsidR="00254AE6" w:rsidRPr="00935AAC" w:rsidRDefault="00254AE6">
      <w:pPr>
        <w:pStyle w:val="Standard"/>
        <w:jc w:val="both"/>
      </w:pPr>
    </w:p>
    <w:p w:rsidR="00254AE6" w:rsidRPr="00935AAC" w:rsidRDefault="002B2B76">
      <w:pPr>
        <w:pStyle w:val="Nadpis3"/>
        <w:spacing w:before="0"/>
        <w:rPr>
          <w:color w:val="auto"/>
        </w:rPr>
      </w:pPr>
      <w:r w:rsidRPr="00935AAC">
        <w:rPr>
          <w:rStyle w:val="Zstupntext"/>
          <w:color w:val="auto"/>
        </w:rPr>
        <w:t>K § 3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Ustanovuje sa účinnosť nariadenia vlády.</w:t>
      </w:r>
    </w:p>
    <w:p w:rsidR="00254AE6" w:rsidRPr="00935AAC" w:rsidRDefault="00254AE6">
      <w:pPr>
        <w:pStyle w:val="Nadpis3"/>
        <w:spacing w:before="0"/>
        <w:rPr>
          <w:color w:val="auto"/>
        </w:rPr>
      </w:pPr>
    </w:p>
    <w:p w:rsidR="00254AE6" w:rsidRPr="00935AAC" w:rsidRDefault="002B2B76">
      <w:pPr>
        <w:pStyle w:val="Nadpis3"/>
        <w:spacing w:before="0"/>
        <w:rPr>
          <w:color w:val="auto"/>
        </w:rPr>
      </w:pPr>
      <w:r w:rsidRPr="00935AAC">
        <w:rPr>
          <w:rStyle w:val="Zstupntext"/>
          <w:color w:val="auto"/>
        </w:rPr>
        <w:t>K Prílohe</w:t>
      </w:r>
    </w:p>
    <w:p w:rsidR="00254AE6" w:rsidRPr="00935AAC" w:rsidRDefault="002B2B76">
      <w:pPr>
        <w:pStyle w:val="Zkladntext2"/>
        <w:rPr>
          <w:color w:val="auto"/>
        </w:rPr>
      </w:pPr>
      <w:r w:rsidRPr="00935AAC">
        <w:rPr>
          <w:rStyle w:val="Zstupntext"/>
          <w:color w:val="auto"/>
        </w:rPr>
        <w:t>Príloha obsahuje podrobné rozdelenie frekvenčných pásiem, ktoré sú pridelené pre jednotlivé rádiokomunikačné služby na civilné účely a vojenské účely. NTFS je spracovaná s prihliadnutím na potrebu európskej harmonizácie, stupeň technického rozvoja rádiových zariadení a poskytovanie služieb v Slovenskej republike v konkrétnom frekvenčnom pásme pri súčasnom zabezpečení obrany a bezpečnosti štátu.</w:t>
      </w:r>
    </w:p>
    <w:sectPr w:rsidR="00254AE6" w:rsidRPr="00935AAC">
      <w:footerReference w:type="default" r:id="rId7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76" w:rsidRDefault="002B2B76">
      <w:pPr>
        <w:spacing w:after="0" w:line="240" w:lineRule="auto"/>
      </w:pPr>
      <w:r>
        <w:separator/>
      </w:r>
    </w:p>
  </w:endnote>
  <w:endnote w:type="continuationSeparator" w:id="0">
    <w:p w:rsidR="002B2B76" w:rsidRDefault="002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806922"/>
      <w:docPartObj>
        <w:docPartGallery w:val="Page Numbers (Bottom of Page)"/>
        <w:docPartUnique/>
      </w:docPartObj>
    </w:sdtPr>
    <w:sdtEndPr/>
    <w:sdtContent>
      <w:p w:rsidR="00935AAC" w:rsidRDefault="00935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3E">
          <w:rPr>
            <w:noProof/>
          </w:rPr>
          <w:t>4</w:t>
        </w:r>
        <w:r>
          <w:fldChar w:fldCharType="end"/>
        </w:r>
      </w:p>
    </w:sdtContent>
  </w:sdt>
  <w:p w:rsidR="004E10F3" w:rsidRPr="00935AAC" w:rsidRDefault="00BD183E" w:rsidP="00935A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76" w:rsidRDefault="002B2B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B76" w:rsidRDefault="002B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FBE"/>
    <w:multiLevelType w:val="multilevel"/>
    <w:tmpl w:val="CA141BD2"/>
    <w:styleLink w:val="WWNum4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CFB25FF"/>
    <w:multiLevelType w:val="multilevel"/>
    <w:tmpl w:val="E4A6403E"/>
    <w:styleLink w:val="WWNum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10116"/>
    <w:multiLevelType w:val="multilevel"/>
    <w:tmpl w:val="CD3C0A74"/>
    <w:styleLink w:val="WW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945981"/>
    <w:multiLevelType w:val="multilevel"/>
    <w:tmpl w:val="070E1E04"/>
    <w:styleLink w:val="WWNum3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331D0E34"/>
    <w:multiLevelType w:val="multilevel"/>
    <w:tmpl w:val="47AE6A2C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D5B29"/>
    <w:multiLevelType w:val="multilevel"/>
    <w:tmpl w:val="D4A44F92"/>
    <w:styleLink w:val="WWNum2"/>
    <w:lvl w:ilvl="0">
      <w:numFmt w:val="bullet"/>
      <w:lvlText w:val="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 w15:restartNumberingAfterBreak="0">
    <w:nsid w:val="62DD7366"/>
    <w:multiLevelType w:val="multilevel"/>
    <w:tmpl w:val="D710F9A0"/>
    <w:styleLink w:val="WWNum5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2D1A38"/>
    <w:multiLevelType w:val="multilevel"/>
    <w:tmpl w:val="3EE2DBCE"/>
    <w:styleLink w:val="WWNum7"/>
    <w:lvl w:ilvl="0">
      <w:numFmt w:val="bullet"/>
      <w:lvlText w:val="-"/>
      <w:lvlJc w:val="left"/>
      <w:pPr>
        <w:ind w:left="907" w:hanging="34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E6"/>
    <w:rsid w:val="00184B51"/>
    <w:rsid w:val="00254AE6"/>
    <w:rsid w:val="002B2B76"/>
    <w:rsid w:val="00935AAC"/>
    <w:rsid w:val="00B11CF8"/>
    <w:rsid w:val="00B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48F9-84CC-4408-8B33-AEDAE8A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120" w:after="120"/>
      <w:outlineLvl w:val="0"/>
    </w:pPr>
    <w:rPr>
      <w:b/>
      <w:bCs/>
      <w:lang w:val="en-GB" w:eastAsia="cs-CZ"/>
    </w:rPr>
  </w:style>
  <w:style w:type="paragraph" w:styleId="Nadpis2">
    <w:name w:val="heading 2"/>
    <w:basedOn w:val="Standard"/>
    <w:next w:val="Textbody"/>
    <w:pPr>
      <w:spacing w:before="360" w:after="240"/>
      <w:ind w:left="357"/>
      <w:jc w:val="both"/>
      <w:outlineLvl w:val="1"/>
    </w:pPr>
    <w:rPr>
      <w:b/>
      <w:bCs/>
      <w:lang w:val="en-GB" w:eastAsia="cs-CZ"/>
    </w:rPr>
  </w:style>
  <w:style w:type="paragraph" w:styleId="Nadpis3">
    <w:name w:val="heading 3"/>
    <w:basedOn w:val="Standard"/>
    <w:next w:val="Textbody"/>
    <w:pPr>
      <w:keepNext/>
      <w:spacing w:before="360"/>
      <w:jc w:val="both"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Odsektext">
    <w:name w:val="Odsek text"/>
    <w:basedOn w:val="Standard"/>
    <w:pPr>
      <w:spacing w:after="120" w:line="288" w:lineRule="auto"/>
      <w:jc w:val="both"/>
    </w:pPr>
    <w:rPr>
      <w:color w:val="000000"/>
      <w:lang w:eastAsia="cs-CZ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zov">
    <w:name w:val="Title"/>
    <w:basedOn w:val="Standard"/>
    <w:next w:val="Podtitul"/>
    <w:pPr>
      <w:jc w:val="center"/>
    </w:pPr>
    <w:rPr>
      <w:b/>
      <w:bCs/>
      <w:sz w:val="36"/>
      <w:szCs w:val="36"/>
      <w:lang w:eastAsia="cs-CZ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link w:val="PtaChar"/>
    <w:uiPriority w:val="9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pPr>
      <w:spacing w:before="120"/>
      <w:ind w:firstLine="567"/>
      <w:jc w:val="both"/>
    </w:pPr>
    <w:rPr>
      <w:color w:val="000000"/>
    </w:rPr>
  </w:style>
  <w:style w:type="paragraph" w:customStyle="1" w:styleId="Style10">
    <w:name w:val="Style10"/>
    <w:basedOn w:val="Standard"/>
    <w:pPr>
      <w:widowControl w:val="0"/>
    </w:pPr>
  </w:style>
  <w:style w:type="paragraph" w:styleId="Zarkazkladnhotextu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Nadpis1Char">
    <w:name w:val="Nadpis 1 Char"/>
    <w:basedOn w:val="Predvolenpsmoodseku"/>
    <w:rPr>
      <w:rFonts w:ascii="Times New Roman" w:hAnsi="Times New Roman" w:cs="Times New Roman"/>
      <w:b/>
      <w:bCs/>
      <w:kern w:val="3"/>
      <w:sz w:val="24"/>
      <w:szCs w:val="24"/>
      <w:lang w:val="en-GB" w:eastAsia="cs-CZ"/>
    </w:rPr>
  </w:style>
  <w:style w:type="character" w:customStyle="1" w:styleId="Nadpis2Char">
    <w:name w:val="Nadpis 2 Char"/>
    <w:basedOn w:val="Predvolenpsmoodseku"/>
    <w:rPr>
      <w:rFonts w:ascii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3Char">
    <w:name w:val="Nadpis 3 Char"/>
    <w:basedOn w:val="Predvolenpsmoodseku"/>
    <w:rPr>
      <w:rFonts w:ascii="Cambria" w:hAnsi="Cambria" w:cs="Cambria"/>
      <w:b/>
      <w:bCs/>
      <w:sz w:val="26"/>
      <w:szCs w:val="26"/>
    </w:rPr>
  </w:style>
  <w:style w:type="character" w:styleId="Odkaznakomentr">
    <w:name w:val="annotation reference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Predvolenpsmoodseku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rPr>
      <w:rFonts w:ascii="Times New Roman" w:hAnsi="Times New Roman" w:cs="Times New Roman"/>
      <w:color w:val="808080"/>
    </w:rPr>
  </w:style>
  <w:style w:type="character" w:customStyle="1" w:styleId="NzevChar">
    <w:name w:val="Název Char"/>
    <w:basedOn w:val="Predvolenpsmoodseku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character" w:customStyle="1" w:styleId="PtaChar">
    <w:name w:val="Päta Char"/>
    <w:basedOn w:val="Predvolenpsmoodseku"/>
    <w:link w:val="Pta"/>
    <w:uiPriority w:val="99"/>
    <w:rsid w:val="00935A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podhorsky</dc:creator>
  <cp:lastModifiedBy>Podhorský, Viliam</cp:lastModifiedBy>
  <cp:revision>2</cp:revision>
  <cp:lastPrinted>2019-09-26T10:49:00Z</cp:lastPrinted>
  <dcterms:created xsi:type="dcterms:W3CDTF">2019-11-04T07:41:00Z</dcterms:created>
  <dcterms:modified xsi:type="dcterms:W3CDTF">2019-11-04T07:41:00Z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MDPT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