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8" w:rsidRPr="00922537" w:rsidRDefault="007C29D8">
      <w:pPr>
        <w:jc w:val="center"/>
        <w:rPr>
          <w:b/>
          <w:caps/>
          <w:spacing w:val="30"/>
        </w:rPr>
      </w:pPr>
      <w:r w:rsidRPr="00922537">
        <w:rPr>
          <w:b/>
          <w:caps/>
          <w:spacing w:val="30"/>
        </w:rPr>
        <w:t>Doložka zlučiteľnosti</w:t>
      </w:r>
    </w:p>
    <w:p w:rsidR="007C29D8" w:rsidRPr="00922537" w:rsidRDefault="00222229">
      <w:pPr>
        <w:jc w:val="center"/>
        <w:rPr>
          <w:b/>
        </w:rPr>
      </w:pPr>
      <w:r w:rsidRPr="00922537">
        <w:rPr>
          <w:b/>
        </w:rPr>
        <w:t xml:space="preserve">návrhu nariadenia </w:t>
      </w:r>
      <w:r w:rsidR="007C29D8" w:rsidRPr="00922537">
        <w:rPr>
          <w:b/>
        </w:rPr>
        <w:t>s právom Európskej únie </w:t>
      </w:r>
    </w:p>
    <w:p w:rsidR="007C29D8" w:rsidRPr="00922537" w:rsidRDefault="007C29D8"/>
    <w:p w:rsidR="00222229" w:rsidRPr="00922537" w:rsidRDefault="00222229"/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1.</w:t>
      </w:r>
      <w:r w:rsidRPr="00922537">
        <w:rPr>
          <w:b/>
        </w:rPr>
        <w:tab/>
      </w:r>
      <w:r w:rsidR="00817397" w:rsidRPr="00922537">
        <w:rPr>
          <w:b/>
        </w:rPr>
        <w:t>Navrhovateľ nariadenia</w:t>
      </w:r>
      <w:r w:rsidRPr="00922537">
        <w:rPr>
          <w:b/>
        </w:rPr>
        <w:t>:</w:t>
      </w:r>
      <w:r w:rsidRPr="00922537">
        <w:t xml:space="preserve"> </w:t>
      </w:r>
    </w:p>
    <w:p w:rsidR="007C29D8" w:rsidRPr="00922537" w:rsidRDefault="007C29D8" w:rsidP="00C93E00">
      <w:pPr>
        <w:spacing w:before="120"/>
        <w:ind w:left="357" w:firstLine="68"/>
        <w:jc w:val="both"/>
        <w:rPr>
          <w:b/>
        </w:rPr>
      </w:pPr>
      <w:r w:rsidRPr="00922537">
        <w:t>Ministerstvo dopravy</w:t>
      </w:r>
      <w:r w:rsidR="00BD7DB7" w:rsidRPr="00922537">
        <w:t xml:space="preserve"> a</w:t>
      </w:r>
      <w:r w:rsidRPr="00922537">
        <w:t xml:space="preserve"> výstavby Slovenskej republiky </w:t>
      </w:r>
    </w:p>
    <w:p w:rsidR="007C29D8" w:rsidRPr="00922537" w:rsidRDefault="007C29D8">
      <w:pPr>
        <w:tabs>
          <w:tab w:val="left" w:pos="360"/>
        </w:tabs>
        <w:ind w:left="360"/>
      </w:pPr>
      <w:r w:rsidRPr="00922537">
        <w:t xml:space="preserve"> </w:t>
      </w:r>
    </w:p>
    <w:p w:rsidR="00222229" w:rsidRPr="00922537" w:rsidRDefault="007C29D8" w:rsidP="009C592F">
      <w:pPr>
        <w:ind w:left="360" w:hanging="360"/>
        <w:jc w:val="both"/>
      </w:pPr>
      <w:r w:rsidRPr="00922537">
        <w:rPr>
          <w:b/>
        </w:rPr>
        <w:t>2.</w:t>
      </w:r>
      <w:r w:rsidRPr="00922537">
        <w:rPr>
          <w:b/>
        </w:rPr>
        <w:tab/>
        <w:t xml:space="preserve">Názov návrhu </w:t>
      </w:r>
      <w:r w:rsidR="00817397" w:rsidRPr="00922537">
        <w:rPr>
          <w:b/>
        </w:rPr>
        <w:t>nariadenia</w:t>
      </w:r>
      <w:r w:rsidRPr="00922537">
        <w:rPr>
          <w:b/>
        </w:rPr>
        <w:t>:</w:t>
      </w:r>
      <w:r w:rsidRPr="00922537">
        <w:t xml:space="preserve"> </w:t>
      </w:r>
    </w:p>
    <w:p w:rsidR="007C29D8" w:rsidRPr="00922537" w:rsidRDefault="007C29D8" w:rsidP="00C93E00">
      <w:pPr>
        <w:spacing w:before="120"/>
        <w:ind w:left="425"/>
        <w:jc w:val="both"/>
        <w:rPr>
          <w:b/>
        </w:rPr>
      </w:pPr>
      <w:r w:rsidRPr="00922537">
        <w:t>Návrh nariadenia vlády Slovenskej republiky, ktorým sa ustanovuje národná tabuľka frekvenčného spektra</w:t>
      </w:r>
      <w:r w:rsidR="00130C63" w:rsidRPr="00922537">
        <w:t xml:space="preserve"> </w:t>
      </w:r>
    </w:p>
    <w:p w:rsidR="007C29D8" w:rsidRPr="00922537" w:rsidRDefault="007C29D8"/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3.</w:t>
      </w:r>
      <w:r w:rsidRPr="00922537">
        <w:rPr>
          <w:b/>
        </w:rPr>
        <w:tab/>
        <w:t>Predmet</w:t>
      </w:r>
      <w:r w:rsidRPr="00922537">
        <w:t xml:space="preserve"> </w:t>
      </w:r>
      <w:r w:rsidRPr="00922537">
        <w:rPr>
          <w:b/>
        </w:rPr>
        <w:t>návrhu nariadenia vlády je – nie je upravený v práve Európskej únie:</w:t>
      </w:r>
    </w:p>
    <w:p w:rsidR="00222229" w:rsidRPr="00922537" w:rsidRDefault="00222229" w:rsidP="00817397">
      <w:pPr>
        <w:ind w:left="360" w:hanging="360"/>
        <w:jc w:val="both"/>
        <w:rPr>
          <w:b/>
        </w:rPr>
      </w:pPr>
    </w:p>
    <w:p w:rsidR="00817397" w:rsidRPr="00922537" w:rsidRDefault="00817397" w:rsidP="00817397">
      <w:pPr>
        <w:ind w:left="709" w:hanging="349"/>
        <w:jc w:val="both"/>
      </w:pPr>
      <w:r w:rsidRPr="00922537">
        <w:t>a)</w:t>
      </w:r>
      <w:r w:rsidRPr="00922537">
        <w:tab/>
        <w:t>v primárnom práve</w:t>
      </w:r>
    </w:p>
    <w:p w:rsidR="00817397" w:rsidRPr="00922537" w:rsidRDefault="00817397" w:rsidP="00817397">
      <w:pPr>
        <w:widowControl/>
        <w:adjustRightInd/>
        <w:spacing w:before="100" w:beforeAutospacing="1" w:after="100" w:afterAutospacing="1"/>
        <w:ind w:left="851"/>
      </w:pPr>
      <w:r w:rsidRPr="00922537">
        <w:t>Článok 114 Zmluvy o fungovaní Európskej únie</w:t>
      </w:r>
      <w:r w:rsidR="000427B4">
        <w:t>.</w:t>
      </w:r>
      <w:r w:rsidRPr="00922537">
        <w:t> </w:t>
      </w:r>
    </w:p>
    <w:p w:rsidR="00817397" w:rsidRDefault="00817397" w:rsidP="00222229">
      <w:pPr>
        <w:spacing w:after="120"/>
      </w:pPr>
      <w:r w:rsidRPr="00922537">
        <w:t xml:space="preserve">    </w:t>
      </w:r>
      <w:r w:rsidR="00222229" w:rsidRPr="00922537">
        <w:t xml:space="preserve"> </w:t>
      </w:r>
      <w:r w:rsidRPr="00922537">
        <w:t>b) v sekundárnom práve</w:t>
      </w:r>
    </w:p>
    <w:p w:rsidR="00E517A5" w:rsidRPr="00922537" w:rsidRDefault="00E517A5" w:rsidP="00E517A5">
      <w:pPr>
        <w:spacing w:after="120"/>
        <w:ind w:left="851"/>
        <w:jc w:val="both"/>
      </w:pPr>
      <w:r w:rsidRPr="00922537">
        <w:t xml:space="preserve">- rozhodnutie Komisie </w:t>
      </w:r>
      <w:r>
        <w:t>z 11</w:t>
      </w:r>
      <w:r w:rsidRPr="00922537">
        <w:t>. jú</w:t>
      </w:r>
      <w:r>
        <w:t>n</w:t>
      </w:r>
      <w:r w:rsidRPr="00922537">
        <w:t>a 20</w:t>
      </w:r>
      <w:r>
        <w:t>19</w:t>
      </w:r>
      <w:r w:rsidRPr="00922537">
        <w:t xml:space="preserve">, ktorým sa </w:t>
      </w:r>
      <w:r>
        <w:t>zriaďuje</w:t>
      </w:r>
      <w:r w:rsidRPr="00922537">
        <w:t xml:space="preserve"> skupina pre politiku rádiového spektra </w:t>
      </w:r>
      <w:r>
        <w:t xml:space="preserve">a zrušuje rozhodnutie 2002/622/ES </w:t>
      </w:r>
      <w:r w:rsidRPr="00922537">
        <w:t>(Ú. v. E</w:t>
      </w:r>
      <w:r>
        <w:t>Ú</w:t>
      </w:r>
      <w:r w:rsidRPr="00922537">
        <w:t xml:space="preserve"> </w:t>
      </w:r>
      <w:r>
        <w:t>C 196</w:t>
      </w:r>
      <w:r w:rsidRPr="00922537">
        <w:t xml:space="preserve">, </w:t>
      </w:r>
      <w:r>
        <w:t>1</w:t>
      </w:r>
      <w:r w:rsidRPr="00922537">
        <w:t xml:space="preserve">2. </w:t>
      </w:r>
      <w:r>
        <w:t>6</w:t>
      </w:r>
      <w:r w:rsidRPr="00922537">
        <w:t>. 20</w:t>
      </w:r>
      <w:r>
        <w:t>19</w:t>
      </w:r>
      <w:r w:rsidRPr="00922537">
        <w:t>);</w:t>
      </w:r>
    </w:p>
    <w:p w:rsidR="006E6860" w:rsidRPr="00D26B55" w:rsidRDefault="006E6860" w:rsidP="006E6860">
      <w:pPr>
        <w:spacing w:after="120"/>
        <w:ind w:left="851"/>
        <w:jc w:val="both"/>
      </w:pPr>
      <w:r w:rsidRPr="006E6860">
        <w:t xml:space="preserve">-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 xml:space="preserve"> 2019/785 zo 14. mája 2019 o harmonizácii rádiového frekvenčného spektra pre zariadenia využívajúce </w:t>
      </w:r>
      <w:proofErr w:type="spellStart"/>
      <w:r w:rsidRPr="006E6860">
        <w:rPr>
          <w:bCs/>
        </w:rPr>
        <w:t>ultraširokopásmové</w:t>
      </w:r>
      <w:proofErr w:type="spellEnd"/>
      <w:r w:rsidRPr="006E6860">
        <w:rPr>
          <w:bCs/>
        </w:rPr>
        <w:t xml:space="preserve"> technológie v Únii a o zrušení rozhodnutia 2007/131/ES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);</w:t>
      </w:r>
    </w:p>
    <w:p w:rsidR="006E6860" w:rsidRPr="00D26B55" w:rsidRDefault="006E6860" w:rsidP="006E6860">
      <w:pPr>
        <w:spacing w:after="120"/>
        <w:ind w:left="851"/>
        <w:jc w:val="both"/>
      </w:pPr>
      <w:r w:rsidRPr="006E6860">
        <w:t xml:space="preserve">-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>2019/784 zo 14. mája 2019 o harmonizácii frekvenčného pásma 24,25 – 27,5 GHz pre pozemské systémy, ktoré zabezpečujú poskytovanie bezdrôtových širokopásmových elektronických komunikačných služieb v</w:t>
      </w:r>
      <w:r>
        <w:rPr>
          <w:bCs/>
        </w:rPr>
        <w:t> </w:t>
      </w:r>
      <w:r w:rsidRPr="006E6860">
        <w:rPr>
          <w:bCs/>
        </w:rPr>
        <w:t>Únii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);</w:t>
      </w:r>
    </w:p>
    <w:p w:rsidR="00D26B55" w:rsidRDefault="00D26B55" w:rsidP="00D26B55">
      <w:pPr>
        <w:spacing w:after="120"/>
        <w:ind w:left="851"/>
        <w:jc w:val="both"/>
      </w:pPr>
      <w:r>
        <w:rPr>
          <w:bCs/>
        </w:rPr>
        <w:t xml:space="preserve"> - </w:t>
      </w:r>
      <w:r w:rsidRPr="00D26B55">
        <w:rPr>
          <w:bCs/>
          <w:kern w:val="36"/>
        </w:rPr>
        <w:t xml:space="preserve">vykonávacie rozhodnutie Komisie (EÚ) </w:t>
      </w:r>
      <w:r w:rsidRPr="00D26B55">
        <w:rPr>
          <w:bCs/>
        </w:rPr>
        <w:t>2019/235 z 24. januára 2019 o zmene rozhodnutia 2008/411/ES, pokiaľ ide o aktualizáciu príslušných technických podmienok týkajúcich sa frekvenčného pásma 3 400 MHz – 3 800 MHz</w:t>
      </w:r>
      <w:r>
        <w:rPr>
          <w:bCs/>
        </w:rPr>
        <w:t xml:space="preserve"> </w:t>
      </w:r>
      <w:r w:rsidRPr="00922537">
        <w:t xml:space="preserve">(Ú. v. EÚ L </w:t>
      </w:r>
      <w:r>
        <w:t>37</w:t>
      </w:r>
      <w:r w:rsidRPr="00922537">
        <w:t xml:space="preserve">, 8. </w:t>
      </w:r>
      <w:r>
        <w:t>2</w:t>
      </w:r>
      <w:r w:rsidRPr="00922537">
        <w:t>. 201</w:t>
      </w:r>
      <w:r>
        <w:t>9</w:t>
      </w:r>
      <w:r w:rsidRPr="00922537">
        <w:t>);</w:t>
      </w:r>
    </w:p>
    <w:p w:rsidR="00440BB7" w:rsidRPr="00922537" w:rsidRDefault="00440BB7" w:rsidP="00440BB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440BB7">
        <w:rPr>
          <w:rFonts w:ascii="Times New Roman" w:hAnsi="Times New Roman" w:cs="Times New Roman"/>
        </w:rPr>
        <w:t xml:space="preserve">- </w:t>
      </w:r>
      <w:r w:rsidRPr="00440BB7">
        <w:rPr>
          <w:rFonts w:ascii="Times New Roman" w:hAnsi="Times New Roman" w:cs="Times New Roman"/>
          <w:bCs/>
          <w:kern w:val="36"/>
        </w:rPr>
        <w:t>vykonávacie rozhodnutie Komisie (EÚ)</w:t>
      </w:r>
      <w:r w:rsidRPr="00440BB7">
        <w:rPr>
          <w:bCs/>
        </w:rPr>
        <w:t xml:space="preserve"> 2018/1538 z 11. októbra 2018 o harmonizácii rádiového frekvenčného spektra na využívanie zariadeniami s krátkym dosahom vo frekvenčných pásmach 874 – 876 a 915 – 921 MHz</w:t>
      </w:r>
      <w:r>
        <w:rPr>
          <w:bCs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257, 15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</w:t>
      </w:r>
      <w:r w:rsidRPr="00922537">
        <w:rPr>
          <w:rFonts w:ascii="Times New Roman" w:hAnsi="Times New Roman" w:cs="Times New Roman"/>
        </w:rPr>
        <w:t>. 2018);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922537">
        <w:rPr>
          <w:rFonts w:ascii="Times New Roman" w:hAnsi="Times New Roman" w:cs="Times New Roman"/>
          <w:bCs/>
        </w:rPr>
        <w:t xml:space="preserve">2018/661 z 26. apríla 2018, ktorým sa mení rozhodnutie (EÚ) 2015/750 o harmonizácii frekvenčného pásma 1 452 – 1 492 MHz využívaného v rámci pozemských systémov, ktoré zabezpečujú poskytovanie služieb elektronickej komunikácie v Únii, pokiaľ ide o jeho rozšírenie do harmonizovaných frekvenčných pásiem 1 427 – 1 452 MHz a 1 492 – 1 517 MHz </w:t>
      </w:r>
      <w:r w:rsidRPr="00922537">
        <w:rPr>
          <w:rFonts w:ascii="Times New Roman" w:hAnsi="Times New Roman" w:cs="Times New Roman"/>
          <w:bCs/>
          <w:kern w:val="36"/>
        </w:rPr>
        <w:t xml:space="preserve"> </w:t>
      </w:r>
      <w:r w:rsidRPr="00922537">
        <w:rPr>
          <w:rFonts w:ascii="Times New Roman" w:hAnsi="Times New Roman" w:cs="Times New Roman"/>
        </w:rPr>
        <w:t>(Ú. v. EÚ L 110, 30.4. 2018);</w:t>
      </w:r>
    </w:p>
    <w:p w:rsidR="00817397" w:rsidRDefault="00817397" w:rsidP="00817397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</w:t>
      </w:r>
      <w:r w:rsidRPr="00922537">
        <w:rPr>
          <w:rFonts w:ascii="Times New Roman" w:hAnsi="Times New Roman" w:cs="Times New Roman"/>
          <w:bCs/>
        </w:rPr>
        <w:t xml:space="preserve">(EÚ) 2018/637 z 20. apríla 2018, ktorým sa mení rozhodnutie 2009/766/ES o harmonizácii frekvenčných pásiem 900 MHz a 1 800 MHz využívaných v rámci pozemných systémov, ktoré zabezpečujú poskytovanie celoeurópskych služieb elektronickej komunikácie v Spoločenstve, pokiaľ ide o relevantné technické podmienky pre internet vecí </w:t>
      </w:r>
      <w:r w:rsidRPr="00922537">
        <w:rPr>
          <w:rFonts w:ascii="Times New Roman" w:hAnsi="Times New Roman" w:cs="Times New Roman"/>
        </w:rPr>
        <w:t>(Ú. v. EÚ L 105, 25.4. 2018);</w:t>
      </w:r>
    </w:p>
    <w:p w:rsidR="00817397" w:rsidRPr="00922537" w:rsidRDefault="00817397" w:rsidP="00817397">
      <w:pPr>
        <w:pStyle w:val="Default"/>
        <w:spacing w:before="120"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lastRenderedPageBreak/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>vykonávacie rozhodnutie Komisie (EÚ) 2017/1483 z 8. augusta 2017, ktorým sa mení rozhodnutie 2006/771/ES o harmonizácii rádiového frekvenčného spektra na využitie zariadeniami s krátkym dosahom a ktorým sa zrušuje rozhodnutie</w:t>
      </w:r>
      <w:r w:rsidRPr="00922537">
        <w:rPr>
          <w:bCs/>
          <w:kern w:val="36"/>
        </w:rPr>
        <w:t xml:space="preserve"> 2006/804/ES </w:t>
      </w:r>
      <w:r w:rsidRPr="00922537">
        <w:rPr>
          <w:rFonts w:ascii="Times New Roman" w:hAnsi="Times New Roman" w:cs="Times New Roman"/>
        </w:rPr>
        <w:t xml:space="preserve">(Ú. v. EÚ L 214, </w:t>
      </w:r>
      <w:r w:rsidR="00A81303">
        <w:rPr>
          <w:rFonts w:ascii="Times New Roman" w:hAnsi="Times New Roman" w:cs="Times New Roman"/>
        </w:rPr>
        <w:t>1</w:t>
      </w:r>
      <w:r w:rsidRPr="00922537">
        <w:rPr>
          <w:rFonts w:ascii="Times New Roman" w:hAnsi="Times New Roman" w:cs="Times New Roman"/>
        </w:rPr>
        <w:t>8. 8. 2017);</w:t>
      </w:r>
    </w:p>
    <w:p w:rsidR="00682AA5" w:rsidRDefault="00682AA5" w:rsidP="00682AA5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682AA5">
        <w:rPr>
          <w:rFonts w:ascii="Times New Roman" w:hAnsi="Times New Roman" w:cs="Times New Roman"/>
        </w:rPr>
        <w:t xml:space="preserve">- </w:t>
      </w:r>
      <w:r w:rsidRPr="00682AA5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682AA5">
        <w:rPr>
          <w:rFonts w:ascii="Times New Roman" w:hAnsi="Times New Roman" w:cs="Times New Roman"/>
        </w:rPr>
        <w:t>2016/2317 z 16. decembra 2016, ktorým sa mení rozhodnutie 2008/294/ES a vykonávacie rozhodnutie 2013/654/EÚ s cieľom uľahčiť prevádzkovanie mobilnej komunikácie na palubách lietadiel (služby MCA) v</w:t>
      </w:r>
      <w:r>
        <w:rPr>
          <w:rFonts w:ascii="Times New Roman" w:hAnsi="Times New Roman" w:cs="Times New Roman"/>
        </w:rPr>
        <w:t> </w:t>
      </w:r>
      <w:r w:rsidRPr="00682AA5">
        <w:rPr>
          <w:rFonts w:ascii="Times New Roman" w:hAnsi="Times New Roman" w:cs="Times New Roman"/>
        </w:rPr>
        <w:t>Únii</w:t>
      </w:r>
      <w:r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34</w:t>
      </w:r>
      <w:r w:rsidRPr="00922537">
        <w:rPr>
          <w:rFonts w:ascii="Times New Roman" w:hAnsi="Times New Roman" w:cs="Times New Roman"/>
        </w:rPr>
        <w:t>5, 2</w:t>
      </w:r>
      <w:r>
        <w:rPr>
          <w:rFonts w:ascii="Times New Roman" w:hAnsi="Times New Roman" w:cs="Times New Roman"/>
        </w:rPr>
        <w:t>0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922537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7</w:t>
      </w:r>
      <w:r w:rsidRPr="00922537">
        <w:rPr>
          <w:rFonts w:ascii="Times New Roman" w:hAnsi="Times New Roman" w:cs="Times New Roman"/>
        </w:rPr>
        <w:t>);</w:t>
      </w:r>
    </w:p>
    <w:p w:rsidR="00BA1810" w:rsidRDefault="00BA1810" w:rsidP="00BA1810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Európskeho parlamentu a Rady (EÚ) 2017/899 zo 17. mája 2017 o využívaní frekvenčného pásma 470 – 790 MHz v Únii (Ú. v. EÚ L 138, 25. 5. 2017);</w:t>
      </w:r>
    </w:p>
    <w:p w:rsidR="00BA1810" w:rsidRPr="00922537" w:rsidRDefault="00BA1810" w:rsidP="00BA1810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2016/687 z 28. apríla 2016 o harmonizácii frekvenčného pásma 694 – 790 MHz pre pozemské systémy schopné poskytovať bezdrôtové širokopásmové elektronické komunikačné služby a pre pružné vnútroštátne používanie v Únii (Ú. v. EÚ L 118, 4. 5. 2016);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(EÚ) 2016/339 z 8. marca 2016 o harmonizácii frekvenčného pásma 2 010 – 2 025 MHz pre prenosné alebo mobilné bezdrôtové </w:t>
      </w:r>
      <w:proofErr w:type="spellStart"/>
      <w:r w:rsidRPr="00922537">
        <w:rPr>
          <w:rFonts w:ascii="Times New Roman" w:hAnsi="Times New Roman" w:cs="Times New Roman"/>
        </w:rPr>
        <w:t>videospoje</w:t>
      </w:r>
      <w:proofErr w:type="spellEnd"/>
      <w:r w:rsidRPr="00922537">
        <w:rPr>
          <w:rFonts w:ascii="Times New Roman" w:hAnsi="Times New Roman" w:cs="Times New Roman"/>
        </w:rPr>
        <w:t xml:space="preserve"> a </w:t>
      </w:r>
      <w:proofErr w:type="spellStart"/>
      <w:r w:rsidRPr="00922537">
        <w:rPr>
          <w:rFonts w:ascii="Times New Roman" w:hAnsi="Times New Roman" w:cs="Times New Roman"/>
        </w:rPr>
        <w:t>bezšnúrové</w:t>
      </w:r>
      <w:proofErr w:type="spellEnd"/>
      <w:r w:rsidRPr="00922537">
        <w:rPr>
          <w:rFonts w:ascii="Times New Roman" w:hAnsi="Times New Roman" w:cs="Times New Roman"/>
        </w:rPr>
        <w:t xml:space="preserve"> kamery používané na výrobu programov a osobitné podujatia (Ú. v. EÚ L 63, 10. 3. 2016);</w:t>
      </w:r>
    </w:p>
    <w:p w:rsidR="00817397" w:rsidRPr="00922537" w:rsidRDefault="00817397" w:rsidP="00817397">
      <w:pPr>
        <w:pStyle w:val="Default"/>
        <w:spacing w:after="120"/>
        <w:ind w:left="851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2015/750 z 8. mája 2015 o harmonizácii frekvenčného pásma 1 4</w:t>
      </w:r>
      <w:r w:rsidR="008962D0">
        <w:rPr>
          <w:rFonts w:ascii="Times New Roman" w:hAnsi="Times New Roman" w:cs="Times New Roman"/>
        </w:rPr>
        <w:t>27 – 1 517</w:t>
      </w:r>
      <w:r w:rsidRPr="00922537">
        <w:rPr>
          <w:rFonts w:ascii="Times New Roman" w:hAnsi="Times New Roman" w:cs="Times New Roman"/>
        </w:rPr>
        <w:t xml:space="preserve"> MHz využívaného v rámci pozemských systémov, ktoré zabezpečujú poskytovanie služieb elektronick</w:t>
      </w:r>
      <w:r w:rsidR="008962D0">
        <w:rPr>
          <w:rFonts w:ascii="Times New Roman" w:hAnsi="Times New Roman" w:cs="Times New Roman"/>
        </w:rPr>
        <w:t>ých komunikačných služieb</w:t>
      </w:r>
      <w:r w:rsidRPr="00922537">
        <w:rPr>
          <w:rFonts w:ascii="Times New Roman" w:hAnsi="Times New Roman" w:cs="Times New Roman"/>
        </w:rPr>
        <w:t xml:space="preserve"> v Únii (Ú. v. EÚ L 119, 12. 5. 2015)</w:t>
      </w:r>
      <w:r w:rsidR="008962D0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tbl>
      <w:tblPr>
        <w:tblW w:w="8404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404"/>
      </w:tblGrid>
      <w:tr w:rsidR="00817397" w:rsidRPr="00922537" w:rsidTr="003D7ABD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817397" w:rsidRPr="00922537" w:rsidRDefault="00817397" w:rsidP="003D7ABD">
            <w:pPr>
              <w:pStyle w:val="Default"/>
              <w:spacing w:after="120"/>
              <w:ind w:left="-67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 xml:space="preserve">- vykonávacie rozhodnutie Komisie 2014/641/EÚ z 1. septembra 2014 o harmonizovaných technických podmienkach využívania rádiového frekvenčného spektra bezdrôtovými zariadeniami na výrobu zvukových programov a osobitných podujatí v Únii (Ú. v. EÚ L 263, 3. 9. 2014); </w:t>
            </w:r>
          </w:p>
          <w:p w:rsidR="00817397" w:rsidRDefault="00817397" w:rsidP="003D7ABD">
            <w:pPr>
              <w:spacing w:before="60" w:after="60"/>
              <w:jc w:val="both"/>
              <w:rPr>
                <w:rStyle w:val="Siln"/>
                <w:b w:val="0"/>
                <w:bCs/>
              </w:rPr>
            </w:pPr>
            <w:r w:rsidRPr="00922537">
              <w:rPr>
                <w:rStyle w:val="Siln"/>
                <w:b w:val="0"/>
                <w:bCs/>
              </w:rPr>
              <w:t xml:space="preserve">- vykonávacie rozhodnutie Komisie </w:t>
            </w:r>
            <w:r w:rsidRPr="00922537">
              <w:t xml:space="preserve">2014/276/EÚ </w:t>
            </w:r>
            <w:r w:rsidRPr="00922537">
              <w:rPr>
                <w:rStyle w:val="Siln"/>
                <w:b w:val="0"/>
                <w:bCs/>
              </w:rPr>
              <w:t xml:space="preserve">z 2. mája 2014 o zmene rozhodnutia 2008/411/ES o harmonizácii frekvenčného pásma 3400 MHz – 3800 MHz využívaného v rámci pozemských systémov, ktoré zabezpečujú poskytovanie celoeurópskych služieb elektronickej komunikácie v Spoločenstve </w:t>
            </w:r>
            <w:r w:rsidRPr="00922537">
              <w:t>(Ú. v. EÚ L 139, 14. 5. 2014)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Pr="00922537" w:rsidRDefault="00817397" w:rsidP="003D7ABD">
            <w:pPr>
              <w:spacing w:before="60" w:after="60"/>
              <w:jc w:val="both"/>
            </w:pPr>
            <w:r w:rsidRPr="00922537">
              <w:rPr>
                <w:rStyle w:val="Siln"/>
                <w:b w:val="0"/>
                <w:bCs/>
              </w:rPr>
              <w:t xml:space="preserve">- vykonávacie rozhodnutie Komisie </w:t>
            </w:r>
            <w:r w:rsidRPr="00922537">
              <w:rPr>
                <w:bCs/>
              </w:rPr>
              <w:t xml:space="preserve">2013/752/EÚ </w:t>
            </w:r>
            <w:r w:rsidRPr="00922537">
              <w:rPr>
                <w:rStyle w:val="Siln"/>
                <w:b w:val="0"/>
                <w:bCs/>
              </w:rPr>
              <w:t xml:space="preserve">z 11. decembra 2013, ktorým sa mení rozhodnutie 2006/771/ES o harmonizácii rádiového frekvenčného spektra na využitie zariadeniami s krátkym dosahom a ktorým sa zrušuje rozhodnutie 2005/928/ES </w:t>
            </w:r>
            <w:r w:rsidRPr="00922537">
              <w:t>(Ú. v. EÚ L 334, 13. 12. 2013)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Pr="00922537" w:rsidRDefault="00817397" w:rsidP="003D7ABD">
            <w:pPr>
              <w:spacing w:before="60" w:after="60"/>
              <w:jc w:val="both"/>
              <w:rPr>
                <w:rStyle w:val="Siln"/>
                <w:b w:val="0"/>
                <w:bCs/>
              </w:rPr>
            </w:pPr>
            <w:r w:rsidRPr="00922537">
              <w:t xml:space="preserve">- </w:t>
            </w:r>
            <w:r w:rsidRPr="00922537">
              <w:rPr>
                <w:rStyle w:val="Siln"/>
                <w:b w:val="0"/>
                <w:bCs/>
              </w:rPr>
              <w:t xml:space="preserve">vykonávacie rozhodnutie Komisie </w:t>
            </w:r>
            <w:r w:rsidRPr="00922537">
              <w:rPr>
                <w:bCs/>
              </w:rPr>
              <w:t xml:space="preserve">2013/654/EÚ </w:t>
            </w:r>
            <w:r w:rsidRPr="00922537">
              <w:rPr>
                <w:rStyle w:val="Siln"/>
                <w:b w:val="0"/>
                <w:bCs/>
              </w:rPr>
              <w:t xml:space="preserve">z 12. novembra 2013, ktorým sa mení rozhodnutie 2008/294/ES tak, aby obsahovalo dodatočné prístupové technológie a frekvenčné pásma pre služby mobilnej komunikácie v lietadlách (služby MCA) </w:t>
            </w:r>
            <w:r w:rsidRPr="00922537">
              <w:t>(Ú. v. EÚ L 303, 14. 11. 2013)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rPr>
                <w:rStyle w:val="Siln"/>
                <w:b w:val="0"/>
                <w:bCs/>
              </w:rPr>
              <w:t>;</w:t>
            </w:r>
          </w:p>
          <w:p w:rsidR="00817397" w:rsidRDefault="00817397" w:rsidP="003D7ABD">
            <w:pPr>
              <w:pStyle w:val="CM4"/>
              <w:spacing w:before="60" w:after="60"/>
              <w:jc w:val="both"/>
              <w:rPr>
                <w:rFonts w:ascii="Times New Roman" w:hAnsi="Times New Roman"/>
              </w:rPr>
            </w:pPr>
            <w:r w:rsidRPr="00922537">
              <w:rPr>
                <w:rFonts w:ascii="Times New Roman" w:hAnsi="Times New Roman"/>
              </w:rPr>
              <w:t>- vykonávacie rozhodnutie Komisie 2013/195/EÚ z 23. apríla 2013, ktorým sa definujú praktické opatrenia, jednotné formáty a metodika týkajúce sa analýzy stavu rádiového frekvenčného spektra stanovenej rozhodnutím Európskeho parlamentu a Rady 243/2012/EÚ, ktorým sa zriaďuje viacročný program politiky rádiového frekvenčného spektra (Ú. v. EÚ L 113, 25. 4. 2013);</w:t>
            </w:r>
          </w:p>
          <w:p w:rsidR="00BA1810" w:rsidRPr="00922537" w:rsidRDefault="00BA1810" w:rsidP="00BA1810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lastRenderedPageBreak/>
              <w:t>- v</w:t>
            </w:r>
            <w:r w:rsidRPr="00922537">
              <w:rPr>
                <w:rFonts w:ascii="Times New Roman" w:hAnsi="Times New Roman" w:cs="Times New Roman"/>
                <w:color w:val="auto"/>
              </w:rPr>
              <w:t xml:space="preserve">ykonávacie rozhodnutie Komisie 2012/688/EÚ </w:t>
            </w:r>
            <w:r w:rsidRPr="00922537">
              <w:rPr>
                <w:rFonts w:ascii="Times New Roman" w:hAnsi="Times New Roman" w:cs="Times New Roman"/>
              </w:rPr>
              <w:t xml:space="preserve">z 5. novembra 2012 o harmonizácii frekvenčných pásiem 1 920 – 1 980 MHz a 2 110 – 2 170 MHz pre pozemské systémy schopné zabezpečiť poskytovanie služieb elektronickej komunikácie v Únii (Ú. v. EÚ L 307, 7. 11. 2012); </w:t>
            </w:r>
          </w:p>
          <w:p w:rsidR="00BA1810" w:rsidRPr="00922537" w:rsidRDefault="00BA1810" w:rsidP="00BA1810">
            <w:pPr>
              <w:pStyle w:val="Default"/>
              <w:spacing w:after="120"/>
              <w:ind w:left="-33" w:firstLine="33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 xml:space="preserve">- rozhodnutie Európskeho parlamentu a Rady </w:t>
            </w:r>
            <w:r w:rsidR="008962D0">
              <w:rPr>
                <w:rFonts w:ascii="Times New Roman" w:hAnsi="Times New Roman" w:cs="Times New Roman"/>
              </w:rPr>
              <w:t xml:space="preserve">č. </w:t>
            </w:r>
            <w:r w:rsidRPr="00922537">
              <w:rPr>
                <w:rFonts w:ascii="Times New Roman" w:hAnsi="Times New Roman" w:cs="Times New Roman"/>
              </w:rPr>
              <w:t>243/2012/EÚ zo 14. marca 2012, ktorým sa zriaďuje viacročný program politiky rádiového frekvenčného spektra (Ú. v. EÚ L 81, 21. 3. 2012);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vykonávacie rozhodnutie Komisie 2011/829/EÚ z 8. decembra 2011, ktorým sa mení a dopĺňa rozhodnutie 2006/771/ES o harmonizácii rádiového frekvenčného spektra na využitie zariadeniami s krátkym dosahom (Ú. v. EÚ L 329, 13. 12.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</w:t>
            </w:r>
            <w:r w:rsidRPr="00922537">
              <w:rPr>
                <w:rFonts w:ascii="Times New Roman" w:hAnsi="Times New Roman" w:cs="Times New Roman"/>
                <w:color w:val="auto"/>
              </w:rPr>
              <w:t xml:space="preserve">ykonávacie rozhodnutie Komisie 2011/485/EÚ </w:t>
            </w:r>
            <w:r w:rsidRPr="00922537">
              <w:rPr>
                <w:rFonts w:ascii="Times New Roman" w:hAnsi="Times New Roman" w:cs="Times New Roman"/>
              </w:rPr>
              <w:t>z 29. júla 2011 o zmene a doplnení rozhodnutia 2005/50/ES o zosúladení rádiového frekvenčného spektra v pásme 24 GHz na časovo obmedzené využitie pre automobilové radarové zariadenie krátkeho dosahu na území Spoločenstva (Ú. v. EÚ L 198, 30. 7.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vykonávacie rozhodnutie Komisie 2011/251/EÚ z 18. apríla 2011, ktorým sa mení a dopĺňa rozhodnutie 2009/766/ES o harmonizácií frekvenčných pásiem 900 MHz a 1 800 MHz využívaných v rámci pozemných systémov, ktoré zabezpečujú poskytovanie celoeurópskych služieb elektronickej komunikácie v Spoločenstve (Ú. v. EÚ L 106, 27. 4. 2011);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2010/368/EÚ z 30. júna 2010, ktorým sa mení a dopĺňa rozhodnutie 2006/771/ES o harmonizácii rádiového frekvenčného spektra na využitie zariadeniami s krátkym dosahom (Ú. v. EÚ L 166, 1. 7. 2010);</w:t>
            </w:r>
          </w:p>
          <w:p w:rsidR="00817397" w:rsidRPr="00922537" w:rsidRDefault="00817397" w:rsidP="003D7A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2010/267/EÚ zo 6. mája 2010 o harmonizovaných technických podmienkach využívania frekvenčného pásma 790 – 862 MHz v rámci pozemských systémov schopných zabezpečiť poskytovanie služieb elektronickej komunikácie v Európskej únii (Ú. v. EÚ L 117, 11. 5. 2010);</w:t>
            </w:r>
          </w:p>
          <w:p w:rsidR="00817397" w:rsidRPr="00922537" w:rsidRDefault="00817397" w:rsidP="009A356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22537">
              <w:rPr>
                <w:rFonts w:ascii="Times New Roman" w:hAnsi="Times New Roman" w:cs="Times New Roman"/>
              </w:rPr>
              <w:t>- rozhodnutie Komisie 2010/166/EÚ z 19. marca 2010 o harmonizovaných podmienkach využívania rádiového frekvenčného spektra na poskytovanie služieb mobilnej komunikácie na palubách plavidiel (služby MCV) v Európskej únii (Ú. v. EÚ L 72, 20. 3. 2010)</w:t>
            </w:r>
            <w:r w:rsidR="00FF7FB7">
              <w:rPr>
                <w:rFonts w:ascii="Times New Roman" w:hAnsi="Times New Roman" w:cs="Times New Roman"/>
              </w:rPr>
              <w:t xml:space="preserve"> </w:t>
            </w:r>
            <w:r w:rsidR="00FF7FB7" w:rsidRPr="00922537">
              <w:t>v platnom znení</w:t>
            </w:r>
            <w:r w:rsidRPr="00922537">
              <w:rPr>
                <w:rFonts w:ascii="Times New Roman" w:hAnsi="Times New Roman" w:cs="Times New Roman"/>
              </w:rPr>
              <w:t>;</w:t>
            </w:r>
          </w:p>
        </w:tc>
      </w:tr>
      <w:tr w:rsidR="00817397" w:rsidRPr="00922537" w:rsidTr="003D7ABD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817397" w:rsidRPr="00922537" w:rsidRDefault="00817397" w:rsidP="003D7ABD">
            <w:pPr>
              <w:spacing w:after="120"/>
              <w:jc w:val="both"/>
            </w:pPr>
            <w:r w:rsidRPr="00922537">
              <w:lastRenderedPageBreak/>
              <w:t>- rozhodnutie Komisie 2009/766/ES zo 16. októbra 2009 o harmonizácií frekvenčných pásiem 900 MHz a 1 800 MHz využívaných v rámci pozemných systémov, ktoré zabezpečujú poskytovanie celoeurópskych služieb elektronickej komunikácie v Spoločenstve (Ú. v. EÚ L 274, 20. 10. 2009)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2009/381/ES z 13. mája 2009, ktorým sa mení a dopĺňa rozhodnutie 2006/771/ES o harmonizácii rádiového frekvenčného spektra na využitie zariadeniami s krátkym dosahom (Ú. v. EÚ L 119, 14. 5. 2009);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2008/671/ES z 5. augusta 2008 o harmonizovanom využívaní rádiového frekvenčného spektra v pásme 5 875 MHz – 5 905 MHz pre aplikácie inteligentných dopravných systémov (ITS) súvisiace s bezpečnosťou (Ú. v. EÚ L 220, 15. 8. 2008);</w:t>
            </w:r>
          </w:p>
          <w:p w:rsidR="00817397" w:rsidRDefault="00817397" w:rsidP="003D7ABD">
            <w:pPr>
              <w:spacing w:after="120"/>
              <w:jc w:val="both"/>
            </w:pPr>
            <w:r w:rsidRPr="00922537">
              <w:lastRenderedPageBreak/>
              <w:t xml:space="preserve">- rozhodnutie Európskeho parlamentu a Rady </w:t>
            </w:r>
            <w:r w:rsidR="008962D0">
              <w:t xml:space="preserve">č. </w:t>
            </w:r>
            <w:r w:rsidRPr="00922537">
              <w:t>626/2008/ES z 30. júna 2008 o výbere a povolení systémov zabezpečujúcich mobilné satelitné služby (MSS) (Ú. v. EÚ L 172, 2. 7. 2008);</w:t>
            </w:r>
          </w:p>
          <w:p w:rsidR="00817397" w:rsidRDefault="00817397" w:rsidP="003D7ABD">
            <w:pPr>
              <w:spacing w:after="120"/>
              <w:jc w:val="both"/>
            </w:pPr>
            <w:r w:rsidRPr="00922537">
              <w:t>- rozhodnutie Komisie 2008/477/ES z 13. júna 2008 o harmonizácii frekvenčného pásma 2 500 – 2 690 MHz využívaného v rámci pozemských systémov, ktorými sa zabezpečuje poskytovanie služieb elektronickej komunikácie v Spoločenstve (Ú. v. EÚ L 163, 24. 6. 2008);</w:t>
            </w:r>
          </w:p>
          <w:p w:rsidR="001A6FD4" w:rsidRPr="00922537" w:rsidRDefault="001A6FD4" w:rsidP="001A6FD4">
            <w:pPr>
              <w:spacing w:after="120"/>
              <w:jc w:val="both"/>
            </w:pPr>
            <w:r w:rsidRPr="001A6FD4">
              <w:t>- rozhodnutie Komisie 2008/4</w:t>
            </w:r>
            <w:r>
              <w:t>32</w:t>
            </w:r>
            <w:r w:rsidRPr="001A6FD4">
              <w:t>/ES z 23. mája 2008, ktorým sa mení a dopĺňa rozhodnutie 2006/771/ES o harmonizácii rádiového frekvenčného spektra na využitie zariadeniami s krátkym dosahom</w:t>
            </w:r>
            <w:r>
              <w:t xml:space="preserve"> </w:t>
            </w:r>
            <w:r w:rsidRPr="00922537">
              <w:t>(Ú. v. EÚ L 1</w:t>
            </w:r>
            <w:r>
              <w:t>51</w:t>
            </w:r>
            <w:r w:rsidRPr="00922537">
              <w:t xml:space="preserve">, </w:t>
            </w:r>
            <w:r>
              <w:t>11</w:t>
            </w:r>
            <w:r w:rsidRPr="00922537">
              <w:t xml:space="preserve">. </w:t>
            </w:r>
            <w:r>
              <w:t>6</w:t>
            </w:r>
            <w:r w:rsidRPr="00922537">
              <w:t>. 2008);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2008/411/ES z 21. mája 2008 o harmonizácii frekvenčného pásma 3 400 MHz – 3 800 MHz využívaného v rámci pozemských systémov, ktoré zabezpečujú poskytovanie celoeurópskych služieb elektronickej komunikácie v Spoločenstve (Ú. v. EÚ L 144, 4. 6. 2008)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817397" w:rsidRDefault="00817397" w:rsidP="009A3569">
            <w:pPr>
              <w:jc w:val="both"/>
            </w:pPr>
            <w:r w:rsidRPr="00922537">
              <w:t>- rozhodnutie Komisie 2008/294/ES zo 7. apríla 2008 o harmonizovaných podmienkach využívania frekvenčného spektra na prevádzkovanie služieb mobilnej komunikácie na palubách lietadiel (služby MCA) v Spoločenstve (Ú. v. EÚ L 98, 10. 4. 2008)</w:t>
            </w:r>
            <w:r w:rsidR="00FF7FB7">
              <w:t xml:space="preserve"> </w:t>
            </w:r>
            <w:r w:rsidR="00FF7FB7" w:rsidRPr="00922537">
              <w:t>v platnom znení</w:t>
            </w:r>
            <w:r w:rsidRPr="00922537">
              <w:t>;</w:t>
            </w:r>
          </w:p>
          <w:p w:rsidR="00817397" w:rsidRPr="00922537" w:rsidRDefault="00817397" w:rsidP="00554985">
            <w:pPr>
              <w:spacing w:before="120" w:after="120"/>
              <w:jc w:val="both"/>
            </w:pPr>
            <w:r w:rsidRPr="00922537">
              <w:t>- rozhodnutie Komisie 2007/344/ES zo 16. mája 2007 o harmonizovanej dostupnosti informácií týkajúcich sa využívania frekvenčného spektra v Spoločenstve (Ú. v. EÚ L 129, 17. 5.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2007/98/ES zo 14. februára 2007 o harmonizovanom využívaní rádiového frekvenčného spektra v pásme 2 GHz na implementáciu systémov zabezpečujúcich mobilné satelitné služby (Ú. v. EÚ L 43, 15. 2.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2007/90/ES z 12. februára 2007, ktorým sa mení a dopĺňa rozhodnutie Komisie 2005/513/ES o harmonizovanom používaní rádiového frekvenčného spektra v pásme 5 GHz na implementáciu bezdrôtových prístupových systémov vrátane rádiových miestnych počítačových sietí LAN (WAS/RLAN) (Ú. v. EÚ L 41, 13. 2. 2007);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2006/771/ES z 9. novembra 2006 o harmonizácii rádiového frekvenčného spektra na využitie zariadeniami s krátkym dosahom (Ú. v. EÚ L 312, 11. 11. 2006)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2005/513/ES z 11. júla 2005 o harmonizovanom využívaní rádiového frekvenčného spektra v pásme 5 GHz na zavedenie bezdrôtových prístupových systémov vrátane rádiových miestnych počítačových sietí LAN (WAS/RLAN) (Ú. v. EÚ L 187, 19. 7. 2005)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2005/50/ES zo 17. januára 2005 o zosúladení rádiového frekvenčného spektra v pásme 24 GHz na časovo obmedzené využitie pre automobilové radarové zariadenie krátkeho dosahu na území Spoločenstva (Ú. v. EÚ L 21, 25. 1. 2005) v platnom znení;</w:t>
            </w:r>
          </w:p>
          <w:p w:rsidR="00817397" w:rsidRPr="00922537" w:rsidRDefault="00817397" w:rsidP="003D7ABD">
            <w:pPr>
              <w:spacing w:after="120"/>
              <w:jc w:val="both"/>
            </w:pPr>
            <w:r w:rsidRPr="00922537">
              <w:t>- rozhodnutie Komisie 2004/545/ES z 8. júla 2004 týkajúce sa zosúladenia využitia rádiového frekvenčného spektra v pásme 79 GHz pre automobilové radarové zariadenie krátkeho dosahu v spoločenstve (Ú. v. EÚ L 241, 13. 7. 2004);</w:t>
            </w:r>
          </w:p>
          <w:p w:rsidR="00554985" w:rsidRPr="00554985" w:rsidRDefault="00817397" w:rsidP="00031C36">
            <w:pPr>
              <w:spacing w:after="120"/>
              <w:jc w:val="both"/>
            </w:pPr>
            <w:r w:rsidRPr="00922537">
              <w:rPr>
                <w:color w:val="000000"/>
              </w:rPr>
              <w:t xml:space="preserve">- rozhodnutie Európskeho parlamentu a Rady </w:t>
            </w:r>
            <w:r w:rsidR="008962D0">
              <w:rPr>
                <w:color w:val="000000"/>
              </w:rPr>
              <w:t xml:space="preserve">č. </w:t>
            </w:r>
            <w:r w:rsidRPr="00922537">
              <w:rPr>
                <w:color w:val="000000"/>
              </w:rPr>
              <w:t>676/2002/ES zo 7. marca 2002 o</w:t>
            </w:r>
            <w:r w:rsidRPr="00922537">
              <w:t xml:space="preserve"> regulačnom rámci pre politiku rádiového frekvenčného spektra v Európskom spoločenstve (rozhodnutie o rádiovom frekvenčnom spektre) (</w:t>
            </w:r>
            <w:r w:rsidR="00A51D54" w:rsidRPr="00922537">
              <w:t>Ú. v. ES L 108, 24. 4. 2002</w:t>
            </w:r>
            <w:r w:rsidR="00A51D54">
              <w:t xml:space="preserve">; </w:t>
            </w:r>
            <w:r w:rsidRPr="00922537">
              <w:t>Mimoriadne vydanie Ú. v. EÚ kap. 13/zv. 29)</w:t>
            </w:r>
            <w:r w:rsidR="00554985" w:rsidRPr="00554985">
              <w:t>.</w:t>
            </w:r>
          </w:p>
          <w:p w:rsidR="00817397" w:rsidRPr="00922537" w:rsidRDefault="00817397" w:rsidP="00554985">
            <w:pPr>
              <w:spacing w:before="120"/>
              <w:ind w:left="108" w:hanging="176"/>
              <w:jc w:val="both"/>
            </w:pPr>
            <w:r w:rsidRPr="00922537">
              <w:rPr>
                <w:color w:val="000000"/>
              </w:rPr>
              <w:t>Gestorom všetkých uvedených právnych aktov je Ministerstvo dopravy a výstavby SR.</w:t>
            </w:r>
          </w:p>
        </w:tc>
      </w:tr>
    </w:tbl>
    <w:p w:rsidR="00817397" w:rsidRDefault="00817397" w:rsidP="00222229">
      <w:pPr>
        <w:ind w:firstLine="709"/>
        <w:jc w:val="both"/>
      </w:pPr>
    </w:p>
    <w:p w:rsidR="00817397" w:rsidRDefault="00817397" w:rsidP="00817397">
      <w:pPr>
        <w:ind w:left="709" w:hanging="349"/>
        <w:jc w:val="both"/>
      </w:pPr>
      <w:r w:rsidRPr="00922537">
        <w:t>c)</w:t>
      </w:r>
      <w:r w:rsidRPr="00922537">
        <w:tab/>
        <w:t>nie je obsiahnutý v judikatúre Súdneho dvora Európskej únie</w:t>
      </w:r>
      <w:r w:rsidR="000427B4">
        <w:t>.</w:t>
      </w:r>
    </w:p>
    <w:p w:rsidR="00554985" w:rsidRPr="00922537" w:rsidRDefault="00554985" w:rsidP="00817397">
      <w:pPr>
        <w:ind w:left="709" w:hanging="349"/>
        <w:jc w:val="both"/>
      </w:pPr>
    </w:p>
    <w:p w:rsidR="00817397" w:rsidRPr="00922537" w:rsidRDefault="00817397" w:rsidP="00817397">
      <w:pPr>
        <w:jc w:val="both"/>
      </w:pPr>
    </w:p>
    <w:p w:rsidR="00817397" w:rsidRPr="00922537" w:rsidRDefault="00817397" w:rsidP="00817397">
      <w:pPr>
        <w:ind w:left="360" w:hanging="360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:rsidR="00817397" w:rsidRPr="00922537" w:rsidRDefault="00817397" w:rsidP="00817397">
      <w:pPr>
        <w:ind w:left="360" w:hanging="360"/>
        <w:jc w:val="both"/>
        <w:rPr>
          <w:b/>
        </w:rPr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a)</w:t>
      </w:r>
      <w:r w:rsidRPr="00922537">
        <w:tab/>
        <w:t xml:space="preserve">lehota na prebratie </w:t>
      </w:r>
      <w:r w:rsidR="00031913" w:rsidRPr="00922537">
        <w:t>príslušného právneho aktu Európskej únie</w:t>
      </w:r>
    </w:p>
    <w:p w:rsidR="00817397" w:rsidRPr="00922537" w:rsidRDefault="00817397" w:rsidP="00817397">
      <w:pPr>
        <w:jc w:val="both"/>
      </w:pPr>
      <w:r w:rsidRPr="00922537">
        <w:t xml:space="preserve">            </w:t>
      </w:r>
      <w:r w:rsidR="00222229" w:rsidRPr="00922537">
        <w:t>B</w:t>
      </w:r>
      <w:r w:rsidRPr="00922537">
        <w:t>ezpredmetné.</w:t>
      </w:r>
    </w:p>
    <w:p w:rsidR="00817397" w:rsidRPr="00922537" w:rsidRDefault="00817397" w:rsidP="00817397">
      <w:pPr>
        <w:jc w:val="both"/>
      </w:pP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konkrétne vytýkané nedostatky a požiadavky na zabezpečenie nápravy so zreteľom na nariadenie Európskeho parlamentu a Rady (ES) č. 1049/2001 z 30. mája 2001 o prístupe verejnosti k dokumentom Európskeho parlamentu, Rady a Komisie, </w:t>
      </w:r>
    </w:p>
    <w:p w:rsidR="00817397" w:rsidRPr="00922537" w:rsidRDefault="00817397" w:rsidP="00222229">
      <w:pPr>
        <w:ind w:left="709" w:hanging="349"/>
        <w:jc w:val="both"/>
      </w:pPr>
      <w:r w:rsidRPr="00922537">
        <w:t xml:space="preserve">     N</w:t>
      </w:r>
      <w:r w:rsidRPr="00922537">
        <w:rPr>
          <w:w w:val="108"/>
          <w:lang w:bidi="he-IL"/>
        </w:rPr>
        <w:t>ie je vedené</w:t>
      </w:r>
      <w:r w:rsidR="00222229" w:rsidRPr="00922537">
        <w:rPr>
          <w:w w:val="108"/>
          <w:lang w:bidi="he-IL"/>
        </w:rPr>
        <w:t>.</w:t>
      </w:r>
    </w:p>
    <w:p w:rsidR="00817397" w:rsidRPr="00922537" w:rsidRDefault="00817397" w:rsidP="00817397">
      <w:pPr>
        <w:ind w:right="-94"/>
        <w:jc w:val="both"/>
      </w:pPr>
      <w:r w:rsidRPr="00922537">
        <w:t xml:space="preserve">  </w:t>
      </w:r>
    </w:p>
    <w:p w:rsidR="00817397" w:rsidRPr="00922537" w:rsidRDefault="00817397" w:rsidP="00222229">
      <w:pPr>
        <w:spacing w:after="120"/>
        <w:ind w:left="709" w:hanging="352"/>
        <w:jc w:val="both"/>
      </w:pPr>
      <w:r w:rsidRPr="00922537">
        <w:t>c)</w:t>
      </w:r>
      <w:r w:rsidRPr="00922537">
        <w:tab/>
        <w:t>informáci</w:t>
      </w:r>
      <w:r w:rsidR="00922537">
        <w:t>a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8786"/>
      </w:tblGrid>
      <w:tr w:rsidR="00817397" w:rsidRPr="00922537" w:rsidTr="003D7ABD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397" w:rsidRPr="00922537" w:rsidRDefault="00817397" w:rsidP="003D7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397" w:rsidRPr="00922537" w:rsidRDefault="00817397" w:rsidP="003D7ABD">
            <w:pPr>
              <w:pStyle w:val="Odsekzoznamu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817397" w:rsidRPr="00922537" w:rsidRDefault="00817397" w:rsidP="00817397">
      <w:pPr>
        <w:ind w:left="709"/>
        <w:jc w:val="both"/>
      </w:pPr>
      <w:r w:rsidRPr="00922537">
        <w:t>Zákon č. 351/2011 Z. z. o elektronických komunikáciách v znení neskorších predpisov, úplné prebranie.</w:t>
      </w:r>
    </w:p>
    <w:p w:rsidR="00817397" w:rsidRPr="00922537" w:rsidRDefault="00817397" w:rsidP="00817397">
      <w:pPr>
        <w:ind w:firstLine="708"/>
        <w:jc w:val="both"/>
      </w:pPr>
    </w:p>
    <w:p w:rsidR="00817397" w:rsidRPr="00922537" w:rsidRDefault="00817397" w:rsidP="00031C36">
      <w:pPr>
        <w:spacing w:before="120"/>
        <w:ind w:left="357" w:hanging="357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>Návrh nariad</w:t>
      </w:r>
      <w:bookmarkStart w:id="0" w:name="_GoBack"/>
      <w:bookmarkEnd w:id="0"/>
      <w:r w:rsidRPr="00922537">
        <w:rPr>
          <w:b/>
        </w:rPr>
        <w:t xml:space="preserve">enia vlády je zlučiteľný s právom Európskej únie: </w:t>
      </w:r>
    </w:p>
    <w:p w:rsidR="007C29D8" w:rsidRPr="00922537" w:rsidRDefault="00817397" w:rsidP="00C93E00">
      <w:pPr>
        <w:spacing w:before="120"/>
        <w:ind w:firstLine="720"/>
      </w:pPr>
      <w:r w:rsidRPr="00922537">
        <w:t xml:space="preserve">Stupeň zlučiteľnosti </w:t>
      </w:r>
      <w:r w:rsidR="00222229" w:rsidRPr="00922537">
        <w:t>–</w:t>
      </w:r>
      <w:r w:rsidRPr="00922537">
        <w:t xml:space="preserve"> úplný</w:t>
      </w:r>
      <w:r w:rsidR="00222229" w:rsidRPr="00922537">
        <w:t>.</w:t>
      </w:r>
      <w:r w:rsidRPr="00922537">
        <w:t> </w:t>
      </w:r>
    </w:p>
    <w:sectPr w:rsidR="007C29D8" w:rsidRPr="00922537" w:rsidSect="00F841FA">
      <w:footerReference w:type="even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44" w:rsidRDefault="007B4A44" w:rsidP="00CB35BC">
      <w:r>
        <w:separator/>
      </w:r>
    </w:p>
  </w:endnote>
  <w:endnote w:type="continuationSeparator" w:id="0">
    <w:p w:rsidR="007B4A44" w:rsidRDefault="007B4A44" w:rsidP="00C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4A5E" w:rsidRDefault="009E4A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E" w:rsidRDefault="009E4A5E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1C36">
      <w:rPr>
        <w:rStyle w:val="slostrany"/>
        <w:noProof/>
      </w:rPr>
      <w:t>4</w:t>
    </w:r>
    <w:r>
      <w:rPr>
        <w:rStyle w:val="slostrany"/>
      </w:rPr>
      <w:fldChar w:fldCharType="end"/>
    </w:r>
  </w:p>
  <w:p w:rsidR="00CB35BC" w:rsidRDefault="00CB35BC">
    <w:pPr>
      <w:pStyle w:val="Pta"/>
      <w:jc w:val="right"/>
    </w:pPr>
  </w:p>
  <w:p w:rsidR="00CB35BC" w:rsidRDefault="00CB35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44" w:rsidRDefault="007B4A44" w:rsidP="00CB35BC">
      <w:r>
        <w:separator/>
      </w:r>
    </w:p>
  </w:footnote>
  <w:footnote w:type="continuationSeparator" w:id="0">
    <w:p w:rsidR="007B4A44" w:rsidRDefault="007B4A44" w:rsidP="00CB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5BFA"/>
    <w:multiLevelType w:val="hybridMultilevel"/>
    <w:tmpl w:val="A84621BE"/>
    <w:lvl w:ilvl="0" w:tplc="5082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FBA"/>
    <w:multiLevelType w:val="hybridMultilevel"/>
    <w:tmpl w:val="2270AE42"/>
    <w:lvl w:ilvl="0" w:tplc="BB4E4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B66"/>
    <w:multiLevelType w:val="hybridMultilevel"/>
    <w:tmpl w:val="CAE0ABA6"/>
    <w:lvl w:ilvl="0" w:tplc="79C4CE0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011D3C"/>
    <w:multiLevelType w:val="hybridMultilevel"/>
    <w:tmpl w:val="3CE82226"/>
    <w:lvl w:ilvl="0" w:tplc="B0E266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83D51"/>
    <w:multiLevelType w:val="hybridMultilevel"/>
    <w:tmpl w:val="F7200774"/>
    <w:lvl w:ilvl="0" w:tplc="5082E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4DA"/>
    <w:multiLevelType w:val="hybridMultilevel"/>
    <w:tmpl w:val="C7CEAFCA"/>
    <w:lvl w:ilvl="0" w:tplc="30BC146C">
      <w:start w:val="2"/>
      <w:numFmt w:val="bullet"/>
      <w:lvlText w:val="-"/>
      <w:lvlJc w:val="left"/>
      <w:pPr>
        <w:ind w:left="121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6CF6AAB"/>
    <w:multiLevelType w:val="hybridMultilevel"/>
    <w:tmpl w:val="1F8EDAAA"/>
    <w:lvl w:ilvl="0" w:tplc="44700F30">
      <w:start w:val="2"/>
      <w:numFmt w:val="bullet"/>
      <w:lvlText w:val="-"/>
      <w:lvlJc w:val="left"/>
      <w:pPr>
        <w:ind w:left="1571" w:hanging="360"/>
      </w:pPr>
      <w:rPr>
        <w:rFonts w:ascii="EUAlbertina" w:eastAsia="Times New Roman" w:hAnsi="EUAlbertina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81A6B01"/>
    <w:multiLevelType w:val="hybridMultilevel"/>
    <w:tmpl w:val="C2A01BF2"/>
    <w:lvl w:ilvl="0" w:tplc="2542A45A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8" w15:restartNumberingAfterBreak="0">
    <w:nsid w:val="6F184DA0"/>
    <w:multiLevelType w:val="hybridMultilevel"/>
    <w:tmpl w:val="5CA462C6"/>
    <w:lvl w:ilvl="0" w:tplc="5082E0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7E5CCD"/>
    <w:multiLevelType w:val="hybridMultilevel"/>
    <w:tmpl w:val="A0847BD2"/>
    <w:lvl w:ilvl="0" w:tplc="E07C81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8"/>
    <w:rsid w:val="00015114"/>
    <w:rsid w:val="00031913"/>
    <w:rsid w:val="00031C36"/>
    <w:rsid w:val="00035B2A"/>
    <w:rsid w:val="0004045B"/>
    <w:rsid w:val="000427B4"/>
    <w:rsid w:val="0005784F"/>
    <w:rsid w:val="000743D2"/>
    <w:rsid w:val="00083827"/>
    <w:rsid w:val="00084D7F"/>
    <w:rsid w:val="000C7A75"/>
    <w:rsid w:val="000E7DA0"/>
    <w:rsid w:val="000F0A17"/>
    <w:rsid w:val="001045FC"/>
    <w:rsid w:val="0012481D"/>
    <w:rsid w:val="0012523A"/>
    <w:rsid w:val="00126854"/>
    <w:rsid w:val="00130C63"/>
    <w:rsid w:val="001434BD"/>
    <w:rsid w:val="001460E0"/>
    <w:rsid w:val="00147D70"/>
    <w:rsid w:val="00164618"/>
    <w:rsid w:val="00192441"/>
    <w:rsid w:val="00194905"/>
    <w:rsid w:val="0019566D"/>
    <w:rsid w:val="001A242A"/>
    <w:rsid w:val="001A6FD4"/>
    <w:rsid w:val="001B2FFA"/>
    <w:rsid w:val="001C2944"/>
    <w:rsid w:val="001F238B"/>
    <w:rsid w:val="00222229"/>
    <w:rsid w:val="00222AD0"/>
    <w:rsid w:val="002672F4"/>
    <w:rsid w:val="00292CD8"/>
    <w:rsid w:val="002C43B3"/>
    <w:rsid w:val="002D02D2"/>
    <w:rsid w:val="002D58DC"/>
    <w:rsid w:val="00303A09"/>
    <w:rsid w:val="00333F06"/>
    <w:rsid w:val="00340C1B"/>
    <w:rsid w:val="00340D31"/>
    <w:rsid w:val="0034446D"/>
    <w:rsid w:val="00345207"/>
    <w:rsid w:val="00351757"/>
    <w:rsid w:val="00353195"/>
    <w:rsid w:val="00362936"/>
    <w:rsid w:val="00367389"/>
    <w:rsid w:val="00373083"/>
    <w:rsid w:val="003A6F01"/>
    <w:rsid w:val="003B7788"/>
    <w:rsid w:val="003D0471"/>
    <w:rsid w:val="003D6F2E"/>
    <w:rsid w:val="003E3558"/>
    <w:rsid w:val="003F6CC7"/>
    <w:rsid w:val="00412676"/>
    <w:rsid w:val="004241F2"/>
    <w:rsid w:val="004306B1"/>
    <w:rsid w:val="00440BB7"/>
    <w:rsid w:val="004525A9"/>
    <w:rsid w:val="004609C3"/>
    <w:rsid w:val="004808D8"/>
    <w:rsid w:val="00490E3E"/>
    <w:rsid w:val="0049307B"/>
    <w:rsid w:val="00495D7B"/>
    <w:rsid w:val="005138A4"/>
    <w:rsid w:val="005465CE"/>
    <w:rsid w:val="00554985"/>
    <w:rsid w:val="005555B1"/>
    <w:rsid w:val="005701E1"/>
    <w:rsid w:val="00570EC6"/>
    <w:rsid w:val="00575054"/>
    <w:rsid w:val="00576595"/>
    <w:rsid w:val="0058565A"/>
    <w:rsid w:val="00596D0D"/>
    <w:rsid w:val="005978AC"/>
    <w:rsid w:val="005A00FD"/>
    <w:rsid w:val="005B298F"/>
    <w:rsid w:val="005C761C"/>
    <w:rsid w:val="005D60B3"/>
    <w:rsid w:val="005E0368"/>
    <w:rsid w:val="005E0AEF"/>
    <w:rsid w:val="005E1522"/>
    <w:rsid w:val="005F5382"/>
    <w:rsid w:val="006162A6"/>
    <w:rsid w:val="00682AA5"/>
    <w:rsid w:val="00686FD1"/>
    <w:rsid w:val="006C5F2F"/>
    <w:rsid w:val="006D6A4A"/>
    <w:rsid w:val="006E6860"/>
    <w:rsid w:val="006E75D3"/>
    <w:rsid w:val="00707B51"/>
    <w:rsid w:val="00736112"/>
    <w:rsid w:val="00743733"/>
    <w:rsid w:val="00750594"/>
    <w:rsid w:val="00760314"/>
    <w:rsid w:val="00761702"/>
    <w:rsid w:val="00770545"/>
    <w:rsid w:val="007A6379"/>
    <w:rsid w:val="007B4A44"/>
    <w:rsid w:val="007C29D8"/>
    <w:rsid w:val="007C6A97"/>
    <w:rsid w:val="007E13FF"/>
    <w:rsid w:val="007F5BCE"/>
    <w:rsid w:val="00817397"/>
    <w:rsid w:val="00821C3A"/>
    <w:rsid w:val="00823390"/>
    <w:rsid w:val="008247A1"/>
    <w:rsid w:val="00860984"/>
    <w:rsid w:val="00884791"/>
    <w:rsid w:val="008962D0"/>
    <w:rsid w:val="008A7F9B"/>
    <w:rsid w:val="008D710C"/>
    <w:rsid w:val="009100FA"/>
    <w:rsid w:val="00912255"/>
    <w:rsid w:val="00912DA3"/>
    <w:rsid w:val="00922537"/>
    <w:rsid w:val="009355E5"/>
    <w:rsid w:val="00937198"/>
    <w:rsid w:val="00946343"/>
    <w:rsid w:val="00985C9C"/>
    <w:rsid w:val="009A20A7"/>
    <w:rsid w:val="009A3569"/>
    <w:rsid w:val="009A6321"/>
    <w:rsid w:val="009C592F"/>
    <w:rsid w:val="009D3F4C"/>
    <w:rsid w:val="009E0997"/>
    <w:rsid w:val="009E1ED9"/>
    <w:rsid w:val="009E4A5E"/>
    <w:rsid w:val="00A12096"/>
    <w:rsid w:val="00A264B7"/>
    <w:rsid w:val="00A30590"/>
    <w:rsid w:val="00A30C3B"/>
    <w:rsid w:val="00A43D7C"/>
    <w:rsid w:val="00A43ECD"/>
    <w:rsid w:val="00A51D54"/>
    <w:rsid w:val="00A67295"/>
    <w:rsid w:val="00A81303"/>
    <w:rsid w:val="00A82EE7"/>
    <w:rsid w:val="00A91070"/>
    <w:rsid w:val="00AA575A"/>
    <w:rsid w:val="00AB2AA6"/>
    <w:rsid w:val="00AD0021"/>
    <w:rsid w:val="00AF22AD"/>
    <w:rsid w:val="00B03361"/>
    <w:rsid w:val="00B04DB7"/>
    <w:rsid w:val="00B06B0D"/>
    <w:rsid w:val="00B2579D"/>
    <w:rsid w:val="00B300B6"/>
    <w:rsid w:val="00B308F3"/>
    <w:rsid w:val="00B6666A"/>
    <w:rsid w:val="00B80DDC"/>
    <w:rsid w:val="00B827DB"/>
    <w:rsid w:val="00BA1810"/>
    <w:rsid w:val="00BA31A7"/>
    <w:rsid w:val="00BD7DB7"/>
    <w:rsid w:val="00BE2968"/>
    <w:rsid w:val="00C3444E"/>
    <w:rsid w:val="00C53B7A"/>
    <w:rsid w:val="00C55E96"/>
    <w:rsid w:val="00C86B5D"/>
    <w:rsid w:val="00C93E00"/>
    <w:rsid w:val="00CB35BC"/>
    <w:rsid w:val="00CF5C68"/>
    <w:rsid w:val="00D10B79"/>
    <w:rsid w:val="00D21197"/>
    <w:rsid w:val="00D26B55"/>
    <w:rsid w:val="00D352BF"/>
    <w:rsid w:val="00D45F4B"/>
    <w:rsid w:val="00D533D3"/>
    <w:rsid w:val="00D907A6"/>
    <w:rsid w:val="00DA67B4"/>
    <w:rsid w:val="00DB2516"/>
    <w:rsid w:val="00DB63DC"/>
    <w:rsid w:val="00DD3657"/>
    <w:rsid w:val="00DD4A6E"/>
    <w:rsid w:val="00DE04A6"/>
    <w:rsid w:val="00DE4932"/>
    <w:rsid w:val="00DF3285"/>
    <w:rsid w:val="00E25D1A"/>
    <w:rsid w:val="00E335E7"/>
    <w:rsid w:val="00E3455C"/>
    <w:rsid w:val="00E50EB4"/>
    <w:rsid w:val="00E512B4"/>
    <w:rsid w:val="00E517A5"/>
    <w:rsid w:val="00E61882"/>
    <w:rsid w:val="00E7350C"/>
    <w:rsid w:val="00E8085B"/>
    <w:rsid w:val="00E877B8"/>
    <w:rsid w:val="00E93B17"/>
    <w:rsid w:val="00EB1810"/>
    <w:rsid w:val="00EC5AC7"/>
    <w:rsid w:val="00F15759"/>
    <w:rsid w:val="00F23B43"/>
    <w:rsid w:val="00F469A9"/>
    <w:rsid w:val="00F748CB"/>
    <w:rsid w:val="00F766F9"/>
    <w:rsid w:val="00F841FA"/>
    <w:rsid w:val="00F93A7D"/>
    <w:rsid w:val="00FA410E"/>
    <w:rsid w:val="00FA793E"/>
    <w:rsid w:val="00FB67B6"/>
    <w:rsid w:val="00FD17C6"/>
    <w:rsid w:val="00FE01F9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5E0AA-31AC-4C68-A0EB-F7FAFF9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locked/>
    <w:rsid w:val="0034446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35BC"/>
    <w:rPr>
      <w:rFonts w:cs="Times New Roman"/>
      <w:sz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CB3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35BC"/>
    <w:rPr>
      <w:rFonts w:cs="Times New Roman"/>
      <w:sz w:val="24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CB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35BC"/>
    <w:rPr>
      <w:rFonts w:ascii="Tahoma" w:hAnsi="Tahoma" w:cs="Times New Roman"/>
      <w:sz w:val="16"/>
      <w:lang w:val="ru-RU" w:eastAsia="x-none"/>
    </w:rPr>
  </w:style>
  <w:style w:type="paragraph" w:customStyle="1" w:styleId="Default">
    <w:name w:val="Default"/>
    <w:rsid w:val="00CB35B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B35B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B35BC"/>
    <w:rPr>
      <w:rFonts w:cs="Times New Roman"/>
      <w:color w:val="auto"/>
    </w:rPr>
  </w:style>
  <w:style w:type="character" w:styleId="slostrany">
    <w:name w:val="page number"/>
    <w:basedOn w:val="Predvolenpsmoodseku"/>
    <w:uiPriority w:val="99"/>
    <w:rsid w:val="009E4A5E"/>
    <w:rPr>
      <w:rFonts w:cs="Times New Roman"/>
    </w:rPr>
  </w:style>
  <w:style w:type="character" w:styleId="Siln">
    <w:name w:val="Strong"/>
    <w:basedOn w:val="Predvolenpsmoodseku"/>
    <w:uiPriority w:val="22"/>
    <w:qFormat/>
    <w:locked/>
    <w:rsid w:val="001F238B"/>
    <w:rPr>
      <w:rFonts w:cs="Times New Roman"/>
      <w:b/>
    </w:rPr>
  </w:style>
  <w:style w:type="character" w:customStyle="1" w:styleId="Nadpis1Char">
    <w:name w:val="Nadpis 1 Char"/>
    <w:basedOn w:val="Predvolenpsmoodseku"/>
    <w:link w:val="Nadpis1"/>
    <w:uiPriority w:val="9"/>
    <w:rsid w:val="0034446D"/>
    <w:rPr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81739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Odsekzoznamu">
    <w:name w:val="List Paragraph"/>
    <w:basedOn w:val="Normlny"/>
    <w:uiPriority w:val="34"/>
    <w:qFormat/>
    <w:rsid w:val="0081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1881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Podhorský, Viliam</dc:creator>
  <cp:keywords/>
  <dc:description/>
  <cp:lastModifiedBy>Podhorský, Viliam</cp:lastModifiedBy>
  <cp:revision>3</cp:revision>
  <cp:lastPrinted>2019-10-23T07:01:00Z</cp:lastPrinted>
  <dcterms:created xsi:type="dcterms:W3CDTF">2019-10-23T13:00:00Z</dcterms:created>
  <dcterms:modified xsi:type="dcterms:W3CDTF">2019-11-04T14:46:00Z</dcterms:modified>
</cp:coreProperties>
</file>