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917FB6" w:rsidRDefault="00D710A5" w:rsidP="00917FB6">
      <w:pPr>
        <w:widowControl/>
        <w:spacing w:after="0" w:line="240" w:lineRule="auto"/>
        <w:jc w:val="center"/>
        <w:rPr>
          <w:rFonts w:ascii="Times New Roman" w:hAnsi="Times New Roman"/>
          <w:b/>
          <w:caps/>
          <w:sz w:val="20"/>
          <w:szCs w:val="20"/>
        </w:rPr>
      </w:pPr>
      <w:r w:rsidRPr="00917FB6">
        <w:rPr>
          <w:rFonts w:ascii="Times New Roman" w:hAnsi="Times New Roman"/>
          <w:b/>
          <w:caps/>
          <w:sz w:val="20"/>
          <w:szCs w:val="20"/>
        </w:rPr>
        <w:t>vznesené Pripomienky v rámci medzirezortného pripomienkového konania</w:t>
      </w:r>
    </w:p>
    <w:p w:rsidR="002F00DB" w:rsidRPr="00917FB6" w:rsidRDefault="002F00DB" w:rsidP="00917FB6">
      <w:pPr>
        <w:widowControl/>
        <w:spacing w:after="0" w:line="240" w:lineRule="auto"/>
        <w:jc w:val="center"/>
        <w:rPr>
          <w:rFonts w:ascii="Times New Roman" w:hAnsi="Times New Roman"/>
          <w:b/>
          <w:caps/>
          <w:sz w:val="20"/>
          <w:szCs w:val="20"/>
        </w:rPr>
      </w:pPr>
    </w:p>
    <w:p w:rsidR="00E22D3C" w:rsidRPr="00917FB6" w:rsidRDefault="00E22D3C" w:rsidP="00917FB6">
      <w:pPr>
        <w:spacing w:after="0" w:line="240" w:lineRule="auto"/>
        <w:jc w:val="center"/>
        <w:divId w:val="2079598027"/>
        <w:rPr>
          <w:rFonts w:ascii="Times New Roman" w:hAnsi="Times New Roman"/>
          <w:sz w:val="20"/>
          <w:szCs w:val="20"/>
        </w:rPr>
      </w:pPr>
      <w:r w:rsidRPr="00917FB6">
        <w:rPr>
          <w:rFonts w:ascii="Times New Roman" w:hAnsi="Times New Roman"/>
          <w:sz w:val="20"/>
          <w:szCs w:val="20"/>
        </w:rPr>
        <w:t>Nariadenie vlády Slovenskej republiky, ktorým sa mení nariadenie vlády Slovenskej republiky č. 384/2006 Z. z. o výške pracovnej odmeny a podmienkach jej poskytovania obvineným a odsúdeným v znení neskorších predpisov</w:t>
      </w:r>
    </w:p>
    <w:p w:rsidR="00D710A5" w:rsidRPr="00917FB6" w:rsidRDefault="00D710A5" w:rsidP="00917FB6">
      <w:pPr>
        <w:widowControl/>
        <w:spacing w:after="0" w:line="240" w:lineRule="auto"/>
        <w:rPr>
          <w:rFonts w:ascii="Times New Roman" w:hAnsi="Times New Roman"/>
          <w:sz w:val="20"/>
          <w:szCs w:val="20"/>
        </w:rPr>
      </w:pPr>
    </w:p>
    <w:p w:rsidR="00BA14D6" w:rsidRPr="00917FB6" w:rsidRDefault="00BA14D6" w:rsidP="00917FB6">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17FB6" w:rsidTr="00087ADB">
        <w:tc>
          <w:tcPr>
            <w:tcW w:w="6379" w:type="dxa"/>
            <w:tcBorders>
              <w:top w:val="nil"/>
              <w:left w:val="nil"/>
              <w:bottom w:val="nil"/>
              <w:right w:val="nil"/>
            </w:tcBorders>
          </w:tcPr>
          <w:p w:rsidR="00D710A5" w:rsidRPr="00917FB6" w:rsidRDefault="0087529A" w:rsidP="00917FB6">
            <w:pPr>
              <w:widowControl/>
              <w:spacing w:after="0" w:line="240" w:lineRule="auto"/>
              <w:rPr>
                <w:rFonts w:ascii="Times New Roman" w:hAnsi="Times New Roman"/>
                <w:sz w:val="20"/>
                <w:szCs w:val="20"/>
              </w:rPr>
            </w:pPr>
            <w:r w:rsidRPr="00917FB6">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917FB6" w:rsidRDefault="00E22D3C" w:rsidP="00917FB6">
            <w:pPr>
              <w:widowControl/>
              <w:spacing w:after="0" w:line="240" w:lineRule="auto"/>
              <w:rPr>
                <w:rFonts w:ascii="Times New Roman" w:hAnsi="Times New Roman"/>
                <w:sz w:val="20"/>
                <w:szCs w:val="20"/>
              </w:rPr>
            </w:pPr>
            <w:r w:rsidRPr="00917FB6">
              <w:rPr>
                <w:rFonts w:ascii="Times New Roman" w:hAnsi="Times New Roman"/>
                <w:sz w:val="20"/>
                <w:szCs w:val="20"/>
              </w:rPr>
              <w:t>6 / 1</w:t>
            </w:r>
          </w:p>
        </w:tc>
      </w:tr>
    </w:tbl>
    <w:p w:rsidR="00D710A5" w:rsidRPr="00917FB6" w:rsidRDefault="00D710A5" w:rsidP="00917FB6">
      <w:pPr>
        <w:pStyle w:val="Zkladntext"/>
        <w:widowControl/>
        <w:jc w:val="both"/>
        <w:rPr>
          <w:b w:val="0"/>
          <w:bCs w:val="0"/>
          <w:color w:val="000000"/>
          <w:sz w:val="20"/>
          <w:szCs w:val="20"/>
        </w:rPr>
      </w:pPr>
    </w:p>
    <w:p w:rsidR="00E22D3C" w:rsidRPr="00917FB6" w:rsidRDefault="00E22D3C" w:rsidP="00917FB6">
      <w:pPr>
        <w:widowControl/>
        <w:spacing w:after="0" w:line="240" w:lineRule="auto"/>
        <w:rPr>
          <w:rFonts w:ascii="Times New Roman" w:hAnsi="Times New Roman"/>
          <w:sz w:val="20"/>
          <w:szCs w:val="20"/>
        </w:rPr>
      </w:pPr>
    </w:p>
    <w:tbl>
      <w:tblPr>
        <w:tblW w:w="486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8"/>
        <w:gridCol w:w="8968"/>
        <w:gridCol w:w="445"/>
        <w:gridCol w:w="459"/>
        <w:gridCol w:w="2496"/>
      </w:tblGrid>
      <w:tr w:rsidR="00917FB6"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Subjekt</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Pripomienka</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Typ</w:t>
            </w:r>
          </w:p>
        </w:tc>
        <w:tc>
          <w:tcPr>
            <w:tcW w:w="167" w:type="pct"/>
            <w:tcBorders>
              <w:top w:val="outset" w:sz="6" w:space="0" w:color="000000"/>
              <w:left w:val="outset" w:sz="6" w:space="0" w:color="000000"/>
              <w:bottom w:val="outset" w:sz="6" w:space="0" w:color="000000"/>
              <w:right w:val="outset" w:sz="6" w:space="0" w:color="000000"/>
            </w:tcBorders>
            <w:vAlign w:val="center"/>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Vyh</w:t>
            </w:r>
          </w:p>
        </w:tc>
        <w:tc>
          <w:tcPr>
            <w:tcW w:w="908" w:type="pct"/>
            <w:tcBorders>
              <w:top w:val="outset" w:sz="6" w:space="0" w:color="000000"/>
              <w:left w:val="outset" w:sz="6" w:space="0" w:color="000000"/>
              <w:bottom w:val="outset" w:sz="6" w:space="0" w:color="000000"/>
              <w:right w:val="outset" w:sz="6" w:space="0" w:color="000000"/>
            </w:tcBorders>
            <w:vAlign w:val="center"/>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Poznámka</w:t>
            </w:r>
          </w:p>
        </w:tc>
      </w:tr>
      <w:tr w:rsidR="00917FB6"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AZZZ SR</w:t>
            </w:r>
          </w:p>
        </w:tc>
        <w:tc>
          <w:tcPr>
            <w:tcW w:w="3262"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rPr>
                <w:rFonts w:ascii="Times New Roman" w:hAnsi="Times New Roman"/>
                <w:sz w:val="20"/>
                <w:szCs w:val="20"/>
              </w:rPr>
            </w:pPr>
            <w:r w:rsidRPr="00917FB6">
              <w:rPr>
                <w:rFonts w:ascii="Times New Roman" w:hAnsi="Times New Roman"/>
                <w:b/>
                <w:bCs/>
                <w:sz w:val="20"/>
                <w:szCs w:val="20"/>
              </w:rPr>
              <w:t>predloženému návrhu</w:t>
            </w:r>
            <w:r w:rsidRPr="00917FB6">
              <w:rPr>
                <w:rFonts w:ascii="Times New Roman" w:hAnsi="Times New Roman"/>
                <w:sz w:val="20"/>
                <w:szCs w:val="20"/>
              </w:rPr>
              <w:br/>
              <w:t>nemá pripomienky</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O</w:t>
            </w:r>
          </w:p>
        </w:tc>
        <w:tc>
          <w:tcPr>
            <w:tcW w:w="167" w:type="pct"/>
            <w:tcBorders>
              <w:top w:val="outset" w:sz="6" w:space="0" w:color="000000"/>
              <w:left w:val="outset" w:sz="6" w:space="0" w:color="000000"/>
              <w:bottom w:val="outset" w:sz="6" w:space="0" w:color="000000"/>
              <w:right w:val="outset" w:sz="6" w:space="0" w:color="000000"/>
            </w:tcBorders>
            <w:vAlign w:val="center"/>
          </w:tcPr>
          <w:p w:rsidR="00917FB6" w:rsidRPr="00917FB6" w:rsidRDefault="00A938EB" w:rsidP="00917FB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917FB6" w:rsidRPr="00917FB6" w:rsidRDefault="00917FB6" w:rsidP="00917FB6">
            <w:pPr>
              <w:spacing w:after="0" w:line="240" w:lineRule="auto"/>
              <w:rPr>
                <w:rFonts w:ascii="Times New Roman" w:hAnsi="Times New Roman"/>
                <w:b/>
                <w:bCs/>
                <w:sz w:val="20"/>
                <w:szCs w:val="20"/>
              </w:rPr>
            </w:pPr>
          </w:p>
        </w:tc>
      </w:tr>
      <w:tr w:rsidR="00917FB6"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MFSR</w:t>
            </w:r>
          </w:p>
        </w:tc>
        <w:tc>
          <w:tcPr>
            <w:tcW w:w="3262"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rPr>
                <w:rFonts w:ascii="Times New Roman" w:hAnsi="Times New Roman"/>
                <w:sz w:val="20"/>
                <w:szCs w:val="20"/>
              </w:rPr>
            </w:pPr>
            <w:r w:rsidRPr="00917FB6">
              <w:rPr>
                <w:rFonts w:ascii="Times New Roman" w:hAnsi="Times New Roman"/>
                <w:b/>
                <w:bCs/>
                <w:sz w:val="20"/>
                <w:szCs w:val="20"/>
              </w:rPr>
              <w:t>Všeobecne</w:t>
            </w:r>
            <w:r w:rsidRPr="00917FB6">
              <w:rPr>
                <w:rFonts w:ascii="Times New Roman" w:hAnsi="Times New Roman"/>
                <w:sz w:val="20"/>
                <w:szCs w:val="20"/>
              </w:rPr>
              <w:br/>
              <w:t xml:space="preserve">V jednotlivých tabuľkách Analýzy vplyvov na rozpočet verejnej správy, na zamestnanosť vo verejnej správe a financovanie návrhu (ďalej len „analýza vplyvov“) žiadame uvádzať iba medziročný nárast príjmov a výdavkov súvisiaci s predmetným návrhom, nie celkový objem príjmov a výdavkov. </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Z</w:t>
            </w:r>
          </w:p>
        </w:tc>
        <w:tc>
          <w:tcPr>
            <w:tcW w:w="167" w:type="pct"/>
            <w:tcBorders>
              <w:top w:val="outset" w:sz="6" w:space="0" w:color="000000"/>
              <w:left w:val="outset" w:sz="6" w:space="0" w:color="000000"/>
              <w:bottom w:val="outset" w:sz="6" w:space="0" w:color="000000"/>
              <w:right w:val="outset" w:sz="6" w:space="0" w:color="000000"/>
            </w:tcBorders>
            <w:vAlign w:val="center"/>
          </w:tcPr>
          <w:p w:rsidR="00917FB6" w:rsidRPr="00917FB6" w:rsidRDefault="00A938EB" w:rsidP="00917FB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917FB6" w:rsidRPr="00917FB6" w:rsidRDefault="00917FB6" w:rsidP="00917FB6">
            <w:pPr>
              <w:spacing w:after="0" w:line="240" w:lineRule="auto"/>
              <w:rPr>
                <w:rFonts w:ascii="Times New Roman" w:hAnsi="Times New Roman"/>
                <w:b/>
                <w:bCs/>
                <w:sz w:val="20"/>
                <w:szCs w:val="20"/>
              </w:rPr>
            </w:pPr>
          </w:p>
        </w:tc>
      </w:tr>
      <w:tr w:rsidR="00917FB6"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MFSR</w:t>
            </w:r>
          </w:p>
        </w:tc>
        <w:tc>
          <w:tcPr>
            <w:tcW w:w="3262" w:type="pct"/>
            <w:tcBorders>
              <w:top w:val="outset" w:sz="6" w:space="0" w:color="000000"/>
              <w:left w:val="outset" w:sz="6" w:space="0" w:color="000000"/>
              <w:bottom w:val="outset" w:sz="6" w:space="0" w:color="000000"/>
              <w:right w:val="outset" w:sz="6" w:space="0" w:color="000000"/>
            </w:tcBorders>
            <w:hideMark/>
          </w:tcPr>
          <w:p w:rsidR="00917FB6" w:rsidRPr="00917FB6" w:rsidRDefault="00917FB6" w:rsidP="00917FB6">
            <w:pPr>
              <w:spacing w:after="0" w:line="240" w:lineRule="auto"/>
              <w:rPr>
                <w:rFonts w:ascii="Times New Roman" w:hAnsi="Times New Roman"/>
                <w:sz w:val="20"/>
                <w:szCs w:val="20"/>
              </w:rPr>
            </w:pPr>
            <w:r w:rsidRPr="00917FB6">
              <w:rPr>
                <w:rFonts w:ascii="Times New Roman" w:hAnsi="Times New Roman"/>
                <w:b/>
                <w:bCs/>
                <w:sz w:val="20"/>
                <w:szCs w:val="20"/>
              </w:rPr>
              <w:t>Všeobecne</w:t>
            </w:r>
            <w:r w:rsidRPr="00917FB6">
              <w:rPr>
                <w:rFonts w:ascii="Times New Roman" w:hAnsi="Times New Roman"/>
                <w:sz w:val="20"/>
                <w:szCs w:val="20"/>
              </w:rPr>
              <w:br/>
              <w:t xml:space="preserve">V tabuľke č. 1 analýzy vplyvov je potrebné v údajoch za príjmy vyplniť aj riadky „Kapitola: Ministerstvo spravodlivosti SR“ a „Rozpočtové prostriedky“. V údajoch za výdavky je potrebné vyplniť aj riadky „Kapitola: Ministerstvo spravodlivosti SR“, „Program 070 – Väzenstvo“ a „Rozpočtové prostriedky“ a v údajoch týkajúcich sa rozpočtového zabezpečenia aj riadok „v tom: za každý subjekt verejnej správy/program zvlášť“. </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917FB6" w:rsidRPr="00917FB6" w:rsidRDefault="00917FB6" w:rsidP="00917FB6">
            <w:pPr>
              <w:spacing w:after="0" w:line="240" w:lineRule="auto"/>
              <w:jc w:val="center"/>
              <w:rPr>
                <w:rFonts w:ascii="Times New Roman" w:hAnsi="Times New Roman"/>
                <w:b/>
                <w:bCs/>
                <w:sz w:val="20"/>
                <w:szCs w:val="20"/>
              </w:rPr>
            </w:pPr>
            <w:r w:rsidRPr="00917FB6">
              <w:rPr>
                <w:rFonts w:ascii="Times New Roman" w:hAnsi="Times New Roman"/>
                <w:b/>
                <w:bCs/>
                <w:sz w:val="20"/>
                <w:szCs w:val="20"/>
              </w:rPr>
              <w:t>O</w:t>
            </w:r>
          </w:p>
        </w:tc>
        <w:tc>
          <w:tcPr>
            <w:tcW w:w="167" w:type="pct"/>
            <w:tcBorders>
              <w:top w:val="outset" w:sz="6" w:space="0" w:color="000000"/>
              <w:left w:val="outset" w:sz="6" w:space="0" w:color="000000"/>
              <w:bottom w:val="outset" w:sz="6" w:space="0" w:color="000000"/>
              <w:right w:val="outset" w:sz="6" w:space="0" w:color="000000"/>
            </w:tcBorders>
            <w:vAlign w:val="center"/>
          </w:tcPr>
          <w:p w:rsidR="00917FB6" w:rsidRPr="00917FB6" w:rsidRDefault="00A938EB" w:rsidP="00917FB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917FB6" w:rsidRPr="00917FB6" w:rsidRDefault="00917FB6" w:rsidP="00917FB6">
            <w:pPr>
              <w:spacing w:after="0" w:line="240" w:lineRule="auto"/>
              <w:rPr>
                <w:rFonts w:ascii="Times New Roman" w:hAnsi="Times New Roman"/>
                <w:b/>
                <w:bCs/>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MPSVRSR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b/>
                <w:bCs/>
                <w:sz w:val="20"/>
                <w:szCs w:val="20"/>
              </w:rPr>
              <w:t>K analýze sociálnych vplyvov</w:t>
            </w:r>
            <w:r w:rsidRPr="00917FB6">
              <w:rPr>
                <w:rFonts w:ascii="Times New Roman" w:hAnsi="Times New Roman"/>
                <w:sz w:val="20"/>
                <w:szCs w:val="20"/>
              </w:rPr>
              <w:br/>
              <w:t xml:space="preserve">V bode 4.1 analýzy sociálnych vplyvov v časti týkajúcej sa kvantifikácie je potrebné doplniť modelové príklady pozitívnych sociálnych vplyvov predloženého návrhu na hospodárenie dotknutých skupín, keďže absentuje kvantitatívne hodnotenie podľa Metodického postupu pre analýzu sociálnych vplyvov (Príloha č. 4 Jednotnej metodiky na posudzovanie vybraných vplyvov). </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O</w:t>
            </w: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A938EB" w:rsidP="00A938E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08" w:type="pct"/>
            <w:tcBorders>
              <w:top w:val="outset" w:sz="6" w:space="0" w:color="000000"/>
              <w:left w:val="outset" w:sz="6" w:space="0" w:color="000000"/>
              <w:bottom w:val="outset" w:sz="6" w:space="0" w:color="000000"/>
              <w:right w:val="outset" w:sz="6" w:space="0" w:color="000000"/>
            </w:tcBorders>
          </w:tcPr>
          <w:p w:rsidR="00A938EB" w:rsidRPr="00E10DE0" w:rsidRDefault="00A938EB" w:rsidP="00A938EB">
            <w:pPr>
              <w:spacing w:after="0" w:line="240" w:lineRule="auto"/>
              <w:rPr>
                <w:rFonts w:ascii="Times New Roman" w:hAnsi="Times New Roman"/>
                <w:bCs/>
                <w:sz w:val="20"/>
                <w:szCs w:val="20"/>
              </w:rPr>
            </w:pPr>
            <w:r w:rsidRPr="00E10DE0">
              <w:rPr>
                <w:rFonts w:ascii="Times New Roman" w:hAnsi="Times New Roman"/>
                <w:bCs/>
                <w:sz w:val="20"/>
                <w:szCs w:val="20"/>
              </w:rPr>
              <w:t>V analýze sociálnych vplyvov (v bode 4.1) je uvedený dôvod chýbajúcej kvantifikácie. Modelové príklady nie je možné uviesť, nakoľko sa štatistiky o počte dotknutých rodín väznených osôb nesledujú.</w:t>
            </w: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MZSR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br/>
              <w:t xml:space="preserve">Odporúčame zosúladiť analýzu vplyvov na rozpočet verejnej správy, na zamestnanosť vo verejnej správe a financovanie návrhu (bod 2.1. Zhrnutie vplyvov na rozpočet verejnej správy) s ostatnými časťami predloženého návrhu, ktoré špecifikujú negatívny vplyv na rozpočet verejnej správy a objem zvýšenia výdavkov. V predkladacej správe sa uvádza, že návrh nariadenia vlády bude mať negatívny vplyv na rozpočet verejnej správy, pretože valorizácia pracovných taríf vyžaduje zvýšenie výdavkov o 1 248 280,- Eur. V rovnakej výške (1 248 280,- Eur) sú negatívne vplyvy vyčíslené v dôvodovej správe, ako aj v bode 2.2.4. (Výpočty vplyvov na verejné financie) Analýzy vplyvov na rozpočet verejnej správy, na zamestnanosť vo verejnej správe a financovanie návrhu. </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O</w:t>
            </w: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A938EB" w:rsidP="00A938E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b/>
                <w:bCs/>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NBS</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b/>
                <w:bCs/>
                <w:sz w:val="20"/>
                <w:szCs w:val="20"/>
              </w:rPr>
              <w:t xml:space="preserve">K doložke zlučiteľnosti </w:t>
            </w:r>
            <w:r w:rsidRPr="00917FB6">
              <w:rPr>
                <w:rFonts w:ascii="Times New Roman" w:hAnsi="Times New Roman"/>
                <w:sz w:val="20"/>
                <w:szCs w:val="20"/>
              </w:rPr>
              <w:br/>
              <w:t xml:space="preserve">V doložke zlučiteľnosti je potrebné slová „1. Predmet návrhu zákona je upravený v práve Európskej únie:“ </w:t>
            </w:r>
            <w:r w:rsidRPr="00917FB6">
              <w:rPr>
                <w:rFonts w:ascii="Times New Roman" w:hAnsi="Times New Roman"/>
                <w:sz w:val="20"/>
                <w:szCs w:val="20"/>
              </w:rPr>
              <w:lastRenderedPageBreak/>
              <w:t>nahradiť slovami „3. Predmet návrhu právneho predpisu nie je upravený v práve Európskej únie:“.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A938EB" w:rsidP="00A938E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b/>
                <w:bCs/>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ÚJDSR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A938EB">
            <w:pPr>
              <w:spacing w:after="0" w:line="240" w:lineRule="auto"/>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D00335" w:rsidRDefault="00D00335" w:rsidP="00D00335">
            <w:pPr>
              <w:spacing w:after="0" w:line="240" w:lineRule="auto"/>
              <w:jc w:val="center"/>
              <w:rPr>
                <w:rFonts w:ascii="Times New Roman" w:hAnsi="Times New Roman"/>
                <w:b/>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bookmarkStart w:id="0" w:name="_GoBack" w:colFirst="2" w:colLast="3"/>
            <w:r w:rsidRPr="00917FB6">
              <w:rPr>
                <w:rFonts w:ascii="Times New Roman" w:hAnsi="Times New Roman"/>
                <w:b/>
                <w:bCs/>
                <w:sz w:val="20"/>
                <w:szCs w:val="20"/>
              </w:rPr>
              <w:t>OAPSVLÚVSR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MOSR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ŠÚSR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proofErr w:type="spellStart"/>
            <w:r w:rsidRPr="00917FB6">
              <w:rPr>
                <w:rFonts w:ascii="Times New Roman" w:hAnsi="Times New Roman"/>
                <w:b/>
                <w:bCs/>
                <w:sz w:val="20"/>
                <w:szCs w:val="20"/>
              </w:rPr>
              <w:t>MŠVVaŠSR</w:t>
            </w:r>
            <w:proofErr w:type="spellEnd"/>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ÚVO</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ÚPVSR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MKSR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ÚNMSSR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proofErr w:type="spellStart"/>
            <w:r w:rsidRPr="00917FB6">
              <w:rPr>
                <w:rFonts w:ascii="Times New Roman" w:hAnsi="Times New Roman"/>
                <w:b/>
                <w:bCs/>
                <w:sz w:val="20"/>
                <w:szCs w:val="20"/>
              </w:rPr>
              <w:t>MDaVSR</w:t>
            </w:r>
            <w:proofErr w:type="spellEnd"/>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MHSR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MVSR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PMÚSR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MŽPSR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MPRVSR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GPSR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MZVEZ SR</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tr w:rsidR="00A938EB" w:rsidRPr="00917FB6" w:rsidTr="00917FB6">
        <w:trPr>
          <w:jc w:val="center"/>
        </w:trPr>
        <w:tc>
          <w:tcPr>
            <w:tcW w:w="501"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jc w:val="center"/>
              <w:rPr>
                <w:rFonts w:ascii="Times New Roman" w:hAnsi="Times New Roman"/>
                <w:b/>
                <w:bCs/>
                <w:sz w:val="20"/>
                <w:szCs w:val="20"/>
              </w:rPr>
            </w:pPr>
            <w:r w:rsidRPr="00917FB6">
              <w:rPr>
                <w:rFonts w:ascii="Times New Roman" w:hAnsi="Times New Roman"/>
                <w:b/>
                <w:bCs/>
                <w:sz w:val="20"/>
                <w:szCs w:val="20"/>
              </w:rPr>
              <w:t>ÚPPVII</w:t>
            </w:r>
          </w:p>
        </w:tc>
        <w:tc>
          <w:tcPr>
            <w:tcW w:w="3262" w:type="pct"/>
            <w:tcBorders>
              <w:top w:val="outset" w:sz="6" w:space="0" w:color="000000"/>
              <w:left w:val="outset" w:sz="6" w:space="0" w:color="000000"/>
              <w:bottom w:val="outset" w:sz="6" w:space="0" w:color="000000"/>
              <w:right w:val="outset" w:sz="6" w:space="0" w:color="000000"/>
            </w:tcBorders>
            <w:hideMark/>
          </w:tcPr>
          <w:p w:rsidR="00A938EB" w:rsidRPr="00917FB6" w:rsidRDefault="00A938EB" w:rsidP="00A938EB">
            <w:pPr>
              <w:spacing w:after="0" w:line="240" w:lineRule="auto"/>
              <w:rPr>
                <w:rFonts w:ascii="Times New Roman" w:hAnsi="Times New Roman"/>
                <w:sz w:val="20"/>
                <w:szCs w:val="20"/>
              </w:rPr>
            </w:pPr>
            <w:r w:rsidRPr="00917FB6">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rsidR="00A938EB" w:rsidRPr="00917FB6" w:rsidRDefault="00A938EB" w:rsidP="00D00335">
            <w:pPr>
              <w:spacing w:after="0" w:line="240" w:lineRule="auto"/>
              <w:jc w:val="center"/>
              <w:rPr>
                <w:rFonts w:ascii="Times New Roman" w:hAnsi="Times New Roman"/>
                <w:sz w:val="20"/>
                <w:szCs w:val="20"/>
              </w:rPr>
            </w:pPr>
          </w:p>
        </w:tc>
        <w:tc>
          <w:tcPr>
            <w:tcW w:w="167" w:type="pct"/>
            <w:tcBorders>
              <w:top w:val="outset" w:sz="6" w:space="0" w:color="000000"/>
              <w:left w:val="outset" w:sz="6" w:space="0" w:color="000000"/>
              <w:bottom w:val="outset" w:sz="6" w:space="0" w:color="000000"/>
              <w:right w:val="outset" w:sz="6" w:space="0" w:color="000000"/>
            </w:tcBorders>
            <w:vAlign w:val="center"/>
          </w:tcPr>
          <w:p w:rsidR="00A938EB" w:rsidRPr="00917FB6" w:rsidRDefault="00D00335" w:rsidP="00D00335">
            <w:pPr>
              <w:spacing w:after="0" w:line="240" w:lineRule="auto"/>
              <w:jc w:val="center"/>
              <w:rPr>
                <w:rFonts w:ascii="Times New Roman" w:hAnsi="Times New Roman"/>
                <w:sz w:val="20"/>
                <w:szCs w:val="20"/>
              </w:rPr>
            </w:pPr>
            <w:r w:rsidRPr="00D00335">
              <w:rPr>
                <w:rFonts w:ascii="Times New Roman" w:hAnsi="Times New Roman"/>
                <w:b/>
                <w:sz w:val="20"/>
                <w:szCs w:val="20"/>
              </w:rPr>
              <w:t>A</w:t>
            </w:r>
          </w:p>
        </w:tc>
        <w:tc>
          <w:tcPr>
            <w:tcW w:w="908" w:type="pct"/>
            <w:tcBorders>
              <w:top w:val="outset" w:sz="6" w:space="0" w:color="000000"/>
              <w:left w:val="outset" w:sz="6" w:space="0" w:color="000000"/>
              <w:bottom w:val="outset" w:sz="6" w:space="0" w:color="000000"/>
              <w:right w:val="outset" w:sz="6" w:space="0" w:color="000000"/>
            </w:tcBorders>
          </w:tcPr>
          <w:p w:rsidR="00A938EB" w:rsidRPr="00917FB6" w:rsidRDefault="00A938EB" w:rsidP="00A938EB">
            <w:pPr>
              <w:spacing w:after="0" w:line="240" w:lineRule="auto"/>
              <w:rPr>
                <w:rFonts w:ascii="Times New Roman" w:hAnsi="Times New Roman"/>
                <w:sz w:val="20"/>
                <w:szCs w:val="20"/>
              </w:rPr>
            </w:pPr>
          </w:p>
        </w:tc>
      </w:tr>
      <w:bookmarkEnd w:id="0"/>
    </w:tbl>
    <w:p w:rsidR="00DD1B41" w:rsidRPr="00917FB6" w:rsidRDefault="00DD1B41" w:rsidP="00917FB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917FB6" w:rsidTr="00C27ACD">
        <w:tc>
          <w:tcPr>
            <w:tcW w:w="4928" w:type="dxa"/>
            <w:tcBorders>
              <w:top w:val="nil"/>
              <w:left w:val="nil"/>
              <w:bottom w:val="nil"/>
              <w:right w:val="nil"/>
            </w:tcBorders>
          </w:tcPr>
          <w:p w:rsidR="006173E4" w:rsidRPr="00917FB6" w:rsidRDefault="006173E4" w:rsidP="00917FB6">
            <w:pPr>
              <w:pStyle w:val="Zkladntext"/>
              <w:widowControl/>
              <w:jc w:val="both"/>
              <w:rPr>
                <w:b w:val="0"/>
                <w:color w:val="000000"/>
                <w:sz w:val="20"/>
                <w:szCs w:val="20"/>
              </w:rPr>
            </w:pPr>
          </w:p>
          <w:p w:rsidR="006173E4" w:rsidRPr="00917FB6" w:rsidRDefault="006173E4" w:rsidP="00917FB6">
            <w:pPr>
              <w:pStyle w:val="Zkladntext"/>
              <w:widowControl/>
              <w:jc w:val="both"/>
              <w:rPr>
                <w:b w:val="0"/>
                <w:color w:val="000000"/>
                <w:sz w:val="20"/>
                <w:szCs w:val="20"/>
              </w:rPr>
            </w:pPr>
            <w:r w:rsidRPr="00917FB6">
              <w:rPr>
                <w:b w:val="0"/>
                <w:color w:val="000000"/>
                <w:sz w:val="20"/>
                <w:szCs w:val="20"/>
              </w:rPr>
              <w:t>Vysvetlivky  k použitým skratkám v tabuľke:</w:t>
            </w:r>
          </w:p>
        </w:tc>
      </w:tr>
      <w:tr w:rsidR="006173E4" w:rsidRPr="00917FB6" w:rsidTr="00C27ACD">
        <w:tc>
          <w:tcPr>
            <w:tcW w:w="4928" w:type="dxa"/>
            <w:tcBorders>
              <w:top w:val="nil"/>
              <w:left w:val="nil"/>
              <w:bottom w:val="nil"/>
              <w:right w:val="nil"/>
            </w:tcBorders>
          </w:tcPr>
          <w:p w:rsidR="006173E4" w:rsidRPr="00917FB6" w:rsidRDefault="006173E4" w:rsidP="00917FB6">
            <w:pPr>
              <w:pStyle w:val="Zkladntext"/>
              <w:widowControl/>
              <w:jc w:val="both"/>
              <w:rPr>
                <w:b w:val="0"/>
                <w:color w:val="000000"/>
                <w:sz w:val="20"/>
                <w:szCs w:val="20"/>
              </w:rPr>
            </w:pPr>
            <w:r w:rsidRPr="00917FB6">
              <w:rPr>
                <w:b w:val="0"/>
                <w:color w:val="000000"/>
                <w:sz w:val="20"/>
                <w:szCs w:val="20"/>
              </w:rPr>
              <w:t>O – obyčajná</w:t>
            </w:r>
          </w:p>
        </w:tc>
      </w:tr>
      <w:tr w:rsidR="006173E4" w:rsidRPr="00917FB6" w:rsidTr="00C27ACD">
        <w:tc>
          <w:tcPr>
            <w:tcW w:w="4928" w:type="dxa"/>
            <w:tcBorders>
              <w:top w:val="nil"/>
              <w:left w:val="nil"/>
              <w:bottom w:val="nil"/>
              <w:right w:val="nil"/>
            </w:tcBorders>
          </w:tcPr>
          <w:p w:rsidR="006173E4" w:rsidRPr="00917FB6" w:rsidRDefault="006173E4" w:rsidP="00917FB6">
            <w:pPr>
              <w:pStyle w:val="Zkladntext"/>
              <w:widowControl/>
              <w:jc w:val="both"/>
              <w:rPr>
                <w:b w:val="0"/>
                <w:color w:val="000000"/>
                <w:sz w:val="20"/>
                <w:szCs w:val="20"/>
              </w:rPr>
            </w:pPr>
            <w:r w:rsidRPr="00917FB6">
              <w:rPr>
                <w:b w:val="0"/>
                <w:color w:val="000000"/>
                <w:sz w:val="20"/>
                <w:szCs w:val="20"/>
              </w:rPr>
              <w:t>Z – zásadná</w:t>
            </w:r>
          </w:p>
        </w:tc>
      </w:tr>
    </w:tbl>
    <w:p w:rsidR="006173E4" w:rsidRPr="00917FB6" w:rsidRDefault="006173E4" w:rsidP="00917FB6">
      <w:pPr>
        <w:widowControl/>
        <w:spacing w:after="0" w:line="240" w:lineRule="auto"/>
        <w:rPr>
          <w:rFonts w:ascii="Times New Roman" w:hAnsi="Times New Roman"/>
          <w:sz w:val="20"/>
          <w:szCs w:val="20"/>
        </w:rPr>
      </w:pPr>
    </w:p>
    <w:sectPr w:rsidR="006173E4" w:rsidRPr="00917FB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103DC"/>
    <w:rsid w:val="00761851"/>
    <w:rsid w:val="00772C99"/>
    <w:rsid w:val="00773CE7"/>
    <w:rsid w:val="008461A5"/>
    <w:rsid w:val="0087529A"/>
    <w:rsid w:val="008F1A80"/>
    <w:rsid w:val="00917FB6"/>
    <w:rsid w:val="00A56287"/>
    <w:rsid w:val="00A938EB"/>
    <w:rsid w:val="00AA4FD0"/>
    <w:rsid w:val="00B3505E"/>
    <w:rsid w:val="00B50E2A"/>
    <w:rsid w:val="00B51490"/>
    <w:rsid w:val="00BA14D6"/>
    <w:rsid w:val="00D00335"/>
    <w:rsid w:val="00D02827"/>
    <w:rsid w:val="00D17ED7"/>
    <w:rsid w:val="00D463B0"/>
    <w:rsid w:val="00D710A5"/>
    <w:rsid w:val="00DD1B41"/>
    <w:rsid w:val="00DF7EB5"/>
    <w:rsid w:val="00E10DE0"/>
    <w:rsid w:val="00E22D3C"/>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649D4-19A5-4794-B67A-157D8D0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6610">
      <w:bodyDiv w:val="1"/>
      <w:marLeft w:val="0"/>
      <w:marRight w:val="0"/>
      <w:marTop w:val="0"/>
      <w:marBottom w:val="0"/>
      <w:divBdr>
        <w:top w:val="none" w:sz="0" w:space="0" w:color="auto"/>
        <w:left w:val="none" w:sz="0" w:space="0" w:color="auto"/>
        <w:bottom w:val="none" w:sz="0" w:space="0" w:color="auto"/>
        <w:right w:val="none" w:sz="0" w:space="0" w:color="auto"/>
      </w:divBdr>
      <w:divsChild>
        <w:div w:id="1638953168">
          <w:marLeft w:val="0"/>
          <w:marRight w:val="0"/>
          <w:marTop w:val="0"/>
          <w:marBottom w:val="0"/>
          <w:divBdr>
            <w:top w:val="none" w:sz="0" w:space="0" w:color="auto"/>
            <w:left w:val="none" w:sz="0" w:space="0" w:color="auto"/>
            <w:bottom w:val="none" w:sz="0" w:space="0" w:color="auto"/>
            <w:right w:val="none" w:sz="0" w:space="0" w:color="auto"/>
          </w:divBdr>
        </w:div>
      </w:divsChild>
    </w:div>
    <w:div w:id="529421446">
      <w:bodyDiv w:val="1"/>
      <w:marLeft w:val="0"/>
      <w:marRight w:val="0"/>
      <w:marTop w:val="0"/>
      <w:marBottom w:val="0"/>
      <w:divBdr>
        <w:top w:val="none" w:sz="0" w:space="0" w:color="auto"/>
        <w:left w:val="none" w:sz="0" w:space="0" w:color="auto"/>
        <w:bottom w:val="none" w:sz="0" w:space="0" w:color="auto"/>
        <w:right w:val="none" w:sz="0" w:space="0" w:color="auto"/>
      </w:divBdr>
    </w:div>
    <w:div w:id="20795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11.2019 4:10:47"/>
    <f:field ref="objchangedby" par="" text="Fscclone"/>
    <f:field ref="objmodifiedat" par="" text="9.11.2019 4:10:4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E480C7-DFE9-46BD-B411-217FBA3A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SCHUSTEROVÁ Ingrida</cp:lastModifiedBy>
  <cp:revision>3</cp:revision>
  <cp:lastPrinted>2019-11-12T05:10:00Z</cp:lastPrinted>
  <dcterms:created xsi:type="dcterms:W3CDTF">2019-11-12T05:23:00Z</dcterms:created>
  <dcterms:modified xsi:type="dcterms:W3CDTF">2019-11-12T05:34:00Z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Polícia, Zväz väzenskej a justičnej stráže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Ingrida Schusterová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384/2006 Z. z. o výške pracovnej odmeny a podmienkach jej poskytovania obvineným a odsúdeným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Nariadenie vlády  Slovenskej republiky, ktorým sa mení nariadenie vlády Slovenskej republiky č. 384/2006 Z. z. o výške pracovnej odmeny a podmienkach jej poskytovania obvineným a odsúdeným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42848/2019/120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LP/2019/592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align="center"&gt;&amp;nbsp;&lt;/p&gt;&lt;p&gt;Ministerstvo spravodlivosti Slovenskej republiky predkladá do medzirezortného pripomienkového konania návrh nariadenia vlády Slovenskej republiky, ktorým sa mení nariadenie vlády Slovenskej republiky č. 384/2006 Z. z. o výšk</vt:lpwstr>
  </property>
  <property fmtid="{D5CDD505-2E9C-101B-9397-08002B2CF9AE}" pid="149" name="FSC#COOSYSTEM@1.1:Container">
    <vt:lpwstr>COO.2145.1000.3.3687228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9. 11. 2019</vt:lpwstr>
  </property>
</Properties>
</file>