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151" w:rsidRPr="009A6AFF" w:rsidRDefault="008B0151" w:rsidP="008B0151">
      <w:pPr>
        <w:spacing w:line="276" w:lineRule="auto"/>
        <w:jc w:val="both"/>
        <w:rPr>
          <w:rFonts w:ascii="Times New Roman" w:hAnsi="Times New Roman"/>
          <w:szCs w:val="24"/>
          <w:lang w:eastAsia="sk-SK"/>
        </w:rPr>
      </w:pPr>
      <w:r w:rsidRPr="009A6AFF">
        <w:rPr>
          <w:rFonts w:ascii="Times New Roman" w:hAnsi="Times New Roman"/>
          <w:noProof/>
          <w:lang w:eastAsia="sk-SK"/>
        </w:rPr>
        <w:drawing>
          <wp:anchor distT="0" distB="0" distL="114935" distR="114935" simplePos="0" relativeHeight="251658240" behindDoc="0" locked="0" layoutInCell="0" allowOverlap="1">
            <wp:simplePos x="0" y="0"/>
            <wp:positionH relativeFrom="page">
              <wp:posOffset>874395</wp:posOffset>
            </wp:positionH>
            <wp:positionV relativeFrom="paragraph">
              <wp:posOffset>-135890</wp:posOffset>
            </wp:positionV>
            <wp:extent cx="676275" cy="687070"/>
            <wp:effectExtent l="19050" t="0" r="9525" b="0"/>
            <wp:wrapSquare wrapText="bothSides"/>
            <wp:docPr id="2" name="Obrázok 1" descr="ZMOS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MOS 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0151" w:rsidRPr="009A6AFF" w:rsidRDefault="008B0151" w:rsidP="008B0151">
      <w:pPr>
        <w:framePr w:hSpace="180" w:wrap="around" w:vAnchor="text" w:hAnchor="page" w:x="1162" w:y="1"/>
        <w:spacing w:line="276" w:lineRule="auto"/>
        <w:jc w:val="both"/>
        <w:rPr>
          <w:rFonts w:ascii="Times New Roman" w:hAnsi="Times New Roman"/>
          <w:i/>
          <w:szCs w:val="24"/>
          <w:lang w:eastAsia="sk-SK"/>
        </w:rPr>
      </w:pPr>
    </w:p>
    <w:p w:rsidR="008B0151" w:rsidRPr="009A6AFF" w:rsidRDefault="008B0151" w:rsidP="008B0151">
      <w:pPr>
        <w:keepNext/>
        <w:spacing w:line="276" w:lineRule="auto"/>
        <w:jc w:val="both"/>
        <w:outlineLvl w:val="0"/>
        <w:rPr>
          <w:rFonts w:ascii="Times New Roman" w:hAnsi="Times New Roman"/>
          <w:b/>
          <w:bCs/>
          <w:szCs w:val="24"/>
        </w:rPr>
      </w:pPr>
    </w:p>
    <w:p w:rsidR="00DF1FC9" w:rsidRDefault="00DF1FC9" w:rsidP="008B0151">
      <w:pPr>
        <w:keepNext/>
        <w:spacing w:line="276" w:lineRule="auto"/>
        <w:jc w:val="both"/>
        <w:outlineLvl w:val="0"/>
        <w:rPr>
          <w:rFonts w:ascii="Times New Roman" w:hAnsi="Times New Roman"/>
          <w:b/>
          <w:bCs/>
          <w:szCs w:val="24"/>
        </w:rPr>
      </w:pPr>
    </w:p>
    <w:p w:rsidR="008B0151" w:rsidRPr="00DB7720" w:rsidRDefault="008B0151" w:rsidP="00DB7720">
      <w:pPr>
        <w:keepNext/>
        <w:jc w:val="both"/>
        <w:outlineLvl w:val="0"/>
        <w:rPr>
          <w:rFonts w:ascii="Times New Roman" w:hAnsi="Times New Roman"/>
          <w:b/>
          <w:bCs/>
          <w:szCs w:val="24"/>
        </w:rPr>
      </w:pPr>
      <w:r w:rsidRPr="00DB7720">
        <w:rPr>
          <w:rFonts w:ascii="Times New Roman" w:hAnsi="Times New Roman"/>
          <w:b/>
          <w:bCs/>
          <w:szCs w:val="24"/>
        </w:rPr>
        <w:t xml:space="preserve">Materiál na rokovanie </w:t>
      </w:r>
    </w:p>
    <w:p w:rsidR="008B0151" w:rsidRPr="00DB7720" w:rsidRDefault="008B0151" w:rsidP="00DB7720">
      <w:pPr>
        <w:jc w:val="both"/>
        <w:rPr>
          <w:rFonts w:ascii="Times New Roman" w:hAnsi="Times New Roman"/>
          <w:b/>
          <w:bCs/>
          <w:szCs w:val="24"/>
          <w:lang w:eastAsia="sk-SK"/>
        </w:rPr>
      </w:pPr>
      <w:r w:rsidRPr="00DB7720">
        <w:rPr>
          <w:rFonts w:ascii="Times New Roman" w:hAnsi="Times New Roman"/>
          <w:b/>
          <w:bCs/>
          <w:szCs w:val="24"/>
          <w:lang w:eastAsia="sk-SK"/>
        </w:rPr>
        <w:t>Hospodárskej a sociálnej rady SR</w:t>
      </w:r>
    </w:p>
    <w:p w:rsidR="008B0151" w:rsidRDefault="008B0151" w:rsidP="00DB7720">
      <w:pPr>
        <w:keepNext/>
        <w:jc w:val="both"/>
        <w:outlineLvl w:val="0"/>
        <w:rPr>
          <w:rFonts w:ascii="Times New Roman" w:hAnsi="Times New Roman"/>
          <w:b/>
          <w:bCs/>
          <w:szCs w:val="24"/>
        </w:rPr>
      </w:pPr>
      <w:r w:rsidRPr="00DB7720">
        <w:rPr>
          <w:rFonts w:ascii="Times New Roman" w:hAnsi="Times New Roman"/>
          <w:b/>
          <w:bCs/>
          <w:szCs w:val="24"/>
        </w:rPr>
        <w:t xml:space="preserve">dňa 9. </w:t>
      </w:r>
      <w:r w:rsidR="00DB7720">
        <w:rPr>
          <w:rFonts w:ascii="Times New Roman" w:hAnsi="Times New Roman"/>
          <w:b/>
          <w:bCs/>
          <w:szCs w:val="24"/>
        </w:rPr>
        <w:t>12.</w:t>
      </w:r>
      <w:r w:rsidRPr="00DB7720">
        <w:rPr>
          <w:rFonts w:ascii="Times New Roman" w:hAnsi="Times New Roman"/>
          <w:b/>
          <w:bCs/>
          <w:szCs w:val="24"/>
        </w:rPr>
        <w:t xml:space="preserve"> 2019</w:t>
      </w:r>
    </w:p>
    <w:p w:rsidR="00DB7720" w:rsidRDefault="00DB7720" w:rsidP="00DB7720">
      <w:pPr>
        <w:keepNext/>
        <w:jc w:val="both"/>
        <w:outlineLvl w:val="0"/>
        <w:rPr>
          <w:rFonts w:ascii="Times New Roman" w:hAnsi="Times New Roman"/>
          <w:b/>
          <w:bCs/>
          <w:szCs w:val="24"/>
        </w:rPr>
      </w:pPr>
    </w:p>
    <w:p w:rsidR="008B0151" w:rsidRDefault="008B0151" w:rsidP="008B0151">
      <w:pPr>
        <w:spacing w:line="276" w:lineRule="auto"/>
        <w:ind w:left="708" w:right="98" w:firstLine="708"/>
        <w:jc w:val="both"/>
        <w:rPr>
          <w:rFonts w:ascii="Times New Roman" w:hAnsi="Times New Roman"/>
          <w:b/>
          <w:sz w:val="28"/>
          <w:szCs w:val="28"/>
        </w:rPr>
      </w:pPr>
      <w:r w:rsidRPr="009A6AFF">
        <w:rPr>
          <w:rFonts w:ascii="Times New Roman" w:hAnsi="Times New Roman"/>
          <w:b/>
          <w:szCs w:val="24"/>
        </w:rPr>
        <w:tab/>
      </w:r>
      <w:r w:rsidRPr="009A6AFF">
        <w:rPr>
          <w:rFonts w:ascii="Times New Roman" w:hAnsi="Times New Roman"/>
          <w:b/>
          <w:szCs w:val="24"/>
        </w:rPr>
        <w:tab/>
      </w:r>
      <w:r w:rsidRPr="009A6AFF">
        <w:rPr>
          <w:rFonts w:ascii="Times New Roman" w:hAnsi="Times New Roman"/>
          <w:b/>
          <w:szCs w:val="24"/>
        </w:rPr>
        <w:tab/>
      </w:r>
      <w:r w:rsidRPr="009A6AFF">
        <w:rPr>
          <w:rFonts w:ascii="Times New Roman" w:hAnsi="Times New Roman"/>
          <w:b/>
          <w:szCs w:val="24"/>
        </w:rPr>
        <w:tab/>
      </w:r>
      <w:r w:rsidRPr="009A6AFF">
        <w:rPr>
          <w:rFonts w:ascii="Times New Roman" w:hAnsi="Times New Roman"/>
          <w:b/>
          <w:szCs w:val="24"/>
        </w:rPr>
        <w:tab/>
      </w:r>
      <w:r w:rsidRPr="009A6AFF">
        <w:rPr>
          <w:rFonts w:ascii="Times New Roman" w:hAnsi="Times New Roman"/>
          <w:b/>
          <w:szCs w:val="24"/>
        </w:rPr>
        <w:tab/>
      </w:r>
      <w:r w:rsidRPr="009A6AFF">
        <w:rPr>
          <w:rFonts w:ascii="Times New Roman" w:hAnsi="Times New Roman"/>
          <w:b/>
          <w:szCs w:val="24"/>
        </w:rPr>
        <w:tab/>
      </w:r>
      <w:r w:rsidRPr="009A6AFF">
        <w:rPr>
          <w:rFonts w:ascii="Times New Roman" w:hAnsi="Times New Roman"/>
          <w:b/>
          <w:szCs w:val="24"/>
        </w:rPr>
        <w:tab/>
        <w:t xml:space="preserve">       </w:t>
      </w:r>
      <w:r w:rsidR="00DB7720">
        <w:rPr>
          <w:rFonts w:ascii="Times New Roman" w:hAnsi="Times New Roman"/>
          <w:b/>
          <w:sz w:val="28"/>
          <w:szCs w:val="28"/>
        </w:rPr>
        <w:t xml:space="preserve"> k bodu č. 3</w:t>
      </w:r>
    </w:p>
    <w:p w:rsidR="00DB7720" w:rsidRDefault="00DB7720" w:rsidP="008B0151">
      <w:pPr>
        <w:spacing w:line="276" w:lineRule="auto"/>
        <w:ind w:left="708" w:right="9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B7720" w:rsidRDefault="00DB7720" w:rsidP="008B0151">
      <w:pPr>
        <w:spacing w:line="276" w:lineRule="auto"/>
        <w:ind w:left="708" w:right="9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B7720" w:rsidRPr="009A6AFF" w:rsidRDefault="00DB7720" w:rsidP="008B0151">
      <w:pPr>
        <w:spacing w:line="276" w:lineRule="auto"/>
        <w:ind w:left="708" w:right="9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B0151" w:rsidRPr="00DB7720" w:rsidRDefault="008B0151" w:rsidP="00DB7720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DB7720">
        <w:rPr>
          <w:rFonts w:ascii="Times New Roman" w:hAnsi="Times New Roman"/>
          <w:b/>
          <w:bCs/>
          <w:sz w:val="32"/>
          <w:szCs w:val="32"/>
        </w:rPr>
        <w:t>Stanovisko ZMOS</w:t>
      </w:r>
    </w:p>
    <w:p w:rsidR="008B0151" w:rsidRDefault="009A6AFF" w:rsidP="00DB7720">
      <w:pPr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DB7720">
        <w:rPr>
          <w:rFonts w:ascii="Times New Roman" w:hAnsi="Times New Roman"/>
          <w:b/>
          <w:sz w:val="32"/>
          <w:szCs w:val="32"/>
        </w:rPr>
        <w:t>k</w:t>
      </w:r>
      <w:r w:rsidR="008B0151" w:rsidRPr="00DB7720">
        <w:rPr>
          <w:rFonts w:ascii="Times New Roman" w:hAnsi="Times New Roman"/>
          <w:b/>
          <w:sz w:val="32"/>
          <w:szCs w:val="32"/>
        </w:rPr>
        <w:t xml:space="preserve"> integrovanému národnému energetickému a klimatickému plánu na roky 2021 </w:t>
      </w:r>
      <w:r w:rsidR="00DB7720">
        <w:rPr>
          <w:rFonts w:ascii="Times New Roman" w:hAnsi="Times New Roman"/>
          <w:b/>
          <w:sz w:val="32"/>
          <w:szCs w:val="32"/>
        </w:rPr>
        <w:t>–</w:t>
      </w:r>
      <w:r w:rsidR="008B0151" w:rsidRPr="00DB7720">
        <w:rPr>
          <w:rFonts w:ascii="Times New Roman" w:hAnsi="Times New Roman"/>
          <w:b/>
          <w:sz w:val="32"/>
          <w:szCs w:val="32"/>
        </w:rPr>
        <w:t xml:space="preserve"> 2030</w:t>
      </w:r>
    </w:p>
    <w:p w:rsidR="00DB7720" w:rsidRDefault="00DB7720" w:rsidP="00DB7720">
      <w:pPr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DB7720" w:rsidRDefault="00DB7720" w:rsidP="00DB7720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B7720" w:rsidRDefault="00DB7720" w:rsidP="00DB7720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B7720" w:rsidRDefault="008B0151" w:rsidP="00DB7720">
      <w:pPr>
        <w:jc w:val="both"/>
        <w:rPr>
          <w:rFonts w:ascii="Times New Roman" w:hAnsi="Times New Roman"/>
          <w:b/>
          <w:bCs/>
          <w:szCs w:val="24"/>
        </w:rPr>
      </w:pPr>
      <w:r w:rsidRPr="009A6AFF">
        <w:rPr>
          <w:rFonts w:ascii="Times New Roman" w:hAnsi="Times New Roman"/>
          <w:b/>
          <w:bCs/>
          <w:szCs w:val="24"/>
        </w:rPr>
        <w:t>Všeobecne k materiálu:</w:t>
      </w:r>
    </w:p>
    <w:p w:rsidR="00DB7720" w:rsidRDefault="0010494B" w:rsidP="00DB7720">
      <w:pPr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Členské štáty Európskej únie podľa</w:t>
      </w:r>
      <w:r w:rsidR="004371C1" w:rsidRPr="009A6AFF">
        <w:rPr>
          <w:rFonts w:ascii="Times New Roman" w:hAnsi="Times New Roman"/>
          <w:szCs w:val="24"/>
          <w:lang w:eastAsia="sk-SK"/>
        </w:rPr>
        <w:t xml:space="preserve"> nariadenia </w:t>
      </w:r>
      <w:proofErr w:type="spellStart"/>
      <w:r w:rsidR="004371C1" w:rsidRPr="009A6AFF">
        <w:rPr>
          <w:rFonts w:ascii="Times New Roman" w:hAnsi="Times New Roman"/>
          <w:szCs w:val="24"/>
          <w:lang w:eastAsia="sk-SK"/>
        </w:rPr>
        <w:t>Governance</w:t>
      </w:r>
      <w:proofErr w:type="spellEnd"/>
      <w:r w:rsidR="004371C1" w:rsidRPr="009A6AFF">
        <w:rPr>
          <w:rFonts w:ascii="Times New Roman" w:hAnsi="Times New Roman"/>
          <w:szCs w:val="24"/>
          <w:lang w:eastAsia="sk-SK"/>
        </w:rPr>
        <w:t xml:space="preserve"> spracovali</w:t>
      </w:r>
      <w:r w:rsidR="004D610C">
        <w:rPr>
          <w:rFonts w:ascii="Times New Roman" w:hAnsi="Times New Roman"/>
          <w:szCs w:val="24"/>
          <w:lang w:eastAsia="sk-SK"/>
        </w:rPr>
        <w:t xml:space="preserve"> a predložili do konca roka 2018 návrhy svojich národných energetických a klimatických plánov na roky 2021-2030. Následne Európska komisia jednotlivé plány posúdila a vydala odporúčania každému členskému štátu individuálne.</w:t>
      </w:r>
    </w:p>
    <w:p w:rsidR="00DB7720" w:rsidRDefault="00DB7720" w:rsidP="00DB7720">
      <w:pPr>
        <w:jc w:val="both"/>
        <w:rPr>
          <w:rFonts w:ascii="Times New Roman" w:hAnsi="Times New Roman"/>
          <w:szCs w:val="24"/>
          <w:lang w:eastAsia="sk-SK"/>
        </w:rPr>
      </w:pPr>
    </w:p>
    <w:p w:rsidR="00DB7720" w:rsidRPr="00DB7720" w:rsidRDefault="004371C1" w:rsidP="00DB7720">
      <w:pPr>
        <w:jc w:val="both"/>
        <w:rPr>
          <w:rFonts w:ascii="Times New Roman" w:hAnsi="Times New Roman"/>
          <w:b/>
          <w:bCs/>
          <w:szCs w:val="24"/>
        </w:rPr>
      </w:pPr>
      <w:r w:rsidRPr="009A6AFF">
        <w:rPr>
          <w:rFonts w:ascii="Times New Roman" w:hAnsi="Times New Roman"/>
          <w:szCs w:val="24"/>
          <w:lang w:eastAsia="sk-SK"/>
        </w:rPr>
        <w:t>Do finálneho textu NECP boli zapracované odporúčania E</w:t>
      </w:r>
      <w:r w:rsidR="005A5548">
        <w:rPr>
          <w:rFonts w:ascii="Times New Roman" w:hAnsi="Times New Roman"/>
          <w:szCs w:val="24"/>
          <w:lang w:eastAsia="sk-SK"/>
        </w:rPr>
        <w:t>urópskej komisie</w:t>
      </w:r>
      <w:r w:rsidRPr="009A6AFF">
        <w:rPr>
          <w:rFonts w:ascii="Times New Roman" w:hAnsi="Times New Roman"/>
          <w:szCs w:val="24"/>
          <w:lang w:eastAsia="sk-SK"/>
        </w:rPr>
        <w:t xml:space="preserve"> a pripomienky širokej i odbornej verejn</w:t>
      </w:r>
      <w:r w:rsidR="00DB7720">
        <w:rPr>
          <w:rFonts w:ascii="Times New Roman" w:hAnsi="Times New Roman"/>
          <w:szCs w:val="24"/>
          <w:lang w:eastAsia="sk-SK"/>
        </w:rPr>
        <w:t xml:space="preserve">osti získané v procese prípravy </w:t>
      </w:r>
      <w:r w:rsidRPr="009A6AFF">
        <w:rPr>
          <w:rFonts w:ascii="Times New Roman" w:hAnsi="Times New Roman"/>
          <w:szCs w:val="24"/>
          <w:lang w:eastAsia="sk-SK"/>
        </w:rPr>
        <w:t>NECP.</w:t>
      </w:r>
    </w:p>
    <w:p w:rsidR="00DB7720" w:rsidRDefault="00DB7720" w:rsidP="00DB7720">
      <w:pPr>
        <w:jc w:val="both"/>
        <w:rPr>
          <w:rFonts w:ascii="Times New Roman" w:hAnsi="Times New Roman"/>
          <w:szCs w:val="24"/>
          <w:lang w:eastAsia="sk-SK"/>
        </w:rPr>
      </w:pPr>
    </w:p>
    <w:p w:rsidR="00DB7720" w:rsidRDefault="0010494B" w:rsidP="00DB7720">
      <w:pPr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Bola vytvorená pracovná skupina, ktorá sa podieľala n</w:t>
      </w:r>
      <w:r w:rsidR="004371C1" w:rsidRPr="009A6AFF">
        <w:rPr>
          <w:rFonts w:ascii="Times New Roman" w:hAnsi="Times New Roman"/>
          <w:szCs w:val="24"/>
          <w:lang w:eastAsia="sk-SK"/>
        </w:rPr>
        <w:t xml:space="preserve">a spracovaní návrhu slovenského NECP vytvorená zo zástupcov </w:t>
      </w:r>
      <w:r>
        <w:rPr>
          <w:rFonts w:ascii="Times New Roman" w:hAnsi="Times New Roman"/>
          <w:szCs w:val="24"/>
          <w:lang w:eastAsia="sk-SK"/>
        </w:rPr>
        <w:t xml:space="preserve">niekoľkých rezortov, a to: </w:t>
      </w:r>
      <w:r w:rsidR="004371C1" w:rsidRPr="009A6AFF">
        <w:rPr>
          <w:rFonts w:ascii="Times New Roman" w:hAnsi="Times New Roman"/>
          <w:szCs w:val="24"/>
          <w:lang w:eastAsia="sk-SK"/>
        </w:rPr>
        <w:t>MH SR, MŽP SR, MDV SR, MPRV SR, MŠVVŠ SR a ÚRSO. V procese prípravy boli oslovené aj dotknuté priemyselné a energetické podniky a ich profesijné združenia.</w:t>
      </w:r>
    </w:p>
    <w:p w:rsidR="00DB7720" w:rsidRDefault="00DB7720" w:rsidP="00DB7720">
      <w:pPr>
        <w:jc w:val="both"/>
        <w:rPr>
          <w:rFonts w:ascii="Times New Roman" w:hAnsi="Times New Roman"/>
          <w:szCs w:val="24"/>
          <w:lang w:eastAsia="sk-SK"/>
        </w:rPr>
      </w:pPr>
    </w:p>
    <w:p w:rsidR="004371C1" w:rsidRPr="00DB7720" w:rsidRDefault="009A6AFF" w:rsidP="00DB7720">
      <w:pPr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szCs w:val="24"/>
          <w:lang w:eastAsia="sk-SK"/>
        </w:rPr>
        <w:t>Integrovaný národný energetický a klimatický plán vychádza</w:t>
      </w:r>
      <w:r w:rsidR="0010494B">
        <w:rPr>
          <w:rFonts w:ascii="Times New Roman" w:hAnsi="Times New Roman"/>
          <w:szCs w:val="24"/>
          <w:lang w:eastAsia="sk-SK"/>
        </w:rPr>
        <w:t xml:space="preserve"> zo schválených</w:t>
      </w:r>
      <w:r w:rsidR="00DB7720">
        <w:rPr>
          <w:rFonts w:ascii="Times New Roman" w:hAnsi="Times New Roman"/>
          <w:szCs w:val="24"/>
          <w:lang w:eastAsia="sk-SK"/>
        </w:rPr>
        <w:t>,</w:t>
      </w:r>
      <w:r w:rsidR="0010494B">
        <w:rPr>
          <w:rFonts w:ascii="Times New Roman" w:hAnsi="Times New Roman"/>
          <w:szCs w:val="24"/>
          <w:lang w:eastAsia="sk-SK"/>
        </w:rPr>
        <w:t xml:space="preserve"> resp. pripravovaných strategických dokumentov.</w:t>
      </w:r>
      <w:r w:rsidR="004371C1" w:rsidRPr="009A6AFF">
        <w:rPr>
          <w:rFonts w:ascii="Times New Roman" w:hAnsi="Times New Roman"/>
          <w:szCs w:val="24"/>
          <w:lang w:eastAsia="sk-SK"/>
        </w:rPr>
        <w:t xml:space="preserve"> V energetickej oblasti je základným východiskovým materiálom Energetická politika SR a Stratégia hospodárskej politiky SR do roku 2030. V klimatickej oblasti NECP vychádza z Národnej stratégie trvalo udržateľného rozvoja SR a Stratégie environmentálnej politiky SR do roku 2030. </w:t>
      </w:r>
    </w:p>
    <w:p w:rsidR="008B0151" w:rsidRPr="009A6AFF" w:rsidRDefault="008B0151" w:rsidP="00DB7720">
      <w:pPr>
        <w:jc w:val="both"/>
        <w:rPr>
          <w:rFonts w:ascii="Times New Roman" w:hAnsi="Times New Roman"/>
          <w:b/>
          <w:bCs/>
          <w:szCs w:val="24"/>
        </w:rPr>
      </w:pPr>
    </w:p>
    <w:p w:rsidR="008B0151" w:rsidRPr="009A6AFF" w:rsidRDefault="008B0151" w:rsidP="00DB7720">
      <w:pPr>
        <w:jc w:val="both"/>
        <w:rPr>
          <w:rFonts w:ascii="Times New Roman" w:hAnsi="Times New Roman"/>
          <w:b/>
          <w:bCs/>
          <w:szCs w:val="24"/>
        </w:rPr>
      </w:pPr>
      <w:r w:rsidRPr="009A6AFF">
        <w:rPr>
          <w:rFonts w:ascii="Times New Roman" w:hAnsi="Times New Roman"/>
          <w:b/>
          <w:bCs/>
          <w:szCs w:val="24"/>
        </w:rPr>
        <w:t>Pripomienky k </w:t>
      </w:r>
      <w:r w:rsidR="00753918">
        <w:rPr>
          <w:rFonts w:ascii="Times New Roman" w:hAnsi="Times New Roman"/>
          <w:b/>
          <w:bCs/>
          <w:szCs w:val="24"/>
        </w:rPr>
        <w:t>materiálu</w:t>
      </w:r>
      <w:r w:rsidRPr="009A6AFF">
        <w:rPr>
          <w:rFonts w:ascii="Times New Roman" w:hAnsi="Times New Roman"/>
          <w:b/>
          <w:bCs/>
          <w:szCs w:val="24"/>
        </w:rPr>
        <w:t>:</w:t>
      </w:r>
    </w:p>
    <w:p w:rsidR="008B0151" w:rsidRPr="009A6AFF" w:rsidRDefault="008B0151" w:rsidP="00DB7720">
      <w:pPr>
        <w:jc w:val="both"/>
        <w:rPr>
          <w:rFonts w:ascii="Times New Roman" w:hAnsi="Times New Roman"/>
          <w:bCs/>
          <w:szCs w:val="24"/>
        </w:rPr>
      </w:pPr>
      <w:r w:rsidRPr="009A6AFF">
        <w:rPr>
          <w:rFonts w:ascii="Times New Roman" w:hAnsi="Times New Roman"/>
          <w:bCs/>
          <w:szCs w:val="24"/>
        </w:rPr>
        <w:t xml:space="preserve">ZMOS k predloženému </w:t>
      </w:r>
      <w:r w:rsidR="009A6AFF" w:rsidRPr="009A6AFF">
        <w:rPr>
          <w:rFonts w:ascii="Times New Roman" w:hAnsi="Times New Roman"/>
          <w:bCs/>
          <w:szCs w:val="24"/>
        </w:rPr>
        <w:t>materiálu</w:t>
      </w:r>
      <w:r w:rsidRPr="009A6AFF">
        <w:rPr>
          <w:rFonts w:ascii="Times New Roman" w:hAnsi="Times New Roman"/>
          <w:bCs/>
          <w:szCs w:val="24"/>
        </w:rPr>
        <w:t xml:space="preserve"> neuplatňuje pripomienky.</w:t>
      </w:r>
    </w:p>
    <w:p w:rsidR="008B0151" w:rsidRPr="009A6AFF" w:rsidRDefault="008B0151" w:rsidP="00DB7720">
      <w:pPr>
        <w:jc w:val="both"/>
        <w:rPr>
          <w:rFonts w:ascii="Times New Roman" w:hAnsi="Times New Roman"/>
          <w:bCs/>
          <w:szCs w:val="24"/>
        </w:rPr>
      </w:pPr>
    </w:p>
    <w:p w:rsidR="008B0151" w:rsidRPr="009A6AFF" w:rsidRDefault="008B0151" w:rsidP="00DB7720">
      <w:pPr>
        <w:jc w:val="both"/>
        <w:rPr>
          <w:rFonts w:ascii="Times New Roman" w:hAnsi="Times New Roman"/>
          <w:b/>
          <w:bCs/>
          <w:szCs w:val="24"/>
        </w:rPr>
      </w:pPr>
      <w:r w:rsidRPr="009A6AFF">
        <w:rPr>
          <w:rFonts w:ascii="Times New Roman" w:hAnsi="Times New Roman"/>
          <w:b/>
          <w:bCs/>
          <w:szCs w:val="24"/>
        </w:rPr>
        <w:t>Záver:</w:t>
      </w:r>
    </w:p>
    <w:p w:rsidR="008B0151" w:rsidRDefault="008B0151" w:rsidP="00DB7720">
      <w:pPr>
        <w:jc w:val="both"/>
        <w:rPr>
          <w:rFonts w:ascii="Times New Roman" w:hAnsi="Times New Roman"/>
          <w:bCs/>
          <w:szCs w:val="24"/>
        </w:rPr>
      </w:pPr>
      <w:r w:rsidRPr="009A6AFF">
        <w:rPr>
          <w:rFonts w:ascii="Times New Roman" w:hAnsi="Times New Roman"/>
          <w:bCs/>
          <w:szCs w:val="24"/>
        </w:rPr>
        <w:t xml:space="preserve">ZMOS navrhuje, aby Hospodárska a sociálna rada SR </w:t>
      </w:r>
      <w:r w:rsidR="009A6AFF" w:rsidRPr="009A6AFF">
        <w:rPr>
          <w:rFonts w:ascii="Times New Roman" w:hAnsi="Times New Roman"/>
          <w:bCs/>
          <w:szCs w:val="24"/>
        </w:rPr>
        <w:t>zobrala uvedený materiál na vedomie.</w:t>
      </w:r>
    </w:p>
    <w:p w:rsidR="00DB7720" w:rsidRDefault="00DB7720" w:rsidP="00DB7720">
      <w:pPr>
        <w:jc w:val="both"/>
        <w:rPr>
          <w:rFonts w:ascii="Times New Roman" w:hAnsi="Times New Roman"/>
          <w:bCs/>
          <w:szCs w:val="24"/>
        </w:rPr>
      </w:pPr>
    </w:p>
    <w:p w:rsidR="00DB7720" w:rsidRDefault="00DB7720" w:rsidP="00DB7720">
      <w:pPr>
        <w:jc w:val="both"/>
        <w:rPr>
          <w:rFonts w:ascii="Times New Roman" w:hAnsi="Times New Roman"/>
          <w:bCs/>
          <w:szCs w:val="24"/>
        </w:rPr>
      </w:pPr>
    </w:p>
    <w:p w:rsidR="00DB7720" w:rsidRDefault="00DB7720" w:rsidP="00DB7720">
      <w:pPr>
        <w:jc w:val="both"/>
        <w:rPr>
          <w:rStyle w:val="Siln"/>
          <w:rFonts w:ascii="Times New Roman" w:eastAsiaTheme="majorEastAsia" w:hAnsi="Times New Roman"/>
          <w:color w:val="000000"/>
          <w:szCs w:val="24"/>
          <w:shd w:val="clear" w:color="auto" w:fill="FFFFFF"/>
        </w:rPr>
      </w:pPr>
      <w:r>
        <w:rPr>
          <w:rStyle w:val="Siln"/>
          <w:rFonts w:ascii="Times New Roman" w:eastAsiaTheme="majorEastAsia" w:hAnsi="Times New Roman"/>
          <w:color w:val="000000"/>
          <w:szCs w:val="24"/>
          <w:shd w:val="clear" w:color="auto" w:fill="FFFFFF"/>
        </w:rPr>
        <w:tab/>
      </w:r>
      <w:r>
        <w:rPr>
          <w:rStyle w:val="Siln"/>
          <w:rFonts w:ascii="Times New Roman" w:eastAsiaTheme="majorEastAsia" w:hAnsi="Times New Roman"/>
          <w:color w:val="000000"/>
          <w:szCs w:val="24"/>
          <w:shd w:val="clear" w:color="auto" w:fill="FFFFFF"/>
        </w:rPr>
        <w:tab/>
      </w:r>
      <w:r>
        <w:rPr>
          <w:rStyle w:val="Siln"/>
          <w:rFonts w:ascii="Times New Roman" w:eastAsiaTheme="majorEastAsia" w:hAnsi="Times New Roman"/>
          <w:color w:val="000000"/>
          <w:szCs w:val="24"/>
          <w:shd w:val="clear" w:color="auto" w:fill="FFFFFF"/>
        </w:rPr>
        <w:tab/>
      </w:r>
      <w:r>
        <w:rPr>
          <w:rStyle w:val="Siln"/>
          <w:rFonts w:ascii="Times New Roman" w:eastAsiaTheme="majorEastAsia" w:hAnsi="Times New Roman"/>
          <w:color w:val="000000"/>
          <w:szCs w:val="24"/>
          <w:shd w:val="clear" w:color="auto" w:fill="FFFFFF"/>
        </w:rPr>
        <w:tab/>
      </w:r>
      <w:r>
        <w:rPr>
          <w:rStyle w:val="Siln"/>
          <w:rFonts w:ascii="Times New Roman" w:eastAsiaTheme="majorEastAsia" w:hAnsi="Times New Roman"/>
          <w:color w:val="000000"/>
          <w:szCs w:val="24"/>
          <w:shd w:val="clear" w:color="auto" w:fill="FFFFFF"/>
        </w:rPr>
        <w:tab/>
      </w:r>
      <w:r>
        <w:rPr>
          <w:rStyle w:val="Siln"/>
          <w:rFonts w:ascii="Times New Roman" w:eastAsiaTheme="majorEastAsia" w:hAnsi="Times New Roman"/>
          <w:color w:val="000000"/>
          <w:szCs w:val="24"/>
          <w:shd w:val="clear" w:color="auto" w:fill="FFFFFF"/>
        </w:rPr>
        <w:tab/>
      </w:r>
      <w:r>
        <w:rPr>
          <w:rStyle w:val="Siln"/>
          <w:rFonts w:ascii="Times New Roman" w:eastAsiaTheme="majorEastAsia" w:hAnsi="Times New Roman"/>
          <w:color w:val="000000"/>
          <w:szCs w:val="24"/>
          <w:shd w:val="clear" w:color="auto" w:fill="FFFFFF"/>
        </w:rPr>
        <w:tab/>
      </w:r>
      <w:r>
        <w:rPr>
          <w:rStyle w:val="Siln"/>
          <w:rFonts w:ascii="Times New Roman" w:eastAsiaTheme="majorEastAsia" w:hAnsi="Times New Roman"/>
          <w:color w:val="000000"/>
          <w:szCs w:val="24"/>
          <w:shd w:val="clear" w:color="auto" w:fill="FFFFFF"/>
        </w:rPr>
        <w:tab/>
      </w:r>
      <w:r>
        <w:rPr>
          <w:rStyle w:val="Siln"/>
          <w:rFonts w:ascii="Times New Roman" w:eastAsiaTheme="majorEastAsia" w:hAnsi="Times New Roman"/>
          <w:color w:val="000000"/>
          <w:szCs w:val="24"/>
          <w:shd w:val="clear" w:color="auto" w:fill="FFFFFF"/>
        </w:rPr>
        <w:tab/>
      </w:r>
      <w:r w:rsidR="008B0151" w:rsidRPr="009A6AFF">
        <w:rPr>
          <w:rStyle w:val="Siln"/>
          <w:rFonts w:ascii="Times New Roman" w:eastAsiaTheme="majorEastAsia" w:hAnsi="Times New Roman"/>
          <w:color w:val="000000"/>
          <w:szCs w:val="24"/>
          <w:shd w:val="clear" w:color="auto" w:fill="FFFFFF"/>
        </w:rPr>
        <w:t>Branislav Tréger</w:t>
      </w:r>
    </w:p>
    <w:p w:rsidR="008B0151" w:rsidRPr="009A6AFF" w:rsidRDefault="00DB7720" w:rsidP="00DB7720">
      <w:pPr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 w:rsidR="008B0151" w:rsidRPr="009A6AFF">
        <w:rPr>
          <w:rFonts w:ascii="Times New Roman" w:hAnsi="Times New Roman"/>
          <w:b/>
          <w:bCs/>
          <w:szCs w:val="24"/>
        </w:rPr>
        <w:t>predseda ZMOS</w:t>
      </w:r>
    </w:p>
    <w:sectPr w:rsidR="008B0151" w:rsidRPr="009A6AFF" w:rsidSect="00CC6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0151"/>
    <w:rsid w:val="0010494B"/>
    <w:rsid w:val="00174574"/>
    <w:rsid w:val="002B3BF1"/>
    <w:rsid w:val="0034497F"/>
    <w:rsid w:val="004371C1"/>
    <w:rsid w:val="004D610C"/>
    <w:rsid w:val="005A5548"/>
    <w:rsid w:val="00753918"/>
    <w:rsid w:val="008B0151"/>
    <w:rsid w:val="009A6AFF"/>
    <w:rsid w:val="00CB423E"/>
    <w:rsid w:val="00CC4F81"/>
    <w:rsid w:val="00CC6FE4"/>
    <w:rsid w:val="00DB7720"/>
    <w:rsid w:val="00DF1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015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B0151"/>
    <w:pPr>
      <w:spacing w:before="100" w:beforeAutospacing="1" w:after="100" w:afterAutospacing="1"/>
    </w:pPr>
    <w:rPr>
      <w:rFonts w:ascii="Times New Roman" w:hAnsi="Times New Roman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8B01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1FDD4-4358-449F-A596-1E3AF3B91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4</cp:revision>
  <dcterms:created xsi:type="dcterms:W3CDTF">2019-12-06T08:21:00Z</dcterms:created>
  <dcterms:modified xsi:type="dcterms:W3CDTF">2019-12-06T08:36:00Z</dcterms:modified>
</cp:coreProperties>
</file>