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1B5EEC" w:rsidRDefault="001B5EEC" w:rsidP="001B5EEC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 rozsah vplyvu</w:t>
            </w:r>
          </w:p>
          <w:p w:rsidR="00F330AF" w:rsidRDefault="00F330AF" w:rsidP="001B5EEC">
            <w:pPr>
              <w:jc w:val="both"/>
            </w:pPr>
          </w:p>
          <w:p w:rsidR="00A15CD8" w:rsidRPr="00A15CD8" w:rsidRDefault="005A0DF2" w:rsidP="00A15CD8">
            <w:pPr>
              <w:jc w:val="both"/>
              <w:rPr>
                <w:bCs/>
              </w:rPr>
            </w:pPr>
            <w:r>
              <w:t xml:space="preserve">Vyhlásením </w:t>
            </w:r>
            <w:r w:rsidR="00A15CD8">
              <w:t xml:space="preserve">CHA Čenkov </w:t>
            </w:r>
            <w:r>
              <w:t xml:space="preserve">sa vytvorí legislatívny základ pre zabezpečenie ochrany biotopov európskeho významu v území, ktoré je súčasťou európskej sústavy </w:t>
            </w:r>
            <w:r w:rsidR="00040995">
              <w:t xml:space="preserve">chránených území </w:t>
            </w:r>
            <w:r>
              <w:t xml:space="preserve">Natura 2000. </w:t>
            </w:r>
            <w:r w:rsidR="001F7966">
              <w:t xml:space="preserve">Vyhlásenie CHA </w:t>
            </w:r>
            <w:r w:rsidR="00A15CD8">
              <w:t>Čenkov</w:t>
            </w:r>
            <w:r w:rsidR="001F7966">
              <w:t xml:space="preserve"> bude mať dlhodobý pozitívny vplyv </w:t>
            </w:r>
            <w:r w:rsidR="00437D0E">
              <w:t xml:space="preserve">na </w:t>
            </w:r>
            <w:r w:rsidR="00A15CD8">
              <w:t xml:space="preserve">predmet ochrany územia - </w:t>
            </w:r>
            <w:r w:rsidR="00A15CD8" w:rsidRPr="00A15CD8">
              <w:rPr>
                <w:bCs/>
              </w:rPr>
              <w:t>prioritné biotopy európskeho významu - Ls10 Panónske topoľové lesy s borievkou (91N0*), Ls3.2 Teplomilné ponticko-panónske dubové lesy na spraši a piesku (91I0*), Pi2 Suchomilné travinnobylinné porasty na vápnitých pieskoch (6120*), Tr4 Panónske travinnobylinné porasty na pieskoch (6260*), biotopy druhov európskeho významu: kosatec piesočný (</w:t>
            </w:r>
            <w:r w:rsidR="00A15CD8" w:rsidRPr="00A15CD8">
              <w:rPr>
                <w:bCs/>
                <w:i/>
              </w:rPr>
              <w:t>Iris arenaria</w:t>
            </w:r>
            <w:r w:rsidR="00A15CD8" w:rsidRPr="00A15CD8">
              <w:rPr>
                <w:bCs/>
              </w:rPr>
              <w:t>), jesienka piesočná (</w:t>
            </w:r>
            <w:r w:rsidR="00A15CD8" w:rsidRPr="00A15CD8">
              <w:rPr>
                <w:bCs/>
                <w:i/>
              </w:rPr>
              <w:t>Colchicum arenarium</w:t>
            </w:r>
            <w:r w:rsidR="00A15CD8" w:rsidRPr="00A15CD8">
              <w:rPr>
                <w:bCs/>
              </w:rPr>
              <w:t>), kunka červenobruchá (</w:t>
            </w:r>
            <w:r w:rsidR="00A15CD8" w:rsidRPr="00A15CD8">
              <w:rPr>
                <w:bCs/>
                <w:i/>
              </w:rPr>
              <w:t>Bombina bombina</w:t>
            </w:r>
            <w:r w:rsidR="00A15CD8" w:rsidRPr="00A15CD8">
              <w:rPr>
                <w:bCs/>
              </w:rPr>
              <w:t>), jašterica zelená (</w:t>
            </w:r>
            <w:r w:rsidR="00A15CD8" w:rsidRPr="00A15CD8">
              <w:rPr>
                <w:bCs/>
                <w:i/>
              </w:rPr>
              <w:t>Lacerta viridis</w:t>
            </w:r>
            <w:r w:rsidR="00A15CD8" w:rsidRPr="00A15CD8">
              <w:rPr>
                <w:bCs/>
              </w:rPr>
              <w:t>), fuzáč veľký (</w:t>
            </w:r>
            <w:r w:rsidR="00A15CD8" w:rsidRPr="00A15CD8">
              <w:rPr>
                <w:bCs/>
                <w:i/>
              </w:rPr>
              <w:t>Cerambyx cerdo</w:t>
            </w:r>
            <w:r w:rsidR="00A15CD8" w:rsidRPr="00A15CD8">
              <w:rPr>
                <w:bCs/>
              </w:rPr>
              <w:t>), roháč obyčajný (</w:t>
            </w:r>
            <w:r w:rsidR="00A15CD8" w:rsidRPr="00A15CD8">
              <w:rPr>
                <w:bCs/>
                <w:i/>
              </w:rPr>
              <w:t>Lucanus cervus</w:t>
            </w:r>
            <w:r w:rsidR="00A15CD8" w:rsidRPr="00A15CD8">
              <w:rPr>
                <w:bCs/>
              </w:rPr>
              <w:t>) a biotopy druhov národného významu: alkana farbiarska (</w:t>
            </w:r>
            <w:r w:rsidR="00A15CD8" w:rsidRPr="00A15CD8">
              <w:rPr>
                <w:bCs/>
                <w:i/>
              </w:rPr>
              <w:t>Alkanna tinctoria</w:t>
            </w:r>
            <w:r w:rsidR="00A15CD8" w:rsidRPr="00A15CD8">
              <w:rPr>
                <w:bCs/>
              </w:rPr>
              <w:t>), chvojník dvojklasý (</w:t>
            </w:r>
            <w:r w:rsidR="00A15CD8" w:rsidRPr="00A15CD8">
              <w:rPr>
                <w:bCs/>
                <w:i/>
              </w:rPr>
              <w:t>Ephedra distachya</w:t>
            </w:r>
            <w:r w:rsidR="00A15CD8" w:rsidRPr="00A15CD8">
              <w:rPr>
                <w:bCs/>
              </w:rPr>
              <w:t>), kurička sivastá (</w:t>
            </w:r>
            <w:r w:rsidR="00A15CD8" w:rsidRPr="00A15CD8">
              <w:rPr>
                <w:bCs/>
                <w:i/>
              </w:rPr>
              <w:t>Minuartia glaucina</w:t>
            </w:r>
            <w:r w:rsidR="00A15CD8" w:rsidRPr="00A15CD8">
              <w:rPr>
                <w:bCs/>
              </w:rPr>
              <w:t>), stavikrv piesočnatý (</w:t>
            </w:r>
            <w:r w:rsidR="00A15CD8" w:rsidRPr="00A15CD8">
              <w:rPr>
                <w:bCs/>
                <w:i/>
              </w:rPr>
              <w:t>Polygonum arenarium</w:t>
            </w:r>
            <w:r w:rsidR="00A15CD8" w:rsidRPr="00A15CD8">
              <w:rPr>
                <w:bCs/>
              </w:rPr>
              <w:t>), silenka dneperská (</w:t>
            </w:r>
            <w:r w:rsidR="00A15CD8" w:rsidRPr="00A15CD8">
              <w:rPr>
                <w:bCs/>
                <w:i/>
              </w:rPr>
              <w:t>Silene borysthenica</w:t>
            </w:r>
            <w:r w:rsidR="00A15CD8" w:rsidRPr="00A15CD8">
              <w:rPr>
                <w:bCs/>
              </w:rPr>
              <w:t>), kavyľ piesočný (</w:t>
            </w:r>
            <w:r w:rsidR="00A15CD8" w:rsidRPr="00A15CD8">
              <w:rPr>
                <w:bCs/>
                <w:i/>
              </w:rPr>
              <w:t>Stipa borysthenica</w:t>
            </w:r>
            <w:r w:rsidR="00A15CD8" w:rsidRPr="00A15CD8">
              <w:rPr>
                <w:bCs/>
              </w:rPr>
              <w:t xml:space="preserve">). </w:t>
            </w:r>
          </w:p>
          <w:p w:rsidR="001B5EEC" w:rsidRDefault="001F7966" w:rsidP="001B5EEC">
            <w:pPr>
              <w:jc w:val="both"/>
            </w:pPr>
            <w:r>
              <w:t xml:space="preserve">Za prioritné biotopy európskeho významu sa označujú biotopy, ktoré sú na území Európskej únie ohrozené vymiznutím a za ochranu ktorých má Európska únia osobitnú zodpovednosť. Vyhlásením </w:t>
            </w:r>
            <w:r w:rsidR="00E42493">
              <w:t>CHA</w:t>
            </w:r>
            <w:r>
              <w:t xml:space="preserve"> </w:t>
            </w:r>
            <w:r w:rsidR="00A15CD8">
              <w:t>Čenkov</w:t>
            </w:r>
            <w:r>
              <w:t xml:space="preserve"> budú nepriamo pozitívne ovplyvnené aj ďalšie zložky životného prostredi</w:t>
            </w:r>
            <w:r w:rsidR="00D04CEC">
              <w:t xml:space="preserve">a napr. pôda, voda a ovzdušie najmä na lokálnej úrovni. 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F7966" w:rsidP="0014539E">
                  <w:pPr>
                    <w:jc w:val="both"/>
                  </w:pPr>
                  <w:r>
                    <w:t xml:space="preserve">CHA </w:t>
                  </w:r>
                  <w:r w:rsidR="0014539E">
                    <w:t>Čenkov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1B5EEC" w:rsidRPr="00911663" w:rsidRDefault="001B5EEC" w:rsidP="001B5EEC">
            <w:pPr>
              <w:jc w:val="both"/>
            </w:pPr>
            <w:r w:rsidRPr="00911663">
              <w:t xml:space="preserve">Predpokladá sa významné zlepšenie stavu organizmov - rastlín, živočíchov, biotopov, najmä </w:t>
            </w:r>
            <w:r w:rsidR="005D2D1A">
              <w:t xml:space="preserve">však </w:t>
            </w:r>
            <w:r w:rsidR="001F7966">
              <w:t>predmet</w:t>
            </w:r>
            <w:r w:rsidR="005C4C74">
              <w:t>u</w:t>
            </w:r>
            <w:r w:rsidR="001F7966">
              <w:t xml:space="preserve"> ochrany CHA </w:t>
            </w:r>
            <w:r w:rsidR="0014539E">
              <w:t>Čenkov</w:t>
            </w:r>
            <w:r w:rsidR="001F7966">
              <w:t xml:space="preserve">. </w:t>
            </w:r>
            <w:r w:rsidRPr="00911663">
              <w:t>Zachova</w:t>
            </w:r>
            <w:r w:rsidR="00A21FB9">
              <w:t>nie</w:t>
            </w:r>
            <w:r w:rsidRPr="00911663">
              <w:t xml:space="preserve"> </w:t>
            </w:r>
            <w:r w:rsidR="0014539E">
              <w:t>alebo zlepšenie</w:t>
            </w:r>
            <w:r w:rsidRPr="00911663">
              <w:t xml:space="preserve"> stav</w:t>
            </w:r>
            <w:r w:rsidR="00A21FB9">
              <w:t>u</w:t>
            </w:r>
            <w:r w:rsidRPr="00911663">
              <w:t xml:space="preserve"> </w:t>
            </w:r>
            <w:r w:rsidR="005C4C74">
              <w:t xml:space="preserve">predmetu ochrany </w:t>
            </w:r>
            <w:r w:rsidRPr="00911663">
              <w:t xml:space="preserve">je hlavným cieľom predkladaného materiálu. </w:t>
            </w:r>
            <w:r w:rsidR="007D084C">
              <w:t>Hoci sú opatrenia prioritne zamerané na ochranu</w:t>
            </w:r>
            <w:r w:rsidR="001F7966">
              <w:t xml:space="preserve"> </w:t>
            </w:r>
            <w:r w:rsidR="0014539E">
              <w:t>predmetu</w:t>
            </w:r>
            <w:r w:rsidR="001F7966">
              <w:t xml:space="preserve"> ochrany územia</w:t>
            </w:r>
            <w:r w:rsidR="007D084C">
              <w:t>, 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1F7966">
              <w:t xml:space="preserve">sa v území vyskytujú. </w:t>
            </w:r>
          </w:p>
          <w:p w:rsidR="001B5EEC" w:rsidRPr="00911663" w:rsidRDefault="001B5EEC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5A0DF2">
                  <w:pPr>
                    <w:jc w:val="both"/>
                  </w:pPr>
                  <w:r>
                    <w:t xml:space="preserve">CHA </w:t>
                  </w:r>
                  <w:r w:rsidR="00E9748E">
                    <w:t>Čenkov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 xml:space="preserve"> Cieľom predkladané</w:t>
            </w:r>
            <w:r w:rsidR="00E9748E">
              <w:t>ho materiálu nie je ochrana vôd. Z</w:t>
            </w:r>
            <w:r>
              <w:t>lepšen</w:t>
            </w:r>
            <w:r w:rsidR="00EC3C36">
              <w:t>i</w:t>
            </w:r>
            <w:r w:rsidR="00E9748E">
              <w:t>e stavu predmetu</w:t>
            </w:r>
            <w:r>
              <w:t xml:space="preserve"> ochrany územia priaznivo ovplyvní </w:t>
            </w:r>
            <w:r w:rsidR="00122E3C">
              <w:t xml:space="preserve">všetky zložky okolitého ekosystému. </w:t>
            </w:r>
          </w:p>
          <w:p w:rsidR="000C5587" w:rsidRPr="00911663" w:rsidRDefault="000C5587" w:rsidP="001B5EEC">
            <w:pPr>
              <w:jc w:val="both"/>
            </w:pPr>
          </w:p>
          <w:p w:rsidR="00B267E1" w:rsidRPr="00B267E1" w:rsidRDefault="001B5EEC" w:rsidP="00B267E1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</w:t>
            </w:r>
            <w:r w:rsidR="00B267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E9748E">
                  <w:pPr>
                    <w:jc w:val="both"/>
                  </w:pPr>
                  <w:r>
                    <w:t xml:space="preserve">CHA </w:t>
                  </w:r>
                  <w:r w:rsidR="00E9748E">
                    <w:t>Čenkov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AC37D6" w:rsidRDefault="00EC3C36" w:rsidP="000564F2">
            <w:pPr>
              <w:jc w:val="both"/>
            </w:pPr>
            <w:r>
              <w:t>Predkladaný materiál sa nezaoberá probl</w:t>
            </w:r>
            <w:r w:rsidR="00E9748E">
              <w:t xml:space="preserve">ematikou ochrany hornín a pôdy. Zlepšenie stavu predmetu ohrany priaznivo ovplyvní všetky zložky okolitého ekosystému. </w:t>
            </w: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F330AF" w:rsidP="009F17B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yp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9F17BF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9F17BF" w:rsidP="00B267E1">
                  <w:pPr>
                    <w:jc w:val="both"/>
                  </w:pPr>
                  <w:r>
                    <w:t xml:space="preserve">CHA </w:t>
                  </w:r>
                  <w:r w:rsidR="00E9748E">
                    <w:t>Čenkov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D20709" w:rsidRPr="00F330AF">
                    <w:rPr>
                      <w:i/>
                    </w:rPr>
                    <w:t>elkové hodnotenie environmen</w:t>
                  </w:r>
                  <w:r w:rsidR="00830034"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E9748E" w:rsidRDefault="00E9748E" w:rsidP="00E9748E">
            <w:pPr>
              <w:jc w:val="both"/>
            </w:pPr>
          </w:p>
          <w:p w:rsidR="00E9748E" w:rsidRDefault="00E9748E" w:rsidP="00E9748E">
            <w:pPr>
              <w:jc w:val="both"/>
            </w:pPr>
            <w:r>
              <w:t xml:space="preserve">Predkladaný materiál sa nezaoberá problematikou ochrany hornín a pôdy. Zlepšenie stavu predmetu ohrany priaznivo ovplyvní všetky zložky okolitého ekosystému. 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F330AF" w:rsidRDefault="001B5EEC" w:rsidP="00E06E04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</w:t>
            </w:r>
            <w:r w:rsidR="00EF743B">
              <w:rPr>
                <w:i/>
              </w:rPr>
              <w:t xml:space="preserve"> </w:t>
            </w:r>
            <w:r w:rsidRPr="00911663">
              <w:rPr>
                <w:i/>
              </w:rPr>
              <w:t>rozsah vplyvu</w:t>
            </w:r>
          </w:p>
          <w:p w:rsidR="009F17BF" w:rsidRDefault="009F17BF" w:rsidP="00E06E04">
            <w:pPr>
              <w:jc w:val="both"/>
              <w:rPr>
                <w:i/>
              </w:rPr>
            </w:pPr>
          </w:p>
          <w:p w:rsidR="009F17BF" w:rsidRPr="009F17BF" w:rsidRDefault="009F17BF" w:rsidP="00E06E04">
            <w:pPr>
              <w:jc w:val="both"/>
            </w:pPr>
            <w:r w:rsidRPr="002F5259">
              <w:t xml:space="preserve">Materiál bude mať pozitívny vplyv na chránené územia. </w:t>
            </w:r>
            <w:r w:rsidR="00C35DD5" w:rsidRPr="00911663">
              <w:t xml:space="preserve">Predpokladá sa významné zlepšenie stavu </w:t>
            </w:r>
            <w:r w:rsidR="00E9748E">
              <w:t>predmetu</w:t>
            </w:r>
            <w:r w:rsidR="00B267E1">
              <w:t xml:space="preserve"> ochrany, ale aj ďalších </w:t>
            </w:r>
            <w:r w:rsidR="00C35DD5" w:rsidRPr="00911663">
              <w:t>organizmov - rastlín, živočíchov, biotopov</w:t>
            </w:r>
            <w:r w:rsidR="00B267E1">
              <w:t xml:space="preserve"> vyskytujúcich sa v území. </w:t>
            </w:r>
            <w:r w:rsidR="00C35DD5">
              <w:t xml:space="preserve">Chránené územia tvoria základ územného systému ekologickej stability a predstavujú nosné plochy na ochranu biodiverzity resp. ekosystémov. </w:t>
            </w:r>
            <w:r w:rsidRPr="00FF4C87">
              <w:t>Vyhl</w:t>
            </w:r>
            <w:r>
              <w:t xml:space="preserve">ásením </w:t>
            </w:r>
            <w:r w:rsidR="00E61F43">
              <w:t>CHA</w:t>
            </w:r>
            <w:r>
              <w:t xml:space="preserve"> </w:t>
            </w:r>
            <w:r w:rsidR="00E9748E">
              <w:t>Čenkov</w:t>
            </w:r>
            <w:r>
              <w:t xml:space="preserve"> sa vytvára predpoklad pre zlepšenie a následné zachovanie lokálnej biodiverzity a spolu s ďalšími územiami navrhnutými do </w:t>
            </w:r>
            <w:r w:rsidR="00E9748E">
              <w:t xml:space="preserve">európskej sústavy chránených území </w:t>
            </w:r>
            <w:r>
              <w:t>Natura 2000 vytvára podmienky pre naplnenie jej hlavného cieľa, ktorým je zachovanie prírodného dedičst</w:t>
            </w:r>
            <w:r w:rsidR="005939E4">
              <w:t>va, významného nielen pre územie</w:t>
            </w:r>
            <w:r>
              <w:t xml:space="preserve"> Slovenska, ale pre Európsku úniu ako celok.</w:t>
            </w:r>
            <w:r w:rsidR="00C35DD5">
              <w:t xml:space="preserve"> 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E9748E">
                  <w:pPr>
                    <w:jc w:val="both"/>
                  </w:pPr>
                  <w:r>
                    <w:t xml:space="preserve">CHA </w:t>
                  </w:r>
                  <w:r w:rsidR="00E9748E">
                    <w:t>Čenkov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1B5EEC" w:rsidRPr="003529C8" w:rsidRDefault="001B5EEC" w:rsidP="001B5EEC">
            <w:pPr>
              <w:jc w:val="both"/>
              <w:rPr>
                <w:i/>
                <w:szCs w:val="24"/>
              </w:rPr>
            </w:pPr>
            <w:r w:rsidRPr="003529C8">
              <w:rPr>
                <w:i/>
                <w:szCs w:val="24"/>
              </w:rPr>
              <w:t>Typ, veľkosť a</w:t>
            </w:r>
            <w:r w:rsidR="000649EE" w:rsidRPr="003529C8">
              <w:rPr>
                <w:i/>
                <w:szCs w:val="24"/>
              </w:rPr>
              <w:t xml:space="preserve"> </w:t>
            </w:r>
            <w:r w:rsidRPr="003529C8">
              <w:rPr>
                <w:i/>
                <w:szCs w:val="24"/>
              </w:rPr>
              <w:t>rozsah vplyvu</w:t>
            </w:r>
          </w:p>
          <w:p w:rsidR="00DB2F1B" w:rsidRPr="00D25992" w:rsidRDefault="00C35DD5" w:rsidP="00E9748E">
            <w:pPr>
              <w:jc w:val="both"/>
              <w:rPr>
                <w:b/>
                <w:sz w:val="24"/>
                <w:szCs w:val="24"/>
              </w:rPr>
            </w:pPr>
            <w:r>
              <w:t xml:space="preserve">CHA </w:t>
            </w:r>
            <w:r w:rsidR="00E9748E">
              <w:t>Čenkov</w:t>
            </w:r>
            <w:r>
              <w:t xml:space="preserve"> je zároveň územím európskeho významu </w:t>
            </w:r>
            <w:r w:rsidR="00DB6582">
              <w:t xml:space="preserve">a </w:t>
            </w:r>
            <w:r>
              <w:t xml:space="preserve">spolu s ďalšími územiami sústavy Natura 2000 prispieva k zachovaniu prírodného dedičstva </w:t>
            </w:r>
            <w:r w:rsidR="001D1131">
              <w:t xml:space="preserve">členských krajín </w:t>
            </w:r>
            <w:r>
              <w:t xml:space="preserve">EÚ. </w:t>
            </w:r>
            <w:r w:rsidR="001D1131">
              <w:t xml:space="preserve">Vyhlásenie CHA </w:t>
            </w:r>
            <w:r w:rsidR="00E9748E">
              <w:t>Čenkov</w:t>
            </w:r>
            <w:r w:rsidR="001D1131">
              <w:t xml:space="preserve"> tiež prispeje k vytváraniu rozsiahlej </w:t>
            </w:r>
            <w:r w:rsidR="0001629A">
              <w:t>sústavy</w:t>
            </w:r>
            <w:r w:rsidR="001D1131">
              <w:t xml:space="preserve"> chránených území, ktorá v človekom narušenej krajine zabezpečuje relatívnu konektivitu území pre migrujúce druhy živočíchov. 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7E" w:rsidRDefault="00C31B7E" w:rsidP="00374EDB">
      <w:r>
        <w:separator/>
      </w:r>
    </w:p>
  </w:endnote>
  <w:endnote w:type="continuationSeparator" w:id="0">
    <w:p w:rsidR="00C31B7E" w:rsidRDefault="00C31B7E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51">
          <w:rPr>
            <w:noProof/>
          </w:rPr>
          <w:t>2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7E" w:rsidRDefault="00C31B7E" w:rsidP="00374EDB">
      <w:r>
        <w:separator/>
      </w:r>
    </w:p>
  </w:footnote>
  <w:footnote w:type="continuationSeparator" w:id="0">
    <w:p w:rsidR="00C31B7E" w:rsidRDefault="00C31B7E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1629A"/>
    <w:rsid w:val="00040995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4539E"/>
    <w:rsid w:val="001466BF"/>
    <w:rsid w:val="001734DC"/>
    <w:rsid w:val="001A6857"/>
    <w:rsid w:val="001B5EEC"/>
    <w:rsid w:val="001D1131"/>
    <w:rsid w:val="001F7966"/>
    <w:rsid w:val="0022267E"/>
    <w:rsid w:val="00237FEC"/>
    <w:rsid w:val="00246AC0"/>
    <w:rsid w:val="0024763C"/>
    <w:rsid w:val="00272EC3"/>
    <w:rsid w:val="0028795C"/>
    <w:rsid w:val="002C1D45"/>
    <w:rsid w:val="002C26F5"/>
    <w:rsid w:val="002D6FD9"/>
    <w:rsid w:val="002E32C0"/>
    <w:rsid w:val="00306101"/>
    <w:rsid w:val="0032226A"/>
    <w:rsid w:val="00322518"/>
    <w:rsid w:val="003244E9"/>
    <w:rsid w:val="00337A38"/>
    <w:rsid w:val="003529C8"/>
    <w:rsid w:val="00363282"/>
    <w:rsid w:val="00374EDB"/>
    <w:rsid w:val="00390E8B"/>
    <w:rsid w:val="003B5D81"/>
    <w:rsid w:val="003C230E"/>
    <w:rsid w:val="004011D0"/>
    <w:rsid w:val="00402E53"/>
    <w:rsid w:val="00413E9A"/>
    <w:rsid w:val="00437D0E"/>
    <w:rsid w:val="00457976"/>
    <w:rsid w:val="00491D7D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82A57"/>
    <w:rsid w:val="005842DA"/>
    <w:rsid w:val="005939E4"/>
    <w:rsid w:val="005A0DF2"/>
    <w:rsid w:val="005A1401"/>
    <w:rsid w:val="005C4C74"/>
    <w:rsid w:val="005D2D1A"/>
    <w:rsid w:val="005E30D0"/>
    <w:rsid w:val="005E503B"/>
    <w:rsid w:val="0060322F"/>
    <w:rsid w:val="00603BB0"/>
    <w:rsid w:val="00660868"/>
    <w:rsid w:val="00671FEC"/>
    <w:rsid w:val="00673011"/>
    <w:rsid w:val="00676651"/>
    <w:rsid w:val="0068737F"/>
    <w:rsid w:val="00690EB6"/>
    <w:rsid w:val="006B0C15"/>
    <w:rsid w:val="0070044C"/>
    <w:rsid w:val="00702CAB"/>
    <w:rsid w:val="007179ED"/>
    <w:rsid w:val="0075319E"/>
    <w:rsid w:val="007604EE"/>
    <w:rsid w:val="007812C4"/>
    <w:rsid w:val="007A3CF1"/>
    <w:rsid w:val="007B0439"/>
    <w:rsid w:val="007D084C"/>
    <w:rsid w:val="007E367D"/>
    <w:rsid w:val="007E6EBB"/>
    <w:rsid w:val="007F3674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903D22"/>
    <w:rsid w:val="0090462E"/>
    <w:rsid w:val="00914FB7"/>
    <w:rsid w:val="009333AF"/>
    <w:rsid w:val="0095007B"/>
    <w:rsid w:val="009F03AB"/>
    <w:rsid w:val="009F17BF"/>
    <w:rsid w:val="00A02E49"/>
    <w:rsid w:val="00A15CD8"/>
    <w:rsid w:val="00A21FB9"/>
    <w:rsid w:val="00A316DA"/>
    <w:rsid w:val="00A462C6"/>
    <w:rsid w:val="00A53E7A"/>
    <w:rsid w:val="00A63042"/>
    <w:rsid w:val="00A86166"/>
    <w:rsid w:val="00A96EDF"/>
    <w:rsid w:val="00AB3B88"/>
    <w:rsid w:val="00AC1350"/>
    <w:rsid w:val="00AC37D6"/>
    <w:rsid w:val="00AD297E"/>
    <w:rsid w:val="00AF3AB6"/>
    <w:rsid w:val="00AF3C7A"/>
    <w:rsid w:val="00B267E1"/>
    <w:rsid w:val="00B45CE7"/>
    <w:rsid w:val="00B46AD8"/>
    <w:rsid w:val="00BC1508"/>
    <w:rsid w:val="00C01B19"/>
    <w:rsid w:val="00C05EFA"/>
    <w:rsid w:val="00C10D28"/>
    <w:rsid w:val="00C31B7E"/>
    <w:rsid w:val="00C35DD5"/>
    <w:rsid w:val="00C5658D"/>
    <w:rsid w:val="00C97DC8"/>
    <w:rsid w:val="00CB1021"/>
    <w:rsid w:val="00CB3623"/>
    <w:rsid w:val="00CC0508"/>
    <w:rsid w:val="00CC330C"/>
    <w:rsid w:val="00CC6BFA"/>
    <w:rsid w:val="00CD0F30"/>
    <w:rsid w:val="00D016CB"/>
    <w:rsid w:val="00D04CEC"/>
    <w:rsid w:val="00D20709"/>
    <w:rsid w:val="00D22815"/>
    <w:rsid w:val="00D25992"/>
    <w:rsid w:val="00D312CF"/>
    <w:rsid w:val="00D37E8F"/>
    <w:rsid w:val="00DA6980"/>
    <w:rsid w:val="00DB2F1B"/>
    <w:rsid w:val="00DB6582"/>
    <w:rsid w:val="00DD0028"/>
    <w:rsid w:val="00DD15AF"/>
    <w:rsid w:val="00E06E04"/>
    <w:rsid w:val="00E239E3"/>
    <w:rsid w:val="00E42493"/>
    <w:rsid w:val="00E43C25"/>
    <w:rsid w:val="00E61F43"/>
    <w:rsid w:val="00E9748E"/>
    <w:rsid w:val="00EA0219"/>
    <w:rsid w:val="00EA6C7B"/>
    <w:rsid w:val="00EC3C36"/>
    <w:rsid w:val="00EF743B"/>
    <w:rsid w:val="00F330AF"/>
    <w:rsid w:val="00F65BF4"/>
    <w:rsid w:val="00F85ABB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analyza-vplyvov-na-zivotne-prostredie_Mostová"/>
    <f:field ref="objsubject" par="" edit="true" text=""/>
    <f:field ref="objcreatedby" par="" text="Lojková, Silvia, JUDr."/>
    <f:field ref="objcreatedat" par="" text="10.4.2019 11:32:26"/>
    <f:field ref="objchangedby" par="" text="Administrator, System"/>
    <f:field ref="objmodifiedat" par="" text="10.4.2019 11:32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0295F215-A313-4161-B31C-A18AC2FA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2020-01-13T14:35:00Z</cp:lastPrinted>
  <dcterms:created xsi:type="dcterms:W3CDTF">2020-02-04T16:17:00Z</dcterms:created>
  <dcterms:modified xsi:type="dcterms:W3CDTF">2020-02-04T16:17:00Z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COOSYSTEM@1.1:Container">
    <vt:lpwstr>COO.2145.1000.3.3298587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10. 4. 2019</vt:lpwstr>
  </property>
</Properties>
</file>