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A64D2D" w:rsidRDefault="008B25A6" w:rsidP="007C4F86">
      <w:pPr>
        <w:widowControl/>
        <w:spacing w:line="276" w:lineRule="auto"/>
        <w:jc w:val="center"/>
        <w:rPr>
          <w:b/>
          <w:caps/>
          <w:color w:val="000000"/>
          <w:spacing w:val="30"/>
        </w:rPr>
      </w:pPr>
      <w:r w:rsidRPr="00A64D2D">
        <w:rPr>
          <w:b/>
          <w:caps/>
          <w:color w:val="000000"/>
          <w:spacing w:val="30"/>
        </w:rPr>
        <w:t>Dôvodová správa</w:t>
      </w:r>
    </w:p>
    <w:p w:rsidR="008B25A6" w:rsidRPr="00A64D2D" w:rsidRDefault="008B25A6" w:rsidP="007C4F86">
      <w:pPr>
        <w:widowControl/>
        <w:spacing w:line="276" w:lineRule="auto"/>
        <w:jc w:val="both"/>
        <w:rPr>
          <w:color w:val="000000"/>
        </w:rPr>
      </w:pPr>
    </w:p>
    <w:p w:rsidR="008B25A6" w:rsidRPr="00A64D2D" w:rsidRDefault="008B25A6" w:rsidP="007C4F86">
      <w:pPr>
        <w:widowControl/>
        <w:spacing w:line="276" w:lineRule="auto"/>
        <w:jc w:val="both"/>
        <w:rPr>
          <w:color w:val="000000"/>
        </w:rPr>
      </w:pPr>
    </w:p>
    <w:p w:rsidR="008B25A6" w:rsidRPr="00A64D2D" w:rsidRDefault="008B25A6" w:rsidP="007C4F86">
      <w:pPr>
        <w:widowControl/>
        <w:spacing w:line="276" w:lineRule="auto"/>
        <w:jc w:val="both"/>
        <w:rPr>
          <w:b/>
          <w:color w:val="000000"/>
        </w:rPr>
      </w:pPr>
      <w:r w:rsidRPr="00A64D2D">
        <w:rPr>
          <w:b/>
          <w:color w:val="000000"/>
        </w:rPr>
        <w:t>A. Všeobecná časť</w:t>
      </w:r>
    </w:p>
    <w:p w:rsidR="00811F1E" w:rsidRDefault="00A25BEC" w:rsidP="007C4F86">
      <w:pPr>
        <w:widowControl/>
        <w:spacing w:before="120" w:after="240" w:line="276" w:lineRule="auto"/>
        <w:jc w:val="both"/>
        <w:rPr>
          <w:rStyle w:val="Textzstupnhosymbolu"/>
          <w:color w:val="000000"/>
        </w:rPr>
      </w:pPr>
      <w:r w:rsidRPr="00A25BEC">
        <w:rPr>
          <w:rStyle w:val="Textzstupnhosymbolu"/>
          <w:color w:val="000000"/>
        </w:rPr>
        <w:t xml:space="preserve">Dôvodom predloženia návrhu nariadenia vlády Slovenskej republiky, ktorým sa vyhlasuje chránený areál </w:t>
      </w:r>
      <w:r w:rsidR="007860DC">
        <w:rPr>
          <w:rStyle w:val="Textzstupnhosymbolu"/>
          <w:color w:val="000000"/>
        </w:rPr>
        <w:t>Čenkov</w:t>
      </w:r>
      <w:r w:rsidRPr="00A25BEC">
        <w:rPr>
          <w:rStyle w:val="Textzstupnhosymbolu"/>
          <w:color w:val="000000"/>
        </w:rPr>
        <w:t xml:space="preserve"> (ďalej len „návrh nariadenia vlády“), je splnenie požiadavky vyplývajúcej z článku 4 ods. 4 smernice Rady 92/43/EHS z 21. mája 1992 o ochrane prirodzených biotopov a voľne žijúcich živočíchov a rastlín v platnom znení (ďalej len „smernica o biotopoch“), podľa ktorého členské štáty určia lokality uvedené v zozname lokalít európskeho významu ako osobitné chránené územia a stanovia priority v oblasti ochrany a potrebné opatrenia, najneskôr do šiestich rokov. Na základe uvedeného ustanovenia vypracovala Štátna ochrana prírody Slovenskej republiky (ŠOP SR) návrh na vyhlásenie chráneného areálu </w:t>
      </w:r>
      <w:r w:rsidR="007860DC">
        <w:rPr>
          <w:rStyle w:val="Textzstupnhosymbolu"/>
          <w:color w:val="000000"/>
        </w:rPr>
        <w:t>Čenkov</w:t>
      </w:r>
      <w:r w:rsidRPr="00A25BEC">
        <w:rPr>
          <w:rStyle w:val="Textzstupnhosymbolu"/>
          <w:color w:val="000000"/>
        </w:rPr>
        <w:t xml:space="preserve"> (ďalej len „</w:t>
      </w:r>
      <w:r w:rsidR="0074501C">
        <w:rPr>
          <w:rStyle w:val="Textzstupnhosymbolu"/>
          <w:color w:val="000000"/>
        </w:rPr>
        <w:t xml:space="preserve">CHA </w:t>
      </w:r>
      <w:r w:rsidR="007860DC">
        <w:rPr>
          <w:rStyle w:val="Textzstupnhosymbolu"/>
          <w:color w:val="000000"/>
        </w:rPr>
        <w:t>Čenkov</w:t>
      </w:r>
      <w:r w:rsidRPr="00A25BEC">
        <w:rPr>
          <w:rStyle w:val="Textzstupnhosymbolu"/>
          <w:color w:val="000000"/>
        </w:rPr>
        <w:t>“), ktorý má zabezpečiť primeranú ochranu územiu, ako súčasť európskej sústavy chránených území Natura 2000. Ďalším dôvodom predloženia návrhu nariadenia vlády je aj formálna výzva Európskej komisie k porušeniu č. 2019/2141, ktorá sa týka nedostatočného vyhlasovania lokalít európskeho významu a schvaľovania programov starostlivosti.</w:t>
      </w:r>
      <w:r w:rsidR="00C65B7A">
        <w:rPr>
          <w:rStyle w:val="Textzstupnhosymbolu"/>
          <w:color w:val="000000"/>
        </w:rPr>
        <w:t xml:space="preserve"> </w:t>
      </w:r>
    </w:p>
    <w:p w:rsidR="007860DC" w:rsidRDefault="000B1D12" w:rsidP="007C4F86">
      <w:pPr>
        <w:widowControl/>
        <w:spacing w:before="120" w:after="240" w:line="276" w:lineRule="auto"/>
        <w:jc w:val="both"/>
        <w:rPr>
          <w:color w:val="000000"/>
        </w:rPr>
      </w:pPr>
      <w:r>
        <w:rPr>
          <w:color w:val="000000"/>
        </w:rPr>
        <w:t xml:space="preserve">Navrhovaný CHA </w:t>
      </w:r>
      <w:r w:rsidR="007860DC">
        <w:rPr>
          <w:color w:val="000000"/>
        </w:rPr>
        <w:t xml:space="preserve">Čenkov je tvorený dvomi územiami európskeho významu SKUEV0067 Čenkov a SKUEV2067 Čenkov. </w:t>
      </w:r>
      <w:r w:rsidR="00756238">
        <w:rPr>
          <w:color w:val="000000"/>
        </w:rPr>
        <w:t xml:space="preserve">Podľa § 27 ods. 1 písm. b) </w:t>
      </w:r>
      <w:r w:rsidR="00A25BEC" w:rsidRPr="00A25BEC">
        <w:rPr>
          <w:color w:val="000000"/>
        </w:rPr>
        <w:t>zákona č. 543/2002 Z. z. o ochrane prírody a krajiny v znení neskorších predpisov (ďalej len „zákon“)</w:t>
      </w:r>
      <w:r w:rsidR="00A25BEC">
        <w:rPr>
          <w:color w:val="000000"/>
        </w:rPr>
        <w:t xml:space="preserve"> </w:t>
      </w:r>
      <w:r w:rsidR="00756238">
        <w:rPr>
          <w:color w:val="000000"/>
        </w:rPr>
        <w:t xml:space="preserve">sa </w:t>
      </w:r>
      <w:r>
        <w:rPr>
          <w:color w:val="000000"/>
        </w:rPr>
        <w:t xml:space="preserve">územím európskeho významu </w:t>
      </w:r>
      <w:r w:rsidR="00756238">
        <w:rPr>
          <w:color w:val="000000"/>
        </w:rPr>
        <w:t>rozumie územie v Slovenskej republike tvorené jednou alebo viacerými lokalitami, ktoré sú zaradené v národnom zozname týchto lokalít obstaraným Ministerstvom životného prostredia Slovenskej republiky a prerokovaným s Ministerstvom pôdohospodárstva a rozvoja vidieka Slovenskej republiky.</w:t>
      </w:r>
      <w:bookmarkStart w:id="0" w:name="_Hlk728330"/>
      <w:r w:rsidR="00077CA1">
        <w:rPr>
          <w:color w:val="000000"/>
        </w:rPr>
        <w:t xml:space="preserve"> </w:t>
      </w:r>
      <w:r w:rsidR="007860DC">
        <w:rPr>
          <w:color w:val="000000"/>
        </w:rPr>
        <w:t xml:space="preserve">Prvým územím je SKUEV0067 Čenkov, ktoré </w:t>
      </w:r>
      <w:r>
        <w:rPr>
          <w:color w:val="000000"/>
        </w:rPr>
        <w:t>bolo zaradené do v</w:t>
      </w:r>
      <w:r w:rsidR="00E81743">
        <w:rPr>
          <w:color w:val="000000"/>
        </w:rPr>
        <w:t>ýnos</w:t>
      </w:r>
      <w:r>
        <w:rPr>
          <w:color w:val="000000"/>
        </w:rPr>
        <w:t>u</w:t>
      </w:r>
      <w:r w:rsidR="00E81743">
        <w:rPr>
          <w:color w:val="000000"/>
        </w:rPr>
        <w:t xml:space="preserve"> Ministerstva životného prostredia Slovenskej republiky č. 3/2004-5.1 zo 14. júla 2004, ktorým sa vydáva národný zoznam území európskeho významu (ďalej len „výnos MŽP SR č. 3/2004-5.1“ ) </w:t>
      </w:r>
      <w:r w:rsidRPr="005F7029">
        <w:t>a  do rozhodnutia Komisie 2008/26/ES z 13. novembra 2007, ktorým sa podľa smernice Rady 92/43/EHS prijíma zoznam lokalít európskeho významu v Panónskej biogeografickej oblasti (ďalej len „rozhodnutie Komisie 2008/26/ES“). Rozhodnutie Komisie 2008/26/ES bolo ďalej aktualizované novšími rozhodnutiami a aktuálne je účinné vykonávacie rozhodnutie Komisie (EÚ) 2019/16 zo 14. decembra 2018, ktorým sa prijíma desiata aktualizácia zoznamu lokalít s európskym významom v panónskom biogeografickom regióne</w:t>
      </w:r>
      <w:r w:rsidR="007860DC">
        <w:t xml:space="preserve"> (ďalej len „rozhodnutie Komisie (EÚ) 2019/16“).</w:t>
      </w:r>
      <w:bookmarkEnd w:id="0"/>
      <w:r w:rsidR="00756238">
        <w:rPr>
          <w:color w:val="000000"/>
        </w:rPr>
        <w:t xml:space="preserve"> </w:t>
      </w:r>
      <w:r w:rsidR="00154126">
        <w:rPr>
          <w:color w:val="000000"/>
        </w:rPr>
        <w:t>Názov územia bol štandardizovaný</w:t>
      </w:r>
      <w:r w:rsidR="00154126" w:rsidRPr="00154126">
        <w:rPr>
          <w:color w:val="000000"/>
        </w:rPr>
        <w:t xml:space="preserve"> rozhodnutím Úradu geodézie, kartografie a katastra Slovenskej republiky č. P-101/2009 z 12.1.2009.</w:t>
      </w:r>
    </w:p>
    <w:p w:rsidR="00E81743" w:rsidRDefault="007860DC" w:rsidP="007C4F86">
      <w:pPr>
        <w:widowControl/>
        <w:spacing w:before="120" w:after="240" w:line="276" w:lineRule="auto"/>
        <w:jc w:val="both"/>
        <w:rPr>
          <w:color w:val="000000"/>
        </w:rPr>
      </w:pPr>
      <w:r>
        <w:rPr>
          <w:color w:val="000000"/>
        </w:rPr>
        <w:t xml:space="preserve">Druhým územím je </w:t>
      </w:r>
      <w:r w:rsidRPr="007860DC">
        <w:rPr>
          <w:color w:val="000000"/>
        </w:rPr>
        <w:t xml:space="preserve">SKUEV2067 Čenkov, ktoré je súčasťou opatrenia Ministerstva životného prostredia Slovenskej republiky zo 7. decembra 2017 č. 1/2017, ktorým sa mení a dopĺňa výnos Ministerstva životného prostredia Slovenskej republiky zo 14. júla 2004 č. 3/2004-5.1, ktorým sa vydáva národný zoznam území európskeho významu (ďalej len „opatrenie MŽP SR č. 1/2017“) ako aj vykonávacieho rozhodnutia Komisie (EÚ) 2019/16. </w:t>
      </w:r>
    </w:p>
    <w:p w:rsidR="009A16FB" w:rsidRDefault="009A16FB" w:rsidP="007C4F86">
      <w:pPr>
        <w:spacing w:line="276" w:lineRule="auto"/>
        <w:jc w:val="both"/>
        <w:rPr>
          <w:bCs/>
        </w:rPr>
      </w:pPr>
      <w:r w:rsidRPr="00942E80">
        <w:rPr>
          <w:bCs/>
        </w:rPr>
        <w:lastRenderedPageBreak/>
        <w:t xml:space="preserve">Predmetom ochrany </w:t>
      </w:r>
      <w:r>
        <w:rPr>
          <w:bCs/>
        </w:rPr>
        <w:t xml:space="preserve">navrhovaného CHA </w:t>
      </w:r>
      <w:r w:rsidR="00154126">
        <w:rPr>
          <w:bCs/>
        </w:rPr>
        <w:t xml:space="preserve">Čenkov sú </w:t>
      </w:r>
      <w:r>
        <w:rPr>
          <w:bCs/>
        </w:rPr>
        <w:t>prioritn</w:t>
      </w:r>
      <w:r w:rsidR="00154126">
        <w:rPr>
          <w:bCs/>
        </w:rPr>
        <w:t>é</w:t>
      </w:r>
      <w:r w:rsidRPr="00942E80">
        <w:rPr>
          <w:bCs/>
        </w:rPr>
        <w:t xml:space="preserve"> </w:t>
      </w:r>
      <w:r>
        <w:rPr>
          <w:bCs/>
        </w:rPr>
        <w:t>biotop</w:t>
      </w:r>
      <w:r w:rsidR="00154126">
        <w:rPr>
          <w:bCs/>
        </w:rPr>
        <w:t>y</w:t>
      </w:r>
      <w:r>
        <w:rPr>
          <w:bCs/>
        </w:rPr>
        <w:t xml:space="preserve"> európskeho významu </w:t>
      </w:r>
      <w:r w:rsidR="00154126">
        <w:rPr>
          <w:bCs/>
        </w:rPr>
        <w:t xml:space="preserve">- </w:t>
      </w:r>
      <w:r w:rsidR="00154126" w:rsidRPr="00154126">
        <w:rPr>
          <w:bCs/>
        </w:rPr>
        <w:t>Ls10 Panónske topoľové lesy s borievkou (91N0*), Ls3.2 Teplomilné ponticko-panónske dubové lesy na spraši a piesku (91I0*), Pi2 Suchomilné travinnobylinné porasty na vápnitých pieskoch (6120*), Tr4 Panónske travinnobylinné porasty na pieskoch (6</w:t>
      </w:r>
      <w:r w:rsidR="00154126">
        <w:rPr>
          <w:bCs/>
        </w:rPr>
        <w:t>260*), b</w:t>
      </w:r>
      <w:r w:rsidR="00154126" w:rsidRPr="00154126">
        <w:rPr>
          <w:bCs/>
        </w:rPr>
        <w:t>iotopy druhov európskeho významu: kosatec piesočný (</w:t>
      </w:r>
      <w:r w:rsidR="00154126" w:rsidRPr="00154126">
        <w:rPr>
          <w:bCs/>
          <w:i/>
        </w:rPr>
        <w:t>Iris arenaria</w:t>
      </w:r>
      <w:r w:rsidR="00154126" w:rsidRPr="00154126">
        <w:rPr>
          <w:bCs/>
        </w:rPr>
        <w:t>), jesienka piesočná (</w:t>
      </w:r>
      <w:r w:rsidR="00154126" w:rsidRPr="00154126">
        <w:rPr>
          <w:bCs/>
          <w:i/>
        </w:rPr>
        <w:t>Colchicum arenarium</w:t>
      </w:r>
      <w:r w:rsidR="00154126" w:rsidRPr="00154126">
        <w:rPr>
          <w:bCs/>
        </w:rPr>
        <w:t>), kunka červenobruchá (</w:t>
      </w:r>
      <w:r w:rsidR="00154126" w:rsidRPr="00154126">
        <w:rPr>
          <w:bCs/>
          <w:i/>
        </w:rPr>
        <w:t>Bombina bombina</w:t>
      </w:r>
      <w:r w:rsidR="00154126" w:rsidRPr="00154126">
        <w:rPr>
          <w:bCs/>
        </w:rPr>
        <w:t>), jašterica zelená (</w:t>
      </w:r>
      <w:r w:rsidR="00154126" w:rsidRPr="00154126">
        <w:rPr>
          <w:bCs/>
          <w:i/>
        </w:rPr>
        <w:t>Lacerta viridis</w:t>
      </w:r>
      <w:r w:rsidR="00154126" w:rsidRPr="00154126">
        <w:rPr>
          <w:bCs/>
        </w:rPr>
        <w:t>), fuzáč veľký (</w:t>
      </w:r>
      <w:r w:rsidR="00154126" w:rsidRPr="00154126">
        <w:rPr>
          <w:bCs/>
          <w:i/>
        </w:rPr>
        <w:t>Cerambyx cerdo</w:t>
      </w:r>
      <w:r w:rsidR="00154126" w:rsidRPr="00154126">
        <w:rPr>
          <w:bCs/>
        </w:rPr>
        <w:t>), roháč obyčajný (</w:t>
      </w:r>
      <w:r w:rsidR="00154126" w:rsidRPr="00154126">
        <w:rPr>
          <w:bCs/>
          <w:i/>
        </w:rPr>
        <w:t>Lucanus cervus</w:t>
      </w:r>
      <w:r w:rsidR="00154126">
        <w:rPr>
          <w:bCs/>
        </w:rPr>
        <w:t>) a b</w:t>
      </w:r>
      <w:r w:rsidR="00154126" w:rsidRPr="00154126">
        <w:rPr>
          <w:bCs/>
        </w:rPr>
        <w:t>iotopy druhov národného významu: alkana farbiarska (</w:t>
      </w:r>
      <w:r w:rsidR="00154126" w:rsidRPr="00154126">
        <w:rPr>
          <w:bCs/>
          <w:i/>
        </w:rPr>
        <w:t>Alkanna tinctoria</w:t>
      </w:r>
      <w:r w:rsidR="00154126" w:rsidRPr="00154126">
        <w:rPr>
          <w:bCs/>
        </w:rPr>
        <w:t>), chvojník dvojklasý (</w:t>
      </w:r>
      <w:r w:rsidR="00154126" w:rsidRPr="00154126">
        <w:rPr>
          <w:bCs/>
          <w:i/>
        </w:rPr>
        <w:t>Ephedra distachya</w:t>
      </w:r>
      <w:r w:rsidR="00154126" w:rsidRPr="00154126">
        <w:rPr>
          <w:bCs/>
        </w:rPr>
        <w:t>), kurička sivastá (</w:t>
      </w:r>
      <w:r w:rsidR="00154126" w:rsidRPr="00154126">
        <w:rPr>
          <w:bCs/>
          <w:i/>
        </w:rPr>
        <w:t>Minuartia glaucina</w:t>
      </w:r>
      <w:r w:rsidR="00154126" w:rsidRPr="00154126">
        <w:rPr>
          <w:bCs/>
        </w:rPr>
        <w:t>), stavikrv piesočnatý (</w:t>
      </w:r>
      <w:r w:rsidR="00154126" w:rsidRPr="00154126">
        <w:rPr>
          <w:bCs/>
          <w:i/>
        </w:rPr>
        <w:t>Polygonum arenarium</w:t>
      </w:r>
      <w:r w:rsidR="00154126" w:rsidRPr="00154126">
        <w:rPr>
          <w:bCs/>
        </w:rPr>
        <w:t>), silenka dneperská (</w:t>
      </w:r>
      <w:r w:rsidR="00154126" w:rsidRPr="00154126">
        <w:rPr>
          <w:bCs/>
          <w:i/>
        </w:rPr>
        <w:t>Silene borysthenica</w:t>
      </w:r>
      <w:r w:rsidR="00154126" w:rsidRPr="00154126">
        <w:rPr>
          <w:bCs/>
        </w:rPr>
        <w:t>), kavyľ piesočný (</w:t>
      </w:r>
      <w:r w:rsidR="00154126" w:rsidRPr="00154126">
        <w:rPr>
          <w:bCs/>
          <w:i/>
        </w:rPr>
        <w:t>Stipa borysthenica</w:t>
      </w:r>
      <w:r w:rsidR="00154126" w:rsidRPr="00154126">
        <w:rPr>
          <w:bCs/>
        </w:rPr>
        <w:t>).</w:t>
      </w:r>
      <w:r w:rsidR="00154126">
        <w:rPr>
          <w:bCs/>
        </w:rPr>
        <w:t xml:space="preserve"> </w:t>
      </w:r>
      <w:r w:rsidRPr="00942E80">
        <w:rPr>
          <w:bCs/>
        </w:rPr>
        <w:t xml:space="preserve">Účelom vyhlásenia navrhovaného CHA </w:t>
      </w:r>
      <w:r w:rsidR="00154126">
        <w:rPr>
          <w:bCs/>
        </w:rPr>
        <w:t>Čenkov</w:t>
      </w:r>
      <w:r w:rsidR="00154126" w:rsidRPr="00942E80">
        <w:rPr>
          <w:bCs/>
        </w:rPr>
        <w:t xml:space="preserve"> </w:t>
      </w:r>
      <w:r>
        <w:rPr>
          <w:bCs/>
        </w:rPr>
        <w:t>je zabezpečenie priaznivého stav</w:t>
      </w:r>
      <w:r w:rsidR="00522E80">
        <w:rPr>
          <w:bCs/>
        </w:rPr>
        <w:t xml:space="preserve">u predmetu ochrany CHA </w:t>
      </w:r>
      <w:r w:rsidR="00C418F4">
        <w:rPr>
          <w:bCs/>
        </w:rPr>
        <w:t>Čenkov</w:t>
      </w:r>
      <w:r w:rsidR="00522E80">
        <w:rPr>
          <w:bCs/>
        </w:rPr>
        <w:t>.</w:t>
      </w:r>
    </w:p>
    <w:p w:rsidR="00CA4C32" w:rsidRDefault="00CA4C32" w:rsidP="007C4F86">
      <w:pPr>
        <w:spacing w:line="276" w:lineRule="auto"/>
        <w:jc w:val="both"/>
        <w:rPr>
          <w:bCs/>
        </w:rPr>
      </w:pPr>
    </w:p>
    <w:p w:rsidR="00CA4C32" w:rsidRDefault="00CA4C32" w:rsidP="007C4F86">
      <w:pPr>
        <w:spacing w:line="276" w:lineRule="auto"/>
        <w:jc w:val="both"/>
        <w:rPr>
          <w:bCs/>
        </w:rPr>
      </w:pPr>
      <w:r w:rsidRPr="00CA4C32">
        <w:rPr>
          <w:bCs/>
        </w:rPr>
        <w:t>Druhy poniklec prostredný (</w:t>
      </w:r>
      <w:r w:rsidRPr="00CA4C32">
        <w:rPr>
          <w:bCs/>
          <w:i/>
        </w:rPr>
        <w:t>Pulsatilla subslavica</w:t>
      </w:r>
      <w:r w:rsidRPr="00CA4C32">
        <w:rPr>
          <w:bCs/>
        </w:rPr>
        <w:t>) a býčko (</w:t>
      </w:r>
      <w:r w:rsidRPr="00CA4C32">
        <w:rPr>
          <w:bCs/>
          <w:i/>
        </w:rPr>
        <w:t>Proterorhinus marmoratus</w:t>
      </w:r>
      <w:r w:rsidRPr="00CA4C32">
        <w:rPr>
          <w:bCs/>
        </w:rPr>
        <w:t xml:space="preserve">) uvedené vo výnose MŽP SR č. 3/2004-5.1 ako predmety ochrany sa na lokalite nikdy nevyskytovali a do výnosu MŽP SR č. 3/2004-5.1 sa dostali ako vedecký omyl. </w:t>
      </w:r>
      <w:r>
        <w:rPr>
          <w:bCs/>
        </w:rPr>
        <w:t xml:space="preserve">Do predmetu ochrany sa </w:t>
      </w:r>
      <w:r w:rsidR="00B17986">
        <w:rPr>
          <w:bCs/>
        </w:rPr>
        <w:t xml:space="preserve">preto </w:t>
      </w:r>
      <w:r>
        <w:rPr>
          <w:bCs/>
        </w:rPr>
        <w:t xml:space="preserve">nezaraďujú. </w:t>
      </w:r>
    </w:p>
    <w:p w:rsidR="009A16FB" w:rsidRDefault="009A16FB" w:rsidP="007C4F86">
      <w:pPr>
        <w:spacing w:line="276" w:lineRule="auto"/>
        <w:jc w:val="both"/>
        <w:rPr>
          <w:bCs/>
        </w:rPr>
      </w:pPr>
    </w:p>
    <w:p w:rsidR="00D91B2F" w:rsidRPr="00D91B2F" w:rsidRDefault="00D91B2F" w:rsidP="00D91B2F">
      <w:pPr>
        <w:widowControl/>
        <w:autoSpaceDE w:val="0"/>
        <w:autoSpaceDN w:val="0"/>
        <w:jc w:val="both"/>
        <w:rPr>
          <w:rFonts w:eastAsia="Calibri"/>
          <w:lang w:eastAsia="en-US"/>
        </w:rPr>
      </w:pPr>
      <w:bookmarkStart w:id="1" w:name="_Hlk29763717"/>
      <w:r w:rsidRPr="00D91B2F">
        <w:rPr>
          <w:rFonts w:eastAsia="Calibri"/>
          <w:bCs/>
          <w:lang w:eastAsia="en-US"/>
        </w:rPr>
        <w:t xml:space="preserve">Hlavným cieľom </w:t>
      </w:r>
      <w:r>
        <w:rPr>
          <w:rFonts w:eastAsia="Calibri"/>
          <w:bCs/>
          <w:lang w:eastAsia="en-US"/>
        </w:rPr>
        <w:t xml:space="preserve">ochrany CHA Čenkov </w:t>
      </w:r>
      <w:r w:rsidRPr="00D91B2F">
        <w:rPr>
          <w:rFonts w:eastAsia="Calibri"/>
          <w:bCs/>
          <w:lang w:eastAsia="en-US"/>
        </w:rPr>
        <w:t xml:space="preserve">je </w:t>
      </w:r>
      <w:r w:rsidRPr="00D91B2F">
        <w:rPr>
          <w:rFonts w:eastAsia="Calibri"/>
          <w:lang w:eastAsia="en-US"/>
        </w:rPr>
        <w:t xml:space="preserve">zachovať stav biotopov Pi2 (6120) a Tr4 (6260) a stav druhu jasienka piesočná v kategórii A – priaznivý výborný a zlepšiť stav biotopov Ls3.2 (91I0) a Ls10 (91N0) a stav druhov kosatec piesočný, kunka červenobruchá a fúzač veľký do kategórie A – priaznivý výborný. </w:t>
      </w:r>
    </w:p>
    <w:bookmarkEnd w:id="1"/>
    <w:p w:rsidR="00A31C2B" w:rsidRDefault="00A31C2B" w:rsidP="007C4F86">
      <w:pPr>
        <w:spacing w:line="276" w:lineRule="auto"/>
        <w:jc w:val="both"/>
        <w:rPr>
          <w:bCs/>
        </w:rPr>
      </w:pPr>
    </w:p>
    <w:p w:rsidR="00D91B2F" w:rsidRPr="00724CC7" w:rsidRDefault="00FF0D71" w:rsidP="007C4F86">
      <w:pPr>
        <w:spacing w:line="276" w:lineRule="auto"/>
        <w:jc w:val="both"/>
      </w:pPr>
      <w:r w:rsidRPr="00724CC7">
        <w:t xml:space="preserve">Výmera CHA </w:t>
      </w:r>
      <w:r w:rsidR="0074501C" w:rsidRPr="00724CC7">
        <w:t xml:space="preserve">Čenkov </w:t>
      </w:r>
      <w:r w:rsidRPr="00724CC7">
        <w:t xml:space="preserve">je </w:t>
      </w:r>
      <w:r w:rsidR="00760EC4" w:rsidRPr="00724CC7">
        <w:t>254,87 hektára</w:t>
      </w:r>
      <w:r w:rsidRPr="00724CC7">
        <w:t xml:space="preserve">. </w:t>
      </w:r>
      <w:r w:rsidR="00D91B2F" w:rsidRPr="00724CC7">
        <w:t xml:space="preserve">Oproti výmere uvedenej pre SKUEV0067 Čenkov vo výnose MŽP SR č. 3/2004 5.1 došlo k zmene rozlohy na základe požiadavky Európskej komisie. </w:t>
      </w:r>
      <w:r w:rsidR="00B17986" w:rsidRPr="00724CC7">
        <w:t>Záverom</w:t>
      </w:r>
      <w:r w:rsidR="00D91B2F" w:rsidRPr="00724CC7">
        <w:t xml:space="preserve"> bilaterálneho rokovania s Európskou komisiou, ktoré sa konalo v Bratislave v dňoch 15. a 16. marca 2012, </w:t>
      </w:r>
      <w:r w:rsidR="00B17986" w:rsidRPr="00724CC7">
        <w:t xml:space="preserve">bola </w:t>
      </w:r>
      <w:r w:rsidR="00D91B2F" w:rsidRPr="00724CC7">
        <w:t xml:space="preserve">požiadavka na rozšírenie ochrany biotopu 6260 (Tr4 Panónske travinnobylinné porasty na pieskoch) na lokalite </w:t>
      </w:r>
      <w:r w:rsidR="0074501C" w:rsidRPr="00724CC7">
        <w:t xml:space="preserve">CHA </w:t>
      </w:r>
      <w:r w:rsidR="00D91B2F" w:rsidRPr="00724CC7">
        <w:t>Čenkov. V roku 2013 bolo ukončené mapovanie biotopov v celom území CHA Čenkov a na jeho základe zmenená pôvodná hranica chráneného územia tak, aby splnila tieto závery. Nová hranica chráneného územia bola dohodnutá so správcom príslušných pozemkov, organizáciou štátny podnik Lesy Slovenskej republiky. Do zoznamu území európskeho významu bola doplnená lokalita SKUEV2067 Čenkov.</w:t>
      </w:r>
    </w:p>
    <w:p w:rsidR="00D91B2F" w:rsidRPr="00724CC7" w:rsidRDefault="00D91B2F" w:rsidP="007C4F86">
      <w:pPr>
        <w:spacing w:line="276" w:lineRule="auto"/>
        <w:jc w:val="both"/>
      </w:pPr>
    </w:p>
    <w:p w:rsidR="004E138C" w:rsidRPr="00724CC7" w:rsidRDefault="00FF0D71" w:rsidP="007C4F86">
      <w:pPr>
        <w:spacing w:line="276" w:lineRule="auto"/>
        <w:jc w:val="both"/>
        <w:rPr>
          <w:rStyle w:val="Textzstupnhosymbolu"/>
          <w:color w:val="000000"/>
        </w:rPr>
      </w:pPr>
      <w:r w:rsidRPr="00724CC7">
        <w:t xml:space="preserve">Vo výnose MŽP SR č. 3/2004-5.1 </w:t>
      </w:r>
      <w:r w:rsidR="00884E8B" w:rsidRPr="00724CC7">
        <w:t xml:space="preserve">bol pre SKUEV0067 Čenkov predbežne stanovený </w:t>
      </w:r>
      <w:r w:rsidR="00B17986" w:rsidRPr="00724CC7">
        <w:t>štvrtý</w:t>
      </w:r>
      <w:r w:rsidR="00884E8B" w:rsidRPr="00724CC7">
        <w:t xml:space="preserve"> stupeň ochrany a v opatrení MŽP SR č. 1/2017 </w:t>
      </w:r>
      <w:r w:rsidRPr="00724CC7">
        <w:t xml:space="preserve">bol pre </w:t>
      </w:r>
      <w:r w:rsidR="00884E8B" w:rsidRPr="00724CC7">
        <w:t xml:space="preserve">SKUEV2067 Čenkov </w:t>
      </w:r>
      <w:r w:rsidRPr="00724CC7">
        <w:t xml:space="preserve">predbežne stanovený tretí stupeň ochrany. Navrhovaný jednotný tretí stupeň ochrany na celom </w:t>
      </w:r>
      <w:r w:rsidR="00884E8B" w:rsidRPr="00724CC7">
        <w:t xml:space="preserve">území </w:t>
      </w:r>
      <w:r w:rsidRPr="00724CC7">
        <w:t xml:space="preserve">CHA </w:t>
      </w:r>
      <w:r w:rsidR="00884E8B" w:rsidRPr="00724CC7">
        <w:t xml:space="preserve">Čenkov </w:t>
      </w:r>
      <w:r w:rsidRPr="00724CC7">
        <w:t>je postačujúci na zabezpečenie ochrany územia a zosúladenia s potrebami starostlivosti o predmet ochrany. Ochranné pásmo sa nevymedzuje</w:t>
      </w:r>
      <w:r w:rsidR="004E138C" w:rsidRPr="00724CC7">
        <w:t>.</w:t>
      </w:r>
      <w:r w:rsidR="002B0D7D" w:rsidRPr="00724CC7">
        <w:rPr>
          <w:rStyle w:val="Textzstupnhosymbolu"/>
          <w:color w:val="000000"/>
        </w:rPr>
        <w:t xml:space="preserve"> </w:t>
      </w:r>
    </w:p>
    <w:p w:rsidR="004E138C" w:rsidRPr="00724CC7" w:rsidRDefault="004E138C" w:rsidP="007C4F86">
      <w:pPr>
        <w:spacing w:line="276" w:lineRule="auto"/>
        <w:jc w:val="both"/>
        <w:rPr>
          <w:rStyle w:val="Textzstupnhosymbolu"/>
          <w:color w:val="000000"/>
        </w:rPr>
      </w:pPr>
    </w:p>
    <w:p w:rsidR="005D7641" w:rsidRPr="00724CC7" w:rsidRDefault="00167869" w:rsidP="00444624">
      <w:pPr>
        <w:spacing w:line="276" w:lineRule="auto"/>
        <w:jc w:val="both"/>
      </w:pPr>
      <w:r w:rsidRPr="00724CC7">
        <w:t xml:space="preserve">Časť CHA </w:t>
      </w:r>
      <w:r w:rsidR="007B3E4B" w:rsidRPr="00724CC7">
        <w:t xml:space="preserve">Čenkov </w:t>
      </w:r>
      <w:r w:rsidRPr="00724CC7">
        <w:t xml:space="preserve">je v zmysle § 17 ods. 1 zákona chránená ako </w:t>
      </w:r>
      <w:r w:rsidR="00444624" w:rsidRPr="00724CC7">
        <w:t>Národná prírodná rezervácia Čenkovská step</w:t>
      </w:r>
      <w:r w:rsidR="00B17986" w:rsidRPr="00724CC7">
        <w:t>, ktorá bola</w:t>
      </w:r>
      <w:r w:rsidR="00444624" w:rsidRPr="00724CC7">
        <w:t xml:space="preserve"> vyhlásená vyhláškou Ministerstva životného prostredia Slovenskej republiky č. 83/1993 Z. b. o štátnych prírodných rezerváciách. Časť CHA Čenkov je Národná </w:t>
      </w:r>
      <w:r w:rsidR="00444624" w:rsidRPr="00724CC7">
        <w:lastRenderedPageBreak/>
        <w:t>prírodná rezervácia Čenkovská lesostep</w:t>
      </w:r>
      <w:r w:rsidR="00B17986" w:rsidRPr="00724CC7">
        <w:t>, ktorá bola</w:t>
      </w:r>
      <w:r w:rsidR="00444624" w:rsidRPr="00724CC7">
        <w:t xml:space="preserve"> vyhlásená výnos</w:t>
      </w:r>
      <w:r w:rsidR="00B17986" w:rsidRPr="00724CC7">
        <w:t>om</w:t>
      </w:r>
      <w:r w:rsidR="00444624" w:rsidRPr="00724CC7">
        <w:t xml:space="preserve"> Ministerstva kultúry Slovenskej socialistickej republiky č. 1160/1988-32 z 30. júna 1988 o štátnych prírodných rezerváciách (registrovaného v čiastke č. 24/1988 Zb.). </w:t>
      </w:r>
      <w:r w:rsidR="00BE782E" w:rsidRPr="00724CC7">
        <w:t>Vyhlasovacie predpisy boli upravené vyhláškou Ministerstva životného prostredia Slovenskej republiky č. 17/2003  Z. z. ktorou sa ustanovujú národné prírodné rezervácie a uverejňuje zoznam prírodných rezervácií.</w:t>
      </w:r>
      <w:r w:rsidR="00444624" w:rsidRPr="00724CC7">
        <w:t xml:space="preserve"> </w:t>
      </w:r>
      <w:r w:rsidR="00FF0D71" w:rsidRPr="00724CC7">
        <w:t xml:space="preserve">Po vyhlásení CHA </w:t>
      </w:r>
      <w:r w:rsidR="00BE782E" w:rsidRPr="00724CC7">
        <w:t xml:space="preserve">Čenkov </w:t>
      </w:r>
      <w:r w:rsidR="00FF0D71" w:rsidRPr="00724CC7">
        <w:t xml:space="preserve">budú </w:t>
      </w:r>
      <w:r w:rsidR="00BE782E" w:rsidRPr="00724CC7">
        <w:t xml:space="preserve">príslušné vyhlasovacie predpisy zrušené. </w:t>
      </w:r>
      <w:r w:rsidR="00370B3E" w:rsidRPr="00724CC7">
        <w:rPr>
          <w:rStyle w:val="Textzstupnhosymbolu"/>
          <w:color w:val="000000"/>
        </w:rPr>
        <w:t>Navrhovaný CHA</w:t>
      </w:r>
      <w:r w:rsidR="005D7641" w:rsidRPr="00724CC7">
        <w:t xml:space="preserve"> </w:t>
      </w:r>
      <w:r w:rsidR="00884E8B" w:rsidRPr="00724CC7">
        <w:t xml:space="preserve">Čenkov </w:t>
      </w:r>
      <w:r w:rsidR="005D7641" w:rsidRPr="00724CC7">
        <w:t xml:space="preserve">sa neprekrýva so žiadnym </w:t>
      </w:r>
      <w:r w:rsidRPr="00724CC7">
        <w:t xml:space="preserve">ďalším </w:t>
      </w:r>
      <w:r w:rsidR="005D7641" w:rsidRPr="00724CC7">
        <w:t>existujúcim chráneným územím podľa § 17 ods. 1 zákona, zároveň nie je ani súčasťou chráneného vtáčieho územia alebo územia medzinárodného významu.</w:t>
      </w:r>
    </w:p>
    <w:p w:rsidR="00320B46" w:rsidRPr="00724CC7" w:rsidRDefault="00320B46" w:rsidP="00444624">
      <w:pPr>
        <w:spacing w:line="276" w:lineRule="auto"/>
        <w:jc w:val="both"/>
        <w:rPr>
          <w:rStyle w:val="Textzstupnhosymbolu"/>
          <w:color w:val="auto"/>
        </w:rPr>
      </w:pPr>
    </w:p>
    <w:p w:rsidR="00320B46" w:rsidRPr="005D7641" w:rsidRDefault="00320B46" w:rsidP="00444624">
      <w:pPr>
        <w:spacing w:line="276" w:lineRule="auto"/>
        <w:jc w:val="both"/>
        <w:rPr>
          <w:rStyle w:val="Textzstupnhosymbolu"/>
          <w:color w:val="auto"/>
        </w:rPr>
      </w:pPr>
      <w:r w:rsidRPr="00724CC7">
        <w:rPr>
          <w:rStyle w:val="Textzstupnhosymbolu"/>
          <w:color w:val="auto"/>
        </w:rPr>
        <w:t>Územie navrhovaného CHA Čenkov</w:t>
      </w:r>
      <w:r w:rsidR="00A93FEF" w:rsidRPr="00724CC7">
        <w:rPr>
          <w:rStyle w:val="Textzstupnhosymbolu"/>
          <w:color w:val="auto"/>
        </w:rPr>
        <w:t xml:space="preserve"> </w:t>
      </w:r>
      <w:r w:rsidRPr="00724CC7">
        <w:rPr>
          <w:rStyle w:val="Textzstupnhosymbolu"/>
          <w:color w:val="auto"/>
        </w:rPr>
        <w:t xml:space="preserve">sa neprekrýva s územiami, na ktoré </w:t>
      </w:r>
      <w:r w:rsidR="0029535E" w:rsidRPr="00724CC7">
        <w:rPr>
          <w:rStyle w:val="Textzstupnhosymbolu"/>
          <w:color w:val="auto"/>
        </w:rPr>
        <w:t xml:space="preserve">sa </w:t>
      </w:r>
      <w:r w:rsidRPr="00724CC7">
        <w:rPr>
          <w:rStyle w:val="Textzstupnhosymbolu"/>
          <w:color w:val="auto"/>
        </w:rPr>
        <w:t xml:space="preserve">vzťahuje zákon </w:t>
      </w:r>
      <w:r w:rsidRPr="00724CC7">
        <w:rPr>
          <w:rStyle w:val="Textzstupnhosymbolu"/>
          <w:color w:val="auto"/>
        </w:rPr>
        <w:br/>
        <w:t>č. 51/1988 Zb. o banskej činnosti, výbušninách  a  o štátnej banskej správe v znení neskorších predpisov a zákon č. 44/1988 Zb. o ochrane a využití nerastného bohatstva (banský zákon) v znení neskorších predpisov.</w:t>
      </w:r>
    </w:p>
    <w:p w:rsidR="00C51B2D" w:rsidRPr="002B0D7D" w:rsidRDefault="002F43FD" w:rsidP="007C4F86">
      <w:pPr>
        <w:widowControl/>
        <w:spacing w:before="120" w:after="120" w:line="276" w:lineRule="auto"/>
        <w:jc w:val="both"/>
        <w:rPr>
          <w:rStyle w:val="Textzstupnhosymbolu"/>
          <w:color w:val="000000"/>
        </w:rPr>
      </w:pPr>
      <w:r w:rsidRPr="002F43FD">
        <w:rPr>
          <w:rStyle w:val="Textzstupnhosymbolu"/>
          <w:color w:val="000000"/>
        </w:rPr>
        <w:t xml:space="preserve">Územie navrhovaného CHA </w:t>
      </w:r>
      <w:r w:rsidR="00BE782E">
        <w:rPr>
          <w:rStyle w:val="Textzstupnhosymbolu"/>
          <w:color w:val="000000"/>
        </w:rPr>
        <w:t>Čenkov</w:t>
      </w:r>
      <w:r w:rsidR="00BE782E" w:rsidRPr="002F43FD">
        <w:rPr>
          <w:rStyle w:val="Textzstupnhosymbolu"/>
          <w:color w:val="000000"/>
        </w:rPr>
        <w:t xml:space="preserve"> </w:t>
      </w:r>
      <w:r w:rsidRPr="002F43FD">
        <w:rPr>
          <w:rStyle w:val="Textzstupnhosymbolu"/>
          <w:color w:val="000000"/>
        </w:rPr>
        <w:t>je vymedzené slovným opisom hraníc, zoznamom parciel a mapovým vymedzením</w:t>
      </w:r>
      <w:r w:rsidR="00D803F6" w:rsidRPr="002B0D7D">
        <w:rPr>
          <w:rStyle w:val="Textzstupnhosymbolu"/>
          <w:color w:val="000000"/>
        </w:rPr>
        <w:t xml:space="preserve">. </w:t>
      </w:r>
    </w:p>
    <w:p w:rsidR="006E6DD6" w:rsidRDefault="00C0489E" w:rsidP="007C4F86">
      <w:pPr>
        <w:widowControl/>
        <w:spacing w:before="120" w:after="120" w:line="276" w:lineRule="auto"/>
        <w:jc w:val="both"/>
        <w:rPr>
          <w:rStyle w:val="Textzstupnhosymbolu"/>
          <w:color w:val="000000"/>
        </w:rPr>
      </w:pPr>
      <w:r w:rsidRPr="002D1A11">
        <w:rPr>
          <w:rStyle w:val="Textzstupnhosymbolu"/>
          <w:color w:val="000000"/>
        </w:rPr>
        <w:t xml:space="preserve">Zámer na vyhlásenie  </w:t>
      </w:r>
      <w:r w:rsidR="007F1E63" w:rsidRPr="002D1A11">
        <w:rPr>
          <w:rStyle w:val="Textzstupnhosymbolu"/>
          <w:color w:val="000000"/>
        </w:rPr>
        <w:t>CHA</w:t>
      </w:r>
      <w:r w:rsidR="001601AB" w:rsidRPr="002D1A11">
        <w:rPr>
          <w:rStyle w:val="Textzstupnhosymbolu"/>
          <w:color w:val="000000"/>
        </w:rPr>
        <w:t xml:space="preserve"> </w:t>
      </w:r>
      <w:r w:rsidR="00602A35" w:rsidRPr="002D1A11">
        <w:rPr>
          <w:rStyle w:val="Textzstupnhosymbolu"/>
          <w:color w:val="000000"/>
        </w:rPr>
        <w:t xml:space="preserve">bol v zmysle § 50 zákona oznámený </w:t>
      </w:r>
      <w:r w:rsidR="002D1A11" w:rsidRPr="002D1A11">
        <w:rPr>
          <w:rStyle w:val="Textzstupnhosymbolu"/>
          <w:color w:val="000000"/>
        </w:rPr>
        <w:t>Okresným úradom Nitra</w:t>
      </w:r>
      <w:r w:rsidR="00241A2D">
        <w:rPr>
          <w:rStyle w:val="Textzstupnhosymbolu"/>
          <w:color w:val="000000"/>
        </w:rPr>
        <w:t xml:space="preserve"> </w:t>
      </w:r>
      <w:r w:rsidR="002F43FD">
        <w:rPr>
          <w:rStyle w:val="Textzstupnhosymbolu"/>
          <w:color w:val="000000"/>
        </w:rPr>
        <w:t>dňa</w:t>
      </w:r>
      <w:r w:rsidR="002F43FD">
        <w:rPr>
          <w:rStyle w:val="Textzstupnhosymbolu"/>
          <w:color w:val="000000"/>
        </w:rPr>
        <w:br/>
      </w:r>
      <w:r w:rsidR="00BE782E">
        <w:rPr>
          <w:rStyle w:val="Textzstupnhosymbolu"/>
          <w:color w:val="000000"/>
        </w:rPr>
        <w:t>19</w:t>
      </w:r>
      <w:r w:rsidR="00602A35" w:rsidRPr="002D1A11">
        <w:rPr>
          <w:rStyle w:val="Textzstupnhosymbolu"/>
          <w:color w:val="000000"/>
        </w:rPr>
        <w:t>. septembra 201</w:t>
      </w:r>
      <w:r w:rsidR="00BE782E">
        <w:rPr>
          <w:rStyle w:val="Textzstupnhosymbolu"/>
          <w:color w:val="000000"/>
        </w:rPr>
        <w:t>6</w:t>
      </w:r>
      <w:r w:rsidR="00602A35" w:rsidRPr="002D1A11">
        <w:rPr>
          <w:rStyle w:val="Textzstupnhosymbolu"/>
          <w:color w:val="000000"/>
        </w:rPr>
        <w:t>.</w:t>
      </w:r>
      <w:r w:rsidR="00602A35">
        <w:rPr>
          <w:rStyle w:val="Textzstupnhosymbolu"/>
          <w:color w:val="000000"/>
        </w:rPr>
        <w:t xml:space="preserve"> </w:t>
      </w:r>
      <w:r w:rsidR="00BE782E">
        <w:rPr>
          <w:rStyle w:val="Textzstupnhosymbolu"/>
          <w:color w:val="000000"/>
        </w:rPr>
        <w:t>Pripomienky z</w:t>
      </w:r>
      <w:r w:rsidR="00602A35">
        <w:rPr>
          <w:rStyle w:val="Textzstupnhosymbolu"/>
          <w:color w:val="000000"/>
        </w:rPr>
        <w:t xml:space="preserve">o strany dotknutých subjektov </w:t>
      </w:r>
      <w:r w:rsidR="00BE782E">
        <w:rPr>
          <w:rStyle w:val="Textzstupnhosymbolu"/>
          <w:color w:val="000000"/>
        </w:rPr>
        <w:t xml:space="preserve">vznesené </w:t>
      </w:r>
      <w:r w:rsidR="00602A35">
        <w:rPr>
          <w:rStyle w:val="Textzstupnhosymbolu"/>
          <w:color w:val="000000"/>
        </w:rPr>
        <w:t xml:space="preserve">k zámeru </w:t>
      </w:r>
      <w:r w:rsidR="00BE782E">
        <w:rPr>
          <w:rStyle w:val="Textzstupnhosymbolu"/>
          <w:color w:val="000000"/>
        </w:rPr>
        <w:t xml:space="preserve">boli prerokované a zapracované do materiálu. </w:t>
      </w:r>
      <w:r w:rsidR="00602A35">
        <w:rPr>
          <w:rStyle w:val="Textzstupnhosymbolu"/>
          <w:color w:val="000000"/>
        </w:rPr>
        <w:t xml:space="preserve"> </w:t>
      </w:r>
    </w:p>
    <w:p w:rsidR="00724CC7" w:rsidRDefault="00724CC7" w:rsidP="007C4F86">
      <w:pPr>
        <w:widowControl/>
        <w:spacing w:before="120" w:after="120" w:line="276" w:lineRule="auto"/>
        <w:jc w:val="both"/>
        <w:rPr>
          <w:rStyle w:val="Textzstupnhosymbolu"/>
          <w:color w:val="000000"/>
        </w:rPr>
      </w:pPr>
      <w:r w:rsidRPr="00724CC7">
        <w:rPr>
          <w:rStyle w:val="Textzstupnhosymbolu"/>
          <w:color w:val="000000"/>
        </w:rPr>
        <w:t>MŽP prostredníctvom ním poverenej odbornej organizácie ochrany prírody v rámci schvaľovacieho procesu ako aj  pred zápisom do katastra nehnuteľností doručí správcovi informačného systému (§ 38 ods. 2 zákona 326/2005 Z. z) na adresu nlc@nlcsk. org a nlc-ulzi@lcsk.org hranice chráneného územia v dátovom formáte pre ukladanie vektorových priestorových dát pre geografické informačné systémy (napr. Esri shapefile), ktorý priestorovo popisuje geometrické body, línie a plochy hranice.</w:t>
      </w:r>
    </w:p>
    <w:p w:rsidR="00724CC7" w:rsidRPr="00724CC7" w:rsidRDefault="00724CC7" w:rsidP="00724CC7">
      <w:pPr>
        <w:widowControl/>
        <w:spacing w:before="120" w:after="120" w:line="276" w:lineRule="auto"/>
        <w:jc w:val="both"/>
        <w:rPr>
          <w:color w:val="000000"/>
        </w:rPr>
      </w:pPr>
      <w:r w:rsidRPr="00724CC7">
        <w:rPr>
          <w:color w:val="000000"/>
        </w:rPr>
        <w:t>Návrh nariadenia vlády bude mať malý negatívny vplyv na rozpočet verejnej správy, ktorý je rozpočtovo zabezpečený. Predpokladané sú len výdavky na označenie chráneného areálu v zmysle zákona a vyhlášky Ministerstva životného prostredia Slovenskej republiky č. 24/2003 Z. z., ktorou sa vykonáva zákon č. 543/2002 Z. z. o ochrane prírody a krajiny v znení neskorších predpisov. Finančné prostriedky na realizáciu týchto výdavkov sú zabezpečené v rozpočte Štátnej ochrany prírody Slovenskej republiky.</w:t>
      </w:r>
    </w:p>
    <w:p w:rsidR="00724CC7" w:rsidRPr="006E6DD6" w:rsidRDefault="00724CC7" w:rsidP="007C4F86">
      <w:pPr>
        <w:widowControl/>
        <w:spacing w:before="120" w:after="120" w:line="276" w:lineRule="auto"/>
        <w:jc w:val="both"/>
        <w:rPr>
          <w:rStyle w:val="Textzstupnhosymbolu"/>
          <w:color w:val="000000"/>
        </w:rPr>
      </w:pPr>
      <w:r w:rsidRPr="00724CC7">
        <w:rPr>
          <w:color w:val="000000"/>
        </w:rPr>
        <w:t>Predkladaný materiál je bez vplyvov na manželstvo, rodičovstvo a rodinu, podnikateľské prostredie, informatizáciu spoločnosti, služby verejnej správy pre občana a bez sociálnych vplyvov. Bude mať pozitívny vplyv na životné prostredie.</w:t>
      </w:r>
    </w:p>
    <w:p w:rsidR="00324160" w:rsidRDefault="006E6DD6" w:rsidP="007C4F86">
      <w:pPr>
        <w:widowControl/>
        <w:spacing w:line="276" w:lineRule="auto"/>
        <w:jc w:val="both"/>
        <w:rPr>
          <w:rStyle w:val="Textzstupnhosymbolu"/>
          <w:color w:val="000000"/>
        </w:rPr>
      </w:pPr>
      <w:r w:rsidRPr="006E6DD6">
        <w:rPr>
          <w:rStyle w:val="Textzstupnhosymbolu"/>
          <w:color w:val="000000"/>
        </w:rPr>
        <w:t>Návrh nariadenia vlády je v súlade s Ústavou Slovenskej republiky, ústavnými zákonmi, nálezmi Ústavného súdu Slovenskej republiky, medzinárodnými zmluvami, ktorými je Slovenská republika viazaná, zákonmi, ostatnými všeobecne záväznými právnymi predpismi a súčasne je v súlade s právom Európskej únie.</w:t>
      </w:r>
    </w:p>
    <w:p w:rsidR="002F43FD" w:rsidRDefault="002F43FD" w:rsidP="007C4F86">
      <w:pPr>
        <w:widowControl/>
        <w:spacing w:line="276" w:lineRule="auto"/>
        <w:jc w:val="both"/>
        <w:rPr>
          <w:b/>
          <w:color w:val="000000"/>
        </w:rPr>
        <w:sectPr w:rsidR="002F43FD">
          <w:footerReference w:type="default" r:id="rId9"/>
          <w:pgSz w:w="12240" w:h="15840"/>
          <w:pgMar w:top="1440" w:right="1440" w:bottom="1440" w:left="1440" w:header="708" w:footer="708" w:gutter="0"/>
          <w:cols w:space="708"/>
          <w:docGrid w:linePitch="360"/>
        </w:sectPr>
      </w:pPr>
    </w:p>
    <w:p w:rsidR="00324160" w:rsidRPr="000E2E22" w:rsidRDefault="00324160" w:rsidP="007C4F86">
      <w:pPr>
        <w:widowControl/>
        <w:spacing w:line="276" w:lineRule="auto"/>
        <w:jc w:val="both"/>
        <w:rPr>
          <w:b/>
          <w:color w:val="000000"/>
        </w:rPr>
      </w:pPr>
      <w:r w:rsidRPr="000E2E22">
        <w:rPr>
          <w:b/>
          <w:color w:val="000000"/>
        </w:rPr>
        <w:lastRenderedPageBreak/>
        <w:t>B. Osobitná časť</w:t>
      </w:r>
    </w:p>
    <w:p w:rsidR="00324160" w:rsidRPr="000E2E22" w:rsidRDefault="00324160" w:rsidP="007C4F86">
      <w:pPr>
        <w:widowControl/>
        <w:spacing w:line="276" w:lineRule="auto"/>
        <w:jc w:val="both"/>
        <w:rPr>
          <w:color w:val="000000"/>
        </w:rPr>
      </w:pPr>
    </w:p>
    <w:p w:rsidR="00324160" w:rsidRPr="000E2E22" w:rsidRDefault="00324160" w:rsidP="007C4F86">
      <w:pPr>
        <w:widowControl/>
        <w:spacing w:line="276" w:lineRule="auto"/>
        <w:jc w:val="both"/>
        <w:rPr>
          <w:color w:val="000000"/>
        </w:rPr>
      </w:pPr>
      <w:r w:rsidRPr="000E2E22">
        <w:rPr>
          <w:rStyle w:val="Textzstupnhosymbolu"/>
          <w:b/>
          <w:color w:val="000000"/>
        </w:rPr>
        <w:t xml:space="preserve">K § 1 a prílohe č. 1 </w:t>
      </w:r>
    </w:p>
    <w:p w:rsidR="00324160" w:rsidRPr="000E2E22" w:rsidRDefault="00324160" w:rsidP="007C4F86">
      <w:pPr>
        <w:widowControl/>
        <w:spacing w:line="276" w:lineRule="auto"/>
        <w:jc w:val="both"/>
        <w:rPr>
          <w:rStyle w:val="Textzstupnhosymbolu"/>
          <w:color w:val="000000"/>
        </w:rPr>
      </w:pPr>
      <w:r w:rsidRPr="000E2E22">
        <w:rPr>
          <w:rStyle w:val="Textzstupnhosymbolu"/>
          <w:color w:val="000000"/>
        </w:rPr>
        <w:t> </w:t>
      </w:r>
    </w:p>
    <w:p w:rsidR="003E6B6C" w:rsidRPr="003E6B6C" w:rsidRDefault="003E6B6C" w:rsidP="00665E79">
      <w:pPr>
        <w:autoSpaceDE w:val="0"/>
        <w:autoSpaceDN w:val="0"/>
        <w:spacing w:line="276" w:lineRule="auto"/>
        <w:jc w:val="both"/>
        <w:rPr>
          <w:rStyle w:val="Textzstupnhosymbolu"/>
          <w:color w:val="000000"/>
        </w:rPr>
      </w:pPr>
      <w:r w:rsidRPr="003E6B6C">
        <w:rPr>
          <w:rStyle w:val="Textzstupnhosymbolu"/>
          <w:color w:val="000000"/>
        </w:rPr>
        <w:t xml:space="preserve">K § 1 ods. 1 a 4: Vyhlasuje sa CHA </w:t>
      </w:r>
      <w:r w:rsidR="00665E79">
        <w:rPr>
          <w:rStyle w:val="Textzstupnhosymbolu"/>
          <w:color w:val="000000"/>
        </w:rPr>
        <w:t xml:space="preserve">Čenkov. </w:t>
      </w:r>
      <w:r w:rsidR="00665E79" w:rsidRPr="00665E79">
        <w:rPr>
          <w:rStyle w:val="Textzstupnhosymbolu"/>
          <w:color w:val="000000"/>
        </w:rPr>
        <w:t xml:space="preserve">Súčasťou </w:t>
      </w:r>
      <w:r w:rsidR="00665E79">
        <w:rPr>
          <w:rStyle w:val="Textzstupnhosymbolu"/>
          <w:color w:val="000000"/>
        </w:rPr>
        <w:t>CHA Čenkov</w:t>
      </w:r>
      <w:r w:rsidR="00665E79" w:rsidRPr="00665E79">
        <w:rPr>
          <w:rStyle w:val="Textzstupnhosymbolu"/>
          <w:color w:val="000000"/>
        </w:rPr>
        <w:t xml:space="preserve"> </w:t>
      </w:r>
      <w:r w:rsidR="00665E79">
        <w:rPr>
          <w:rStyle w:val="Textzstupnhosymbolu"/>
          <w:color w:val="000000"/>
        </w:rPr>
        <w:t>sú územia</w:t>
      </w:r>
      <w:r w:rsidR="00665E79" w:rsidRPr="00665E79">
        <w:rPr>
          <w:rStyle w:val="Textzstupnhosymbolu"/>
          <w:color w:val="000000"/>
        </w:rPr>
        <w:t xml:space="preserve"> európ</w:t>
      </w:r>
      <w:r w:rsidR="00665E79">
        <w:rPr>
          <w:rStyle w:val="Textzstupnhosymbolu"/>
          <w:color w:val="000000"/>
        </w:rPr>
        <w:t xml:space="preserve">skeho významu SKUEV0067 Čenkov </w:t>
      </w:r>
      <w:r w:rsidR="00665E79" w:rsidRPr="00665E79">
        <w:rPr>
          <w:rStyle w:val="Textzstupnhosymbolu"/>
          <w:color w:val="000000"/>
        </w:rPr>
        <w:t>a SKUEV2067 Čenkov</w:t>
      </w:r>
      <w:r w:rsidR="00665E79">
        <w:rPr>
          <w:rStyle w:val="Textzstupnhosymbolu"/>
          <w:color w:val="000000"/>
        </w:rPr>
        <w:t xml:space="preserve">. Lokalita SKUEV0067 Čenkov </w:t>
      </w:r>
      <w:r w:rsidR="00665E79" w:rsidRPr="00665E79">
        <w:rPr>
          <w:rStyle w:val="Textzstupnhosymbolu"/>
          <w:color w:val="000000"/>
        </w:rPr>
        <w:t xml:space="preserve">bola zaradená </w:t>
      </w:r>
      <w:r w:rsidR="00665E79">
        <w:rPr>
          <w:rStyle w:val="Textzstupnhosymbolu"/>
          <w:color w:val="000000"/>
        </w:rPr>
        <w:t xml:space="preserve">do národného zoznamu európskeho významu </w:t>
      </w:r>
      <w:r w:rsidR="00665E79" w:rsidRPr="00665E79">
        <w:rPr>
          <w:rStyle w:val="Textzstupnhosymbolu"/>
          <w:color w:val="000000"/>
        </w:rPr>
        <w:t>výnos</w:t>
      </w:r>
      <w:r w:rsidR="00665E79">
        <w:rPr>
          <w:rStyle w:val="Textzstupnhosymbolu"/>
          <w:color w:val="000000"/>
        </w:rPr>
        <w:t xml:space="preserve">om MŽP SR č. 3/2004-5.1.. Lokalita SKUEV2067 bola do národného zoznamu území európskeho významu zaradená opatrením  </w:t>
      </w:r>
      <w:r w:rsidR="00665E79" w:rsidRPr="00665E79">
        <w:rPr>
          <w:rStyle w:val="Textzstupnhosymbolu"/>
          <w:color w:val="000000"/>
        </w:rPr>
        <w:t>MŽP SR č. 1/2017</w:t>
      </w:r>
      <w:r w:rsidR="00665E79">
        <w:rPr>
          <w:rStyle w:val="Textzstupnhosymbolu"/>
          <w:color w:val="000000"/>
        </w:rPr>
        <w:t xml:space="preserve">. </w:t>
      </w:r>
    </w:p>
    <w:p w:rsidR="003E6B6C" w:rsidRPr="003E6B6C" w:rsidRDefault="003E6B6C" w:rsidP="007C4F86">
      <w:pPr>
        <w:autoSpaceDE w:val="0"/>
        <w:autoSpaceDN w:val="0"/>
        <w:spacing w:line="276" w:lineRule="auto"/>
        <w:jc w:val="both"/>
        <w:rPr>
          <w:rStyle w:val="Textzstupnhosymbolu"/>
          <w:color w:val="000000"/>
        </w:rPr>
      </w:pPr>
    </w:p>
    <w:p w:rsidR="00B015AC" w:rsidRDefault="003E6B6C" w:rsidP="007C4F86">
      <w:pPr>
        <w:autoSpaceDE w:val="0"/>
        <w:autoSpaceDN w:val="0"/>
        <w:spacing w:line="276" w:lineRule="auto"/>
        <w:jc w:val="both"/>
        <w:rPr>
          <w:rStyle w:val="Textzstupnhosymbolu"/>
          <w:color w:val="000000"/>
        </w:rPr>
      </w:pPr>
      <w:r w:rsidRPr="003E6B6C">
        <w:rPr>
          <w:rStyle w:val="Textzstupnhosymbolu"/>
          <w:color w:val="000000"/>
        </w:rPr>
        <w:t>K § 1 ods. 2, 3</w:t>
      </w:r>
      <w:r w:rsidR="00724CC7">
        <w:rPr>
          <w:rStyle w:val="Textzstupnhosymbolu"/>
          <w:color w:val="000000"/>
        </w:rPr>
        <w:t>, 5</w:t>
      </w:r>
      <w:r w:rsidRPr="003E6B6C">
        <w:rPr>
          <w:rStyle w:val="Textzstupnhosymbolu"/>
          <w:color w:val="000000"/>
        </w:rPr>
        <w:t xml:space="preserve"> a k prílohe č. 1: Vymedzuje sa územie CHA </w:t>
      </w:r>
      <w:r w:rsidR="00665E79">
        <w:rPr>
          <w:rStyle w:val="Textzstupnhosymbolu"/>
          <w:color w:val="000000"/>
        </w:rPr>
        <w:t xml:space="preserve">Čenkov </w:t>
      </w:r>
      <w:r w:rsidRPr="003E6B6C">
        <w:rPr>
          <w:rStyle w:val="Textzstupnhosymbolu"/>
          <w:color w:val="000000"/>
        </w:rPr>
        <w:t xml:space="preserve">prostredníctvom katastrálneho územia a príslušného okresu, ďalej sa uvádza, kde je možné nájsť podklady, v ktorých je zakreslená hranica CHA </w:t>
      </w:r>
      <w:r w:rsidR="00665E79">
        <w:rPr>
          <w:rStyle w:val="Textzstupnhosymbolu"/>
          <w:color w:val="000000"/>
        </w:rPr>
        <w:t>Čenkov</w:t>
      </w:r>
      <w:r w:rsidRPr="003E6B6C">
        <w:rPr>
          <w:rStyle w:val="Textzstupnhosymbolu"/>
          <w:color w:val="000000"/>
        </w:rPr>
        <w:t xml:space="preserve">. Pre potreby praxe budú na Okresnom úrade </w:t>
      </w:r>
      <w:r w:rsidR="001F1F57">
        <w:rPr>
          <w:rStyle w:val="Textzstupnhosymbolu"/>
          <w:color w:val="000000"/>
        </w:rPr>
        <w:t>Nitra</w:t>
      </w:r>
      <w:r w:rsidRPr="003E6B6C">
        <w:rPr>
          <w:rStyle w:val="Textzstupnhosymbolu"/>
          <w:color w:val="000000"/>
        </w:rPr>
        <w:t xml:space="preserve"> uložené grafické podklady, v ktorých </w:t>
      </w:r>
      <w:r>
        <w:rPr>
          <w:rStyle w:val="Textzstupnhosymbolu"/>
          <w:color w:val="000000"/>
        </w:rPr>
        <w:t xml:space="preserve">je zakreslená hranica CHA </w:t>
      </w:r>
      <w:r w:rsidR="00665E79">
        <w:rPr>
          <w:rStyle w:val="Textzstupnhosymbolu"/>
          <w:color w:val="000000"/>
        </w:rPr>
        <w:t>Čenkov</w:t>
      </w:r>
      <w:r w:rsidRPr="003E6B6C">
        <w:rPr>
          <w:rStyle w:val="Textzstupnhosymbolu"/>
          <w:color w:val="000000"/>
        </w:rPr>
        <w:t>. Ďalším</w:t>
      </w:r>
      <w:r>
        <w:rPr>
          <w:rStyle w:val="Textzstupnhosymbolu"/>
          <w:color w:val="000000"/>
        </w:rPr>
        <w:t xml:space="preserve"> zdrojom informácií o CHA </w:t>
      </w:r>
      <w:r w:rsidR="00665E79">
        <w:rPr>
          <w:rStyle w:val="Textzstupnhosymbolu"/>
          <w:color w:val="000000"/>
        </w:rPr>
        <w:t>Čenkov</w:t>
      </w:r>
      <w:r w:rsidR="00665E79" w:rsidRPr="003E6B6C">
        <w:rPr>
          <w:rStyle w:val="Textzstupnhosymbolu"/>
          <w:color w:val="000000"/>
        </w:rPr>
        <w:t xml:space="preserve"> </w:t>
      </w:r>
      <w:r w:rsidRPr="003E6B6C">
        <w:rPr>
          <w:rStyle w:val="Textzstupnhosymbolu"/>
          <w:color w:val="000000"/>
        </w:rPr>
        <w:t xml:space="preserve">a o vymedzení jeho hranice je Štátny zoznam osobitne chránených častí prírody a krajiny, do ktorého sa podľa § 51 ods. 4 zákona zapíše CHA </w:t>
      </w:r>
      <w:r w:rsidR="00665E79">
        <w:rPr>
          <w:rStyle w:val="Textzstupnhosymbolu"/>
          <w:color w:val="000000"/>
        </w:rPr>
        <w:t>Čenkov</w:t>
      </w:r>
      <w:r w:rsidR="00665E79" w:rsidRPr="003E6B6C">
        <w:rPr>
          <w:rStyle w:val="Textzstupnhosymbolu"/>
          <w:color w:val="000000"/>
        </w:rPr>
        <w:t xml:space="preserve"> </w:t>
      </w:r>
      <w:r w:rsidRPr="003E6B6C">
        <w:rPr>
          <w:rStyle w:val="Textzstupnhosymbolu"/>
          <w:color w:val="000000"/>
        </w:rPr>
        <w:t xml:space="preserve">po vyhlásení jeho ochrany. Štátny zoznam, ako aj výpisy z neho, sú verejnosti prístupné a sú uložené na príslušných orgánoch ochrany prírody. Zdrojom informácii je aj kataster nehnuteľností, keďže chránené územie je predmetom evidencie katastra. V zmysle § 51 ods. 5 zákona správa katastra na základe podkladov predložených ministerstvom vyznačí chránené územie v katastri nehnuteľností po jeho zápise do štátneho zoznamu. V katastri nehnuteľností bude územie CHA </w:t>
      </w:r>
      <w:r w:rsidR="00665E79">
        <w:rPr>
          <w:rStyle w:val="Textzstupnhosymbolu"/>
          <w:color w:val="000000"/>
        </w:rPr>
        <w:t>Čenkov</w:t>
      </w:r>
      <w:r w:rsidR="00665E79" w:rsidRPr="003E6B6C">
        <w:rPr>
          <w:rStyle w:val="Textzstupnhosymbolu"/>
          <w:color w:val="000000"/>
        </w:rPr>
        <w:t xml:space="preserve"> </w:t>
      </w:r>
      <w:r w:rsidRPr="003E6B6C">
        <w:rPr>
          <w:rStyle w:val="Textzstupnhosymbolu"/>
          <w:color w:val="000000"/>
        </w:rPr>
        <w:t>evidované jednak v súbore geodetických informácií (zobrazením hranice, pričom platí, že vyznačením hranice sa nevytvára nová parcela), ako aj v súbore popisných informácií (kódom druhu chránenej nehnuteľnosti  „103 chránený areál“).</w:t>
      </w:r>
      <w:r w:rsidR="00665E79">
        <w:rPr>
          <w:rStyle w:val="Textzstupnhosymbolu"/>
          <w:color w:val="000000"/>
        </w:rPr>
        <w:t xml:space="preserve"> </w:t>
      </w:r>
      <w:r w:rsidRPr="003E6B6C">
        <w:rPr>
          <w:rStyle w:val="Textzstupnhosymbolu"/>
          <w:color w:val="000000"/>
        </w:rPr>
        <w:t xml:space="preserve">Spôsob vymedzenia hranice CHA </w:t>
      </w:r>
      <w:r w:rsidR="00665E79">
        <w:rPr>
          <w:rStyle w:val="Textzstupnhosymbolu"/>
          <w:color w:val="000000"/>
        </w:rPr>
        <w:t>Čenkov</w:t>
      </w:r>
      <w:r w:rsidR="00665E79" w:rsidRPr="003E6B6C">
        <w:rPr>
          <w:rStyle w:val="Textzstupnhosymbolu"/>
          <w:color w:val="000000"/>
        </w:rPr>
        <w:t xml:space="preserve"> </w:t>
      </w:r>
      <w:r w:rsidRPr="003E6B6C">
        <w:rPr>
          <w:rStyle w:val="Textzstupnhosymbolu"/>
          <w:color w:val="000000"/>
        </w:rPr>
        <w:t xml:space="preserve">v prílohe tvorí popisná časť, zoznam parciel a mapa CHA </w:t>
      </w:r>
      <w:r w:rsidR="00665E79">
        <w:rPr>
          <w:rStyle w:val="Textzstupnhosymbolu"/>
          <w:color w:val="000000"/>
        </w:rPr>
        <w:t>Čenkov</w:t>
      </w:r>
      <w:r w:rsidRPr="003E6B6C">
        <w:rPr>
          <w:rStyle w:val="Textzstupnhosymbolu"/>
          <w:color w:val="000000"/>
        </w:rPr>
        <w:t>.</w:t>
      </w:r>
    </w:p>
    <w:p w:rsidR="00724CC7" w:rsidRPr="00724CC7" w:rsidRDefault="00724CC7" w:rsidP="00724CC7">
      <w:pPr>
        <w:autoSpaceDE w:val="0"/>
        <w:autoSpaceDN w:val="0"/>
        <w:spacing w:line="276" w:lineRule="auto"/>
        <w:jc w:val="both"/>
        <w:rPr>
          <w:color w:val="000000"/>
        </w:rPr>
      </w:pPr>
      <w:r w:rsidRPr="00724CC7">
        <w:rPr>
          <w:color w:val="000000"/>
        </w:rPr>
        <w:t>Ciele starostlivosti o CHA Čenkov, opatrenia na ich dosiahnutie a zásady využívania územia upraví program starostlivosti o chránený areál.</w:t>
      </w:r>
    </w:p>
    <w:p w:rsidR="00724CC7" w:rsidRDefault="00724CC7" w:rsidP="007C4F86">
      <w:pPr>
        <w:autoSpaceDE w:val="0"/>
        <w:autoSpaceDN w:val="0"/>
        <w:spacing w:line="276" w:lineRule="auto"/>
        <w:jc w:val="both"/>
        <w:rPr>
          <w:rStyle w:val="Textzstupnhosymbolu"/>
          <w:color w:val="000000"/>
        </w:rPr>
      </w:pPr>
    </w:p>
    <w:p w:rsidR="003E6B6C" w:rsidRDefault="003E6B6C" w:rsidP="007C4F86">
      <w:pPr>
        <w:autoSpaceDE w:val="0"/>
        <w:autoSpaceDN w:val="0"/>
        <w:spacing w:line="276" w:lineRule="auto"/>
        <w:jc w:val="both"/>
        <w:rPr>
          <w:rStyle w:val="Textzstupnhosymbolu"/>
          <w:b/>
          <w:color w:val="000000"/>
        </w:rPr>
      </w:pPr>
    </w:p>
    <w:p w:rsidR="00324160" w:rsidRDefault="00324160" w:rsidP="007C4F86">
      <w:pPr>
        <w:widowControl/>
        <w:spacing w:line="276" w:lineRule="auto"/>
        <w:jc w:val="both"/>
        <w:rPr>
          <w:rStyle w:val="Textzstupnhosymbolu"/>
          <w:b/>
          <w:color w:val="000000"/>
        </w:rPr>
      </w:pPr>
      <w:r w:rsidRPr="000E2E22">
        <w:rPr>
          <w:rStyle w:val="Textzstupnhosymbolu"/>
          <w:b/>
          <w:color w:val="000000"/>
        </w:rPr>
        <w:t>K § 2 a prílohe č. 2</w:t>
      </w:r>
    </w:p>
    <w:p w:rsidR="00A01BA9" w:rsidRDefault="00A01BA9" w:rsidP="007C4F86">
      <w:pPr>
        <w:widowControl/>
        <w:spacing w:line="276" w:lineRule="auto"/>
        <w:jc w:val="both"/>
        <w:rPr>
          <w:rStyle w:val="Textzstupnhosymbolu"/>
          <w:b/>
          <w:color w:val="000000"/>
        </w:rPr>
      </w:pPr>
    </w:p>
    <w:p w:rsidR="00324160" w:rsidRPr="000E2E22" w:rsidRDefault="00A01BA9" w:rsidP="007C4F86">
      <w:pPr>
        <w:widowControl/>
        <w:spacing w:line="276" w:lineRule="auto"/>
        <w:jc w:val="both"/>
        <w:rPr>
          <w:rStyle w:val="Textzstupnhosymbolu"/>
          <w:color w:val="000000"/>
        </w:rPr>
      </w:pPr>
      <w:r w:rsidRPr="00A01BA9">
        <w:rPr>
          <w:rStyle w:val="Textzstupnhosymbolu"/>
          <w:color w:val="000000"/>
        </w:rPr>
        <w:t xml:space="preserve">Upravujú sa účel, predmet a ciele ochrany CHA </w:t>
      </w:r>
      <w:r w:rsidR="00665E79">
        <w:rPr>
          <w:rStyle w:val="Textzstupnhosymbolu"/>
          <w:color w:val="000000"/>
        </w:rPr>
        <w:t>Čenkov</w:t>
      </w:r>
      <w:r w:rsidRPr="00A01BA9">
        <w:rPr>
          <w:rStyle w:val="Textzstupnhosymbolu"/>
          <w:color w:val="000000"/>
        </w:rPr>
        <w:t xml:space="preserve">. CHA </w:t>
      </w:r>
      <w:r w:rsidR="00665E79">
        <w:rPr>
          <w:rStyle w:val="Textzstupnhosymbolu"/>
          <w:color w:val="000000"/>
        </w:rPr>
        <w:t>Čenkov</w:t>
      </w:r>
      <w:r w:rsidR="00665E79" w:rsidRPr="00A01BA9">
        <w:rPr>
          <w:rStyle w:val="Textzstupnhosymbolu"/>
          <w:color w:val="000000"/>
        </w:rPr>
        <w:t xml:space="preserve"> </w:t>
      </w:r>
      <w:r w:rsidRPr="00A01BA9">
        <w:rPr>
          <w:rStyle w:val="Textzstupnhosymbolu"/>
          <w:color w:val="000000"/>
        </w:rPr>
        <w:t xml:space="preserve">je navrhovaný z dôvodu ochrany </w:t>
      </w:r>
      <w:r w:rsidR="00C418F4" w:rsidRPr="00C418F4">
        <w:rPr>
          <w:bCs/>
          <w:color w:val="000000"/>
        </w:rPr>
        <w:t>prioritn</w:t>
      </w:r>
      <w:r w:rsidR="00C418F4">
        <w:rPr>
          <w:bCs/>
          <w:color w:val="000000"/>
        </w:rPr>
        <w:t>ých</w:t>
      </w:r>
      <w:r w:rsidR="00C418F4" w:rsidRPr="00C418F4">
        <w:rPr>
          <w:bCs/>
          <w:color w:val="000000"/>
        </w:rPr>
        <w:t xml:space="preserve"> biotop</w:t>
      </w:r>
      <w:r w:rsidR="00C418F4">
        <w:rPr>
          <w:bCs/>
          <w:color w:val="000000"/>
        </w:rPr>
        <w:t>ov</w:t>
      </w:r>
      <w:r w:rsidR="00C418F4" w:rsidRPr="00C418F4">
        <w:rPr>
          <w:bCs/>
          <w:color w:val="000000"/>
        </w:rPr>
        <w:t xml:space="preserve"> európskeho významu - Ls10 Panónske topoľové lesy s borievkou (91N0*), Ls3.2 Teplomilné ponticko-panónske dubové lesy na spraši a piesku (91I0*), Pi2 Suchomilné travinnobylinné porasty na vápnitých pieskoch (6120*), Tr4 Panónske travinnobylinné porasty na pieskoch (6260*), b</w:t>
      </w:r>
      <w:r w:rsidR="00C418F4">
        <w:rPr>
          <w:bCs/>
          <w:color w:val="000000"/>
        </w:rPr>
        <w:t>iotopov</w:t>
      </w:r>
      <w:r w:rsidR="00C418F4" w:rsidRPr="00C418F4">
        <w:rPr>
          <w:bCs/>
          <w:color w:val="000000"/>
        </w:rPr>
        <w:t xml:space="preserve"> druhov európskeho výz</w:t>
      </w:r>
      <w:r w:rsidR="00C418F4">
        <w:rPr>
          <w:bCs/>
          <w:color w:val="000000"/>
        </w:rPr>
        <w:t xml:space="preserve">namu - </w:t>
      </w:r>
      <w:r w:rsidR="00C418F4" w:rsidRPr="00C418F4">
        <w:rPr>
          <w:bCs/>
          <w:color w:val="000000"/>
        </w:rPr>
        <w:t>kosatec piesočný (</w:t>
      </w:r>
      <w:r w:rsidR="00C418F4" w:rsidRPr="00C418F4">
        <w:rPr>
          <w:bCs/>
          <w:i/>
          <w:color w:val="000000"/>
        </w:rPr>
        <w:t>Iris arenaria</w:t>
      </w:r>
      <w:r w:rsidR="00C418F4" w:rsidRPr="00C418F4">
        <w:rPr>
          <w:bCs/>
          <w:color w:val="000000"/>
        </w:rPr>
        <w:t>), jesienka piesočná (</w:t>
      </w:r>
      <w:r w:rsidR="00C418F4" w:rsidRPr="00C418F4">
        <w:rPr>
          <w:bCs/>
          <w:i/>
          <w:color w:val="000000"/>
        </w:rPr>
        <w:t>Colchicum arenarium</w:t>
      </w:r>
      <w:r w:rsidR="00C418F4" w:rsidRPr="00C418F4">
        <w:rPr>
          <w:bCs/>
          <w:color w:val="000000"/>
        </w:rPr>
        <w:t>), kunka červenobruchá (</w:t>
      </w:r>
      <w:r w:rsidR="00C418F4" w:rsidRPr="00C418F4">
        <w:rPr>
          <w:bCs/>
          <w:i/>
          <w:color w:val="000000"/>
        </w:rPr>
        <w:t>Bombina bombina</w:t>
      </w:r>
      <w:r w:rsidR="00C418F4" w:rsidRPr="00C418F4">
        <w:rPr>
          <w:bCs/>
          <w:color w:val="000000"/>
        </w:rPr>
        <w:t>), jašterica zelená (</w:t>
      </w:r>
      <w:r w:rsidR="00C418F4" w:rsidRPr="00C418F4">
        <w:rPr>
          <w:bCs/>
          <w:i/>
          <w:color w:val="000000"/>
        </w:rPr>
        <w:t>Lacerta viridis</w:t>
      </w:r>
      <w:r w:rsidR="00C418F4" w:rsidRPr="00C418F4">
        <w:rPr>
          <w:bCs/>
          <w:color w:val="000000"/>
        </w:rPr>
        <w:t>), fuzáč veľký (</w:t>
      </w:r>
      <w:r w:rsidR="00C418F4" w:rsidRPr="00C418F4">
        <w:rPr>
          <w:bCs/>
          <w:i/>
          <w:color w:val="000000"/>
        </w:rPr>
        <w:t>Cerambyx cerdo</w:t>
      </w:r>
      <w:r w:rsidR="00C418F4" w:rsidRPr="00C418F4">
        <w:rPr>
          <w:bCs/>
          <w:color w:val="000000"/>
        </w:rPr>
        <w:t>), roháč obyčajný (</w:t>
      </w:r>
      <w:r w:rsidR="00C418F4" w:rsidRPr="00C418F4">
        <w:rPr>
          <w:bCs/>
          <w:i/>
          <w:color w:val="000000"/>
        </w:rPr>
        <w:t>Lucanus cervus</w:t>
      </w:r>
      <w:r w:rsidR="00C418F4" w:rsidRPr="00C418F4">
        <w:rPr>
          <w:bCs/>
          <w:color w:val="000000"/>
        </w:rPr>
        <w:t>) a b</w:t>
      </w:r>
      <w:r w:rsidR="00C418F4">
        <w:rPr>
          <w:bCs/>
          <w:color w:val="000000"/>
        </w:rPr>
        <w:t xml:space="preserve">iotopov druhov národného významu - </w:t>
      </w:r>
      <w:r w:rsidR="00C418F4" w:rsidRPr="00C418F4">
        <w:rPr>
          <w:bCs/>
          <w:color w:val="000000"/>
        </w:rPr>
        <w:t>alkana farbiarska (</w:t>
      </w:r>
      <w:r w:rsidR="00C418F4" w:rsidRPr="00C418F4">
        <w:rPr>
          <w:bCs/>
          <w:i/>
          <w:color w:val="000000"/>
        </w:rPr>
        <w:t>Alkanna tinctoria</w:t>
      </w:r>
      <w:r w:rsidR="00C418F4" w:rsidRPr="00C418F4">
        <w:rPr>
          <w:bCs/>
          <w:color w:val="000000"/>
        </w:rPr>
        <w:t>), chvojník dvojklasý (</w:t>
      </w:r>
      <w:r w:rsidR="00C418F4" w:rsidRPr="00C418F4">
        <w:rPr>
          <w:bCs/>
          <w:i/>
          <w:color w:val="000000"/>
        </w:rPr>
        <w:t>Ephedra distachya</w:t>
      </w:r>
      <w:r w:rsidR="00C418F4" w:rsidRPr="00C418F4">
        <w:rPr>
          <w:bCs/>
          <w:color w:val="000000"/>
        </w:rPr>
        <w:t>), kurička sivastá (</w:t>
      </w:r>
      <w:r w:rsidR="00C418F4" w:rsidRPr="00C418F4">
        <w:rPr>
          <w:bCs/>
          <w:i/>
          <w:color w:val="000000"/>
        </w:rPr>
        <w:t>Minuartia glaucina</w:t>
      </w:r>
      <w:r w:rsidR="00C418F4" w:rsidRPr="00C418F4">
        <w:rPr>
          <w:bCs/>
          <w:color w:val="000000"/>
        </w:rPr>
        <w:t xml:space="preserve">), stavikrv </w:t>
      </w:r>
      <w:r w:rsidR="00C418F4" w:rsidRPr="00C418F4">
        <w:rPr>
          <w:bCs/>
          <w:color w:val="000000"/>
        </w:rPr>
        <w:lastRenderedPageBreak/>
        <w:t>piesočnatý (</w:t>
      </w:r>
      <w:r w:rsidR="00C418F4" w:rsidRPr="00C418F4">
        <w:rPr>
          <w:bCs/>
          <w:i/>
          <w:color w:val="000000"/>
        </w:rPr>
        <w:t>Polygonum arenarium</w:t>
      </w:r>
      <w:r w:rsidR="00C418F4" w:rsidRPr="00C418F4">
        <w:rPr>
          <w:bCs/>
          <w:color w:val="000000"/>
        </w:rPr>
        <w:t>), silenka dneperská (</w:t>
      </w:r>
      <w:r w:rsidR="00C418F4" w:rsidRPr="00C418F4">
        <w:rPr>
          <w:bCs/>
          <w:i/>
          <w:color w:val="000000"/>
        </w:rPr>
        <w:t>Silene borysthenica</w:t>
      </w:r>
      <w:r w:rsidR="00C418F4" w:rsidRPr="00C418F4">
        <w:rPr>
          <w:bCs/>
          <w:color w:val="000000"/>
        </w:rPr>
        <w:t>)</w:t>
      </w:r>
      <w:r w:rsidR="00C418F4">
        <w:rPr>
          <w:bCs/>
          <w:color w:val="000000"/>
        </w:rPr>
        <w:t xml:space="preserve">. </w:t>
      </w:r>
      <w:r w:rsidR="00C418F4">
        <w:rPr>
          <w:rStyle w:val="Textzstupnhosymbolu"/>
          <w:color w:val="000000"/>
        </w:rPr>
        <w:t>B</w:t>
      </w:r>
      <w:r w:rsidR="00945091">
        <w:rPr>
          <w:rStyle w:val="Textzstupnhosymbolu"/>
          <w:color w:val="000000"/>
        </w:rPr>
        <w:t>iotop</w:t>
      </w:r>
      <w:r w:rsidR="00C418F4">
        <w:rPr>
          <w:rStyle w:val="Textzstupnhosymbolu"/>
          <w:color w:val="000000"/>
        </w:rPr>
        <w:t>y</w:t>
      </w:r>
      <w:r w:rsidR="00945091">
        <w:rPr>
          <w:rStyle w:val="Textzstupnhosymbolu"/>
          <w:color w:val="000000"/>
        </w:rPr>
        <w:t xml:space="preserve"> európskeho významu </w:t>
      </w:r>
      <w:r w:rsidR="00C418F4">
        <w:rPr>
          <w:rStyle w:val="Textzstupnhosymbolu"/>
          <w:color w:val="000000"/>
        </w:rPr>
        <w:t>sú</w:t>
      </w:r>
      <w:r w:rsidR="00945091">
        <w:rPr>
          <w:rStyle w:val="Textzstupnhosymbolu"/>
          <w:color w:val="000000"/>
        </w:rPr>
        <w:t xml:space="preserve"> označený</w:t>
      </w:r>
      <w:r w:rsidRPr="00A01BA9">
        <w:rPr>
          <w:rStyle w:val="Textzstupnhosymbolu"/>
          <w:color w:val="000000"/>
        </w:rPr>
        <w:t xml:space="preserve"> v súlade s prílohou č. 1 časť B vyhlášky Ministerstva životného prostredia Slovenskej republiky č. 24/2003 Z. z., ktorou sa vykonáva zákon č. 543/2002 Z. z. o ochrane prírody a krajiny v znení neskorších predpisov. </w:t>
      </w:r>
      <w:r w:rsidR="0074501C" w:rsidRPr="0074501C">
        <w:rPr>
          <w:rStyle w:val="Textzstupnhosymbolu"/>
          <w:color w:val="000000"/>
        </w:rPr>
        <w:t>Druhy, ktorých biotopy sú predmetom ochrany územia, sú zaradené do prílohy č. 4 vyhlášky Ministerstva životného prostredia Slovenskej republiky č. 24/2003 Z. z. ktorou sa vykonáva zákon č. 543/2002 Z. z. o ochrane prírody a krajiny v znení neskorších predpisov.</w:t>
      </w:r>
      <w:r w:rsidR="0074501C">
        <w:rPr>
          <w:rStyle w:val="Textzstupnhosymbolu"/>
          <w:color w:val="000000"/>
        </w:rPr>
        <w:t xml:space="preserve"> </w:t>
      </w:r>
    </w:p>
    <w:p w:rsidR="00324160" w:rsidRDefault="00324160" w:rsidP="007C4F86">
      <w:pPr>
        <w:widowControl/>
        <w:spacing w:line="276" w:lineRule="auto"/>
        <w:jc w:val="both"/>
        <w:rPr>
          <w:rStyle w:val="Textzstupnhosymbolu"/>
          <w:b/>
          <w:color w:val="000000"/>
        </w:rPr>
      </w:pPr>
      <w:r w:rsidRPr="000E2E22">
        <w:rPr>
          <w:rStyle w:val="Textzstupnhosymbolu"/>
          <w:b/>
          <w:color w:val="000000"/>
        </w:rPr>
        <w:t>K § 3</w:t>
      </w:r>
    </w:p>
    <w:p w:rsidR="00A01BA9" w:rsidRPr="000E2E22" w:rsidRDefault="00A01BA9" w:rsidP="007C4F86">
      <w:pPr>
        <w:widowControl/>
        <w:spacing w:line="276" w:lineRule="auto"/>
        <w:jc w:val="both"/>
        <w:rPr>
          <w:rStyle w:val="Textzstupnhosymbolu"/>
          <w:color w:val="000000"/>
        </w:rPr>
      </w:pPr>
    </w:p>
    <w:p w:rsidR="00A01BA9" w:rsidRDefault="00A01BA9" w:rsidP="007C4F86">
      <w:pPr>
        <w:widowControl/>
        <w:spacing w:line="276" w:lineRule="auto"/>
        <w:jc w:val="both"/>
        <w:rPr>
          <w:color w:val="000000"/>
        </w:rPr>
      </w:pPr>
      <w:r w:rsidRPr="00DD6292">
        <w:rPr>
          <w:color w:val="000000"/>
        </w:rPr>
        <w:t>Na c</w:t>
      </w:r>
      <w:r>
        <w:rPr>
          <w:color w:val="000000"/>
        </w:rPr>
        <w:t xml:space="preserve">elom území navrhovaného CHA </w:t>
      </w:r>
      <w:r w:rsidR="0074501C">
        <w:rPr>
          <w:color w:val="000000"/>
        </w:rPr>
        <w:t>Čenkov</w:t>
      </w:r>
      <w:r w:rsidR="0074501C" w:rsidRPr="00DD6292">
        <w:rPr>
          <w:color w:val="000000"/>
        </w:rPr>
        <w:t xml:space="preserve"> </w:t>
      </w:r>
      <w:r w:rsidRPr="00DD6292">
        <w:rPr>
          <w:color w:val="000000"/>
        </w:rPr>
        <w:t xml:space="preserve">platí </w:t>
      </w:r>
      <w:r>
        <w:rPr>
          <w:color w:val="000000"/>
        </w:rPr>
        <w:t>tretí</w:t>
      </w:r>
      <w:r w:rsidRPr="00DD6292">
        <w:rPr>
          <w:color w:val="000000"/>
        </w:rPr>
        <w:t xml:space="preserve"> stupeň ochrany.</w:t>
      </w:r>
    </w:p>
    <w:p w:rsidR="00724CC7" w:rsidRDefault="00724CC7" w:rsidP="007C4F86">
      <w:pPr>
        <w:widowControl/>
        <w:spacing w:line="276" w:lineRule="auto"/>
        <w:jc w:val="both"/>
        <w:rPr>
          <w:color w:val="000000"/>
        </w:rPr>
      </w:pPr>
    </w:p>
    <w:p w:rsidR="00724CC7" w:rsidRPr="00724CC7" w:rsidRDefault="00724CC7" w:rsidP="00724CC7">
      <w:pPr>
        <w:widowControl/>
        <w:spacing w:line="276" w:lineRule="auto"/>
        <w:jc w:val="both"/>
        <w:rPr>
          <w:b/>
          <w:color w:val="000000"/>
        </w:rPr>
      </w:pPr>
      <w:r w:rsidRPr="00724CC7">
        <w:rPr>
          <w:b/>
          <w:color w:val="000000"/>
        </w:rPr>
        <w:t>K § 4</w:t>
      </w:r>
    </w:p>
    <w:p w:rsidR="00724CC7" w:rsidRPr="00724CC7" w:rsidRDefault="00724CC7" w:rsidP="00724CC7">
      <w:pPr>
        <w:widowControl/>
        <w:spacing w:line="276" w:lineRule="auto"/>
        <w:jc w:val="both"/>
        <w:rPr>
          <w:color w:val="000000"/>
        </w:rPr>
      </w:pPr>
      <w:r w:rsidRPr="00724CC7">
        <w:rPr>
          <w:color w:val="000000"/>
        </w:rPr>
        <w:t>Návrhom nariadenia vlády sa zrušuje</w:t>
      </w:r>
      <w:r>
        <w:rPr>
          <w:color w:val="000000"/>
        </w:rPr>
        <w:t xml:space="preserve"> </w:t>
      </w:r>
      <w:r w:rsidRPr="00724CC7">
        <w:rPr>
          <w:color w:val="000000"/>
        </w:rPr>
        <w:t>bod 12 prílohy k vyhláške Ministerstva životného prostre</w:t>
      </w:r>
      <w:r>
        <w:rPr>
          <w:color w:val="000000"/>
        </w:rPr>
        <w:t xml:space="preserve">dia Slovenskej republiky </w:t>
      </w:r>
      <w:r w:rsidRPr="00724CC7">
        <w:rPr>
          <w:color w:val="000000"/>
        </w:rPr>
        <w:t>č. 83/1993 Z. b. o št</w:t>
      </w:r>
      <w:r>
        <w:rPr>
          <w:color w:val="000000"/>
        </w:rPr>
        <w:t xml:space="preserve">átnych prírodných rezerváciách, </w:t>
      </w:r>
      <w:r w:rsidRPr="00724CC7">
        <w:rPr>
          <w:color w:val="000000"/>
        </w:rPr>
        <w:t>body 23 a 24 prílohy č. 1 k vyhláške Ministerstva životného prostredia Slovenskej republiky č. 17/2003  Z. z. ktorou sa ustanovujú národné prírodné rezervácie a uverejňuj</w:t>
      </w:r>
      <w:r>
        <w:rPr>
          <w:color w:val="000000"/>
        </w:rPr>
        <w:t xml:space="preserve">e zoznam prírodných rezervácií a </w:t>
      </w:r>
      <w:r w:rsidRPr="00724CC7">
        <w:rPr>
          <w:color w:val="000000"/>
        </w:rPr>
        <w:t>ustanovenie výnosu Ministerstva kultúry Slovenskej socialis</w:t>
      </w:r>
      <w:r>
        <w:rPr>
          <w:color w:val="000000"/>
        </w:rPr>
        <w:t xml:space="preserve">tickej republiky </w:t>
      </w:r>
      <w:bookmarkStart w:id="2" w:name="_GoBack"/>
      <w:bookmarkEnd w:id="2"/>
      <w:r w:rsidRPr="00724CC7">
        <w:rPr>
          <w:color w:val="000000"/>
        </w:rPr>
        <w:t>č. 1160/1988-32 z 30. júna 1988 o štátnych prírodných rezerváciách (registrovaného v čiastke č. 24/1988 Zb.), ktorým bola vyhlásená prírodná rezervácia Čenkovská lesostep.</w:t>
      </w:r>
    </w:p>
    <w:p w:rsidR="00324160" w:rsidRPr="000E2E22" w:rsidRDefault="00324160" w:rsidP="007C4F86">
      <w:pPr>
        <w:widowControl/>
        <w:spacing w:line="276" w:lineRule="auto"/>
        <w:jc w:val="both"/>
        <w:rPr>
          <w:rStyle w:val="Textzstupnhosymbolu"/>
          <w:color w:val="000000"/>
        </w:rPr>
      </w:pPr>
    </w:p>
    <w:p w:rsidR="00324160" w:rsidRPr="000E2E22" w:rsidRDefault="00324160" w:rsidP="007C4F86">
      <w:pPr>
        <w:widowControl/>
        <w:spacing w:line="276" w:lineRule="auto"/>
        <w:jc w:val="both"/>
        <w:rPr>
          <w:rStyle w:val="Textzstupnhosymbolu"/>
          <w:color w:val="000000"/>
        </w:rPr>
      </w:pPr>
      <w:r w:rsidRPr="000E2E22">
        <w:rPr>
          <w:rStyle w:val="Textzstupnhosymbolu"/>
          <w:b/>
          <w:color w:val="000000"/>
        </w:rPr>
        <w:t xml:space="preserve">K § </w:t>
      </w:r>
      <w:r w:rsidR="00724CC7">
        <w:rPr>
          <w:rStyle w:val="Textzstupnhosymbolu"/>
          <w:b/>
          <w:color w:val="000000"/>
        </w:rPr>
        <w:t>5</w:t>
      </w:r>
      <w:r w:rsidRPr="000E2E22">
        <w:rPr>
          <w:rStyle w:val="Textzstupnhosymbolu"/>
          <w:b/>
          <w:color w:val="000000"/>
        </w:rPr>
        <w:t> </w:t>
      </w:r>
      <w:r w:rsidRPr="000E2E22">
        <w:rPr>
          <w:rStyle w:val="Textzstupnhosymbolu"/>
          <w:color w:val="000000"/>
        </w:rPr>
        <w:t xml:space="preserve">  </w:t>
      </w:r>
    </w:p>
    <w:p w:rsidR="00324160" w:rsidRPr="000E2E22" w:rsidRDefault="00A01BA9" w:rsidP="007C4F86">
      <w:pPr>
        <w:widowControl/>
        <w:spacing w:line="276" w:lineRule="auto"/>
        <w:jc w:val="both"/>
        <w:rPr>
          <w:rStyle w:val="Textzstupnhosymbolu"/>
          <w:color w:val="000000"/>
        </w:rPr>
      </w:pPr>
      <w:r w:rsidRPr="00A01BA9">
        <w:rPr>
          <w:rStyle w:val="Textzstupnhosymbolu"/>
          <w:color w:val="000000"/>
        </w:rPr>
        <w:t xml:space="preserve">Účinnosť nariadenia vlády sa navrhuje od 1. </w:t>
      </w:r>
      <w:r w:rsidR="00B50635">
        <w:rPr>
          <w:rStyle w:val="Textzstupnhosymbolu"/>
          <w:color w:val="000000"/>
        </w:rPr>
        <w:t>marca</w:t>
      </w:r>
      <w:r w:rsidRPr="00A01BA9">
        <w:rPr>
          <w:rStyle w:val="Textzstupnhosymbolu"/>
          <w:color w:val="000000"/>
        </w:rPr>
        <w:t xml:space="preserve"> 2020</w:t>
      </w:r>
      <w:r w:rsidR="00324160" w:rsidRPr="000E2E22">
        <w:rPr>
          <w:rStyle w:val="Textzstupnhosymbolu"/>
          <w:color w:val="000000"/>
        </w:rPr>
        <w:t>.</w:t>
      </w:r>
    </w:p>
    <w:p w:rsidR="00324160" w:rsidRPr="000E2E22" w:rsidRDefault="00324160" w:rsidP="007C4F86">
      <w:pPr>
        <w:widowControl/>
        <w:spacing w:line="276" w:lineRule="auto"/>
        <w:jc w:val="both"/>
        <w:rPr>
          <w:rStyle w:val="Textzstupnhosymbolu"/>
          <w:color w:val="000000"/>
        </w:rPr>
      </w:pPr>
      <w:r w:rsidRPr="000E2E22">
        <w:rPr>
          <w:rStyle w:val="Textzstupnhosymbolu"/>
          <w:color w:val="000000"/>
        </w:rPr>
        <w:t> </w:t>
      </w:r>
    </w:p>
    <w:p w:rsidR="00324160" w:rsidRPr="000E2E22" w:rsidRDefault="00324160" w:rsidP="007C4F86">
      <w:pPr>
        <w:widowControl/>
        <w:spacing w:after="280" w:afterAutospacing="1" w:line="276" w:lineRule="auto"/>
        <w:jc w:val="both"/>
        <w:rPr>
          <w:rStyle w:val="Textzstupnhosymbolu"/>
          <w:color w:val="000000"/>
        </w:rPr>
      </w:pPr>
      <w:r w:rsidRPr="000E2E22">
        <w:rPr>
          <w:rStyle w:val="Textzstupnhosymbolu"/>
          <w:color w:val="000000"/>
        </w:rPr>
        <w:t> </w:t>
      </w:r>
    </w:p>
    <w:p w:rsidR="00C0489E" w:rsidRDefault="00C0489E" w:rsidP="007C4F86">
      <w:pPr>
        <w:widowControl/>
        <w:spacing w:after="280" w:afterAutospacing="1" w:line="276" w:lineRule="auto"/>
        <w:rPr>
          <w:rStyle w:val="Textzstupnhosymbolu"/>
          <w:color w:val="000000"/>
        </w:rPr>
      </w:pPr>
    </w:p>
    <w:p w:rsidR="00B015AC" w:rsidRDefault="00B015AC" w:rsidP="007C4F86">
      <w:pPr>
        <w:widowControl/>
        <w:spacing w:after="280" w:afterAutospacing="1" w:line="276" w:lineRule="auto"/>
        <w:rPr>
          <w:rStyle w:val="Textzstupnhosymbolu"/>
          <w:color w:val="000000"/>
        </w:rPr>
      </w:pPr>
    </w:p>
    <w:sectPr w:rsidR="00B015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AC" w:rsidRDefault="00EF4DAC" w:rsidP="00565619">
      <w:r>
        <w:separator/>
      </w:r>
    </w:p>
  </w:endnote>
  <w:endnote w:type="continuationSeparator" w:id="0">
    <w:p w:rsidR="00EF4DAC" w:rsidRDefault="00EF4DAC" w:rsidP="0056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19" w:rsidRDefault="00565619">
    <w:pPr>
      <w:pStyle w:val="Pta"/>
      <w:jc w:val="center"/>
    </w:pPr>
    <w:r>
      <w:fldChar w:fldCharType="begin"/>
    </w:r>
    <w:r>
      <w:instrText>PAGE   \* MERGEFORMAT</w:instrText>
    </w:r>
    <w:r>
      <w:fldChar w:fldCharType="separate"/>
    </w:r>
    <w:r w:rsidR="00724CC7">
      <w:rPr>
        <w:noProof/>
      </w:rPr>
      <w:t>5</w:t>
    </w:r>
    <w:r>
      <w:fldChar w:fldCharType="end"/>
    </w:r>
  </w:p>
  <w:p w:rsidR="00565619" w:rsidRDefault="005656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AC" w:rsidRDefault="00EF4DAC" w:rsidP="00565619">
      <w:r>
        <w:separator/>
      </w:r>
    </w:p>
  </w:footnote>
  <w:footnote w:type="continuationSeparator" w:id="0">
    <w:p w:rsidR="00EF4DAC" w:rsidRDefault="00EF4DAC" w:rsidP="0056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1D9"/>
    <w:multiLevelType w:val="multilevel"/>
    <w:tmpl w:val="1E26239C"/>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ind w:left="885" w:hanging="52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ind w:left="108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5C265D88"/>
    <w:multiLevelType w:val="multilevel"/>
    <w:tmpl w:val="FB7C73F0"/>
    <w:lvl w:ilvl="0">
      <w:start w:val="1"/>
      <w:numFmt w:val="decimal"/>
      <w:lvlText w:val="%1."/>
      <w:lvlJc w:val="left"/>
      <w:pPr>
        <w:ind w:left="360" w:hanging="360"/>
      </w:pPr>
      <w:rPr>
        <w:rFonts w:cs="Times New Roman" w:hint="default"/>
        <w:i/>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8"/>
    <w:rsid w:val="00060F83"/>
    <w:rsid w:val="00077A45"/>
    <w:rsid w:val="00077CA1"/>
    <w:rsid w:val="00080565"/>
    <w:rsid w:val="000B1D12"/>
    <w:rsid w:val="000F0B38"/>
    <w:rsid w:val="000F4026"/>
    <w:rsid w:val="00132BD0"/>
    <w:rsid w:val="00134C66"/>
    <w:rsid w:val="00154126"/>
    <w:rsid w:val="001601AB"/>
    <w:rsid w:val="00167869"/>
    <w:rsid w:val="001A2C69"/>
    <w:rsid w:val="001F1F57"/>
    <w:rsid w:val="00241A2D"/>
    <w:rsid w:val="00252321"/>
    <w:rsid w:val="002805C7"/>
    <w:rsid w:val="0029535E"/>
    <w:rsid w:val="002B0D7D"/>
    <w:rsid w:val="002C1615"/>
    <w:rsid w:val="002C6A42"/>
    <w:rsid w:val="002D1A11"/>
    <w:rsid w:val="002D6C21"/>
    <w:rsid w:val="002F43FD"/>
    <w:rsid w:val="00320B46"/>
    <w:rsid w:val="00324160"/>
    <w:rsid w:val="00325B87"/>
    <w:rsid w:val="0034601D"/>
    <w:rsid w:val="003660BE"/>
    <w:rsid w:val="00367ECC"/>
    <w:rsid w:val="00370B3E"/>
    <w:rsid w:val="00394D6C"/>
    <w:rsid w:val="003E6B6C"/>
    <w:rsid w:val="003F7A7B"/>
    <w:rsid w:val="00410734"/>
    <w:rsid w:val="00410E47"/>
    <w:rsid w:val="004243FD"/>
    <w:rsid w:val="00435E31"/>
    <w:rsid w:val="00444624"/>
    <w:rsid w:val="004C6A1F"/>
    <w:rsid w:val="004E138C"/>
    <w:rsid w:val="004F4681"/>
    <w:rsid w:val="0051629F"/>
    <w:rsid w:val="00522E80"/>
    <w:rsid w:val="005356EC"/>
    <w:rsid w:val="005635A1"/>
    <w:rsid w:val="00565619"/>
    <w:rsid w:val="005A7259"/>
    <w:rsid w:val="005C3D03"/>
    <w:rsid w:val="005D7641"/>
    <w:rsid w:val="005F0E7E"/>
    <w:rsid w:val="005F7372"/>
    <w:rsid w:val="00602A35"/>
    <w:rsid w:val="0061004A"/>
    <w:rsid w:val="00660D31"/>
    <w:rsid w:val="00665E79"/>
    <w:rsid w:val="00691B9D"/>
    <w:rsid w:val="006D26D2"/>
    <w:rsid w:val="006D70EF"/>
    <w:rsid w:val="006E6DD6"/>
    <w:rsid w:val="006F201A"/>
    <w:rsid w:val="00707C49"/>
    <w:rsid w:val="00724CC7"/>
    <w:rsid w:val="00732892"/>
    <w:rsid w:val="0074501C"/>
    <w:rsid w:val="00747693"/>
    <w:rsid w:val="00756238"/>
    <w:rsid w:val="00760EC4"/>
    <w:rsid w:val="00770D00"/>
    <w:rsid w:val="007860DC"/>
    <w:rsid w:val="007B3E4B"/>
    <w:rsid w:val="007C4489"/>
    <w:rsid w:val="007C4F86"/>
    <w:rsid w:val="007D64A5"/>
    <w:rsid w:val="007F1E63"/>
    <w:rsid w:val="008109E6"/>
    <w:rsid w:val="00811F1E"/>
    <w:rsid w:val="00823F9B"/>
    <w:rsid w:val="0083051F"/>
    <w:rsid w:val="0084640A"/>
    <w:rsid w:val="00864701"/>
    <w:rsid w:val="0086695C"/>
    <w:rsid w:val="00872066"/>
    <w:rsid w:val="00884E8B"/>
    <w:rsid w:val="008B0214"/>
    <w:rsid w:val="008B25A6"/>
    <w:rsid w:val="008B684D"/>
    <w:rsid w:val="00907384"/>
    <w:rsid w:val="00935F8F"/>
    <w:rsid w:val="00945091"/>
    <w:rsid w:val="0095524F"/>
    <w:rsid w:val="00986961"/>
    <w:rsid w:val="00996756"/>
    <w:rsid w:val="009A16FB"/>
    <w:rsid w:val="009D5933"/>
    <w:rsid w:val="00A01BA9"/>
    <w:rsid w:val="00A245C8"/>
    <w:rsid w:val="00A25BEC"/>
    <w:rsid w:val="00A27385"/>
    <w:rsid w:val="00A31985"/>
    <w:rsid w:val="00A31C2B"/>
    <w:rsid w:val="00A57720"/>
    <w:rsid w:val="00A64D2D"/>
    <w:rsid w:val="00A85574"/>
    <w:rsid w:val="00A90341"/>
    <w:rsid w:val="00A93FEF"/>
    <w:rsid w:val="00AE289A"/>
    <w:rsid w:val="00B015AC"/>
    <w:rsid w:val="00B07867"/>
    <w:rsid w:val="00B17986"/>
    <w:rsid w:val="00B3700A"/>
    <w:rsid w:val="00B50635"/>
    <w:rsid w:val="00B90897"/>
    <w:rsid w:val="00BA002D"/>
    <w:rsid w:val="00BA764A"/>
    <w:rsid w:val="00BC0ACB"/>
    <w:rsid w:val="00BE032B"/>
    <w:rsid w:val="00BE3C11"/>
    <w:rsid w:val="00BE782E"/>
    <w:rsid w:val="00C02C0E"/>
    <w:rsid w:val="00C0489E"/>
    <w:rsid w:val="00C418F4"/>
    <w:rsid w:val="00C51B2D"/>
    <w:rsid w:val="00C65B7A"/>
    <w:rsid w:val="00C76E48"/>
    <w:rsid w:val="00C9121F"/>
    <w:rsid w:val="00CA4C32"/>
    <w:rsid w:val="00CC4D55"/>
    <w:rsid w:val="00D27FA2"/>
    <w:rsid w:val="00D67E57"/>
    <w:rsid w:val="00D803F6"/>
    <w:rsid w:val="00D91B2F"/>
    <w:rsid w:val="00E75147"/>
    <w:rsid w:val="00E81743"/>
    <w:rsid w:val="00ED6861"/>
    <w:rsid w:val="00EF4DAC"/>
    <w:rsid w:val="00F020D4"/>
    <w:rsid w:val="00F02166"/>
    <w:rsid w:val="00F55E90"/>
    <w:rsid w:val="00F9333F"/>
    <w:rsid w:val="00FA12A3"/>
    <w:rsid w:val="00FE22A9"/>
    <w:rsid w:val="00FF0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AB6F4"/>
  <w15:chartTrackingRefBased/>
  <w15:docId w15:val="{7BA55234-CE93-480A-9EF9-1244A9F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paragraph" w:styleId="Nadpis1">
    <w:name w:val="heading 1"/>
    <w:aliases w:val="1 uroven"/>
    <w:basedOn w:val="Normlny"/>
    <w:next w:val="Normlny"/>
    <w:link w:val="Nadpis1Char"/>
    <w:uiPriority w:val="9"/>
    <w:qFormat/>
    <w:locked/>
    <w:rsid w:val="005D7641"/>
    <w:pPr>
      <w:keepNext/>
      <w:widowControl/>
      <w:numPr>
        <w:numId w:val="2"/>
      </w:numPr>
      <w:adjustRightInd/>
      <w:spacing w:before="120" w:after="60"/>
      <w:ind w:left="426" w:hanging="426"/>
      <w:jc w:val="both"/>
      <w:outlineLvl w:val="0"/>
    </w:pPr>
    <w:rPr>
      <w:b/>
      <w:bCs/>
      <w:kern w:val="32"/>
      <w:sz w:val="32"/>
      <w:szCs w:val="32"/>
    </w:rPr>
  </w:style>
  <w:style w:type="paragraph" w:styleId="Nadpis2">
    <w:name w:val="heading 2"/>
    <w:aliases w:val="2 uroveň"/>
    <w:basedOn w:val="Normlny"/>
    <w:next w:val="Normlny"/>
    <w:link w:val="Nadpis2Char"/>
    <w:uiPriority w:val="9"/>
    <w:qFormat/>
    <w:locked/>
    <w:rsid w:val="005D7641"/>
    <w:pPr>
      <w:keepNext/>
      <w:widowControl/>
      <w:numPr>
        <w:ilvl w:val="1"/>
        <w:numId w:val="2"/>
      </w:numPr>
      <w:adjustRightInd/>
      <w:spacing w:before="120" w:after="60"/>
      <w:ind w:hanging="601"/>
      <w:jc w:val="both"/>
      <w:outlineLvl w:val="1"/>
    </w:pPr>
    <w:rPr>
      <w:b/>
      <w:bCs/>
      <w:iCs/>
      <w:sz w:val="28"/>
      <w:szCs w:val="28"/>
    </w:rPr>
  </w:style>
  <w:style w:type="paragraph" w:styleId="Nadpis3">
    <w:name w:val="heading 3"/>
    <w:aliases w:val="3 uroven"/>
    <w:basedOn w:val="Normlny"/>
    <w:next w:val="Normlny"/>
    <w:link w:val="Nadpis3Char"/>
    <w:uiPriority w:val="9"/>
    <w:qFormat/>
    <w:locked/>
    <w:rsid w:val="005D7641"/>
    <w:pPr>
      <w:keepNext/>
      <w:widowControl/>
      <w:numPr>
        <w:ilvl w:val="2"/>
        <w:numId w:val="2"/>
      </w:numPr>
      <w:adjustRightInd/>
      <w:spacing w:before="120" w:after="60"/>
      <w:ind w:left="1276" w:hanging="709"/>
      <w:jc w:val="both"/>
      <w:outlineLvl w:val="2"/>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1 uroven Char"/>
    <w:link w:val="Nadpis1"/>
    <w:uiPriority w:val="9"/>
    <w:locked/>
    <w:rsid w:val="005D7641"/>
    <w:rPr>
      <w:rFonts w:ascii="Times New Roman" w:hAnsi="Times New Roman" w:cs="Times New Roman"/>
      <w:b/>
      <w:bCs/>
      <w:kern w:val="32"/>
      <w:sz w:val="32"/>
      <w:szCs w:val="32"/>
      <w:lang w:val="x-none" w:eastAsia="x-none"/>
    </w:rPr>
  </w:style>
  <w:style w:type="character" w:customStyle="1" w:styleId="Nadpis2Char">
    <w:name w:val="Nadpis 2 Char"/>
    <w:aliases w:val="2 uroveň Char"/>
    <w:link w:val="Nadpis2"/>
    <w:uiPriority w:val="9"/>
    <w:locked/>
    <w:rsid w:val="005D7641"/>
    <w:rPr>
      <w:rFonts w:ascii="Times New Roman" w:hAnsi="Times New Roman" w:cs="Times New Roman"/>
      <w:b/>
      <w:bCs/>
      <w:iCs/>
      <w:sz w:val="28"/>
      <w:szCs w:val="28"/>
      <w:lang w:val="x-none" w:eastAsia="x-none"/>
    </w:rPr>
  </w:style>
  <w:style w:type="character" w:customStyle="1" w:styleId="Nadpis3Char">
    <w:name w:val="Nadpis 3 Char"/>
    <w:aliases w:val="3 uroven Char"/>
    <w:link w:val="Nadpis3"/>
    <w:uiPriority w:val="9"/>
    <w:locked/>
    <w:rsid w:val="005D7641"/>
    <w:rPr>
      <w:rFonts w:ascii="Times New Roman" w:hAnsi="Times New Roman" w:cs="Times New Roman"/>
      <w:b/>
      <w:bCs/>
      <w:sz w:val="24"/>
      <w:szCs w:val="24"/>
      <w:lang w:val="x-none" w:eastAsia="x-none"/>
    </w:rPr>
  </w:style>
  <w:style w:type="character" w:customStyle="1" w:styleId="Textzstupnhosymbolu">
    <w:name w:val="Text zástupného symbol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link w:val="Textbubliny"/>
    <w:uiPriority w:val="99"/>
    <w:semiHidden/>
    <w:locked/>
    <w:rsid w:val="008B25A6"/>
    <w:rPr>
      <w:rFonts w:ascii="Tahoma" w:hAnsi="Tahoma" w:cs="Tahoma"/>
      <w:sz w:val="16"/>
      <w:szCs w:val="16"/>
      <w:lang w:val="sk-SK" w:eastAsia="sk-SK"/>
    </w:rPr>
  </w:style>
  <w:style w:type="character" w:styleId="Hypertextovprepojenie">
    <w:name w:val="Hyperlink"/>
    <w:uiPriority w:val="99"/>
    <w:unhideWhenUsed/>
    <w:rsid w:val="00F020D4"/>
    <w:rPr>
      <w:rFonts w:cs="Times New Roman"/>
      <w:color w:val="0000FF"/>
      <w:u w:val="single"/>
    </w:rPr>
  </w:style>
  <w:style w:type="character" w:styleId="Odkaznakomentr">
    <w:name w:val="annotation reference"/>
    <w:uiPriority w:val="99"/>
    <w:unhideWhenUsed/>
    <w:rsid w:val="005D7641"/>
    <w:rPr>
      <w:rFonts w:cs="Times New Roman"/>
      <w:sz w:val="16"/>
    </w:rPr>
  </w:style>
  <w:style w:type="paragraph" w:styleId="Textkomentra">
    <w:name w:val="annotation text"/>
    <w:basedOn w:val="Normlny"/>
    <w:link w:val="TextkomentraChar"/>
    <w:uiPriority w:val="99"/>
    <w:unhideWhenUsed/>
    <w:rsid w:val="005D7641"/>
    <w:pPr>
      <w:widowControl/>
      <w:adjustRightInd/>
      <w:spacing w:before="120" w:after="120"/>
      <w:ind w:firstLine="680"/>
      <w:jc w:val="both"/>
    </w:pPr>
    <w:rPr>
      <w:sz w:val="20"/>
      <w:szCs w:val="20"/>
    </w:rPr>
  </w:style>
  <w:style w:type="character" w:customStyle="1" w:styleId="TextkomentraChar">
    <w:name w:val="Text komentára Char"/>
    <w:link w:val="Textkomentra"/>
    <w:uiPriority w:val="99"/>
    <w:locked/>
    <w:rsid w:val="005D7641"/>
    <w:rPr>
      <w:rFonts w:ascii="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rsid w:val="00077A45"/>
    <w:pPr>
      <w:widowControl w:val="0"/>
      <w:adjustRightInd w:val="0"/>
      <w:spacing w:before="0" w:after="0"/>
      <w:ind w:firstLine="0"/>
      <w:jc w:val="left"/>
    </w:pPr>
    <w:rPr>
      <w:b/>
      <w:bCs/>
    </w:rPr>
  </w:style>
  <w:style w:type="character" w:customStyle="1" w:styleId="PredmetkomentraChar">
    <w:name w:val="Predmet komentára Char"/>
    <w:link w:val="Predmetkomentra"/>
    <w:uiPriority w:val="99"/>
    <w:locked/>
    <w:rsid w:val="00077A45"/>
    <w:rPr>
      <w:rFonts w:ascii="Times New Roman" w:hAnsi="Times New Roman" w:cs="Times New Roman"/>
      <w:b/>
      <w:bCs/>
      <w:sz w:val="20"/>
      <w:szCs w:val="20"/>
      <w:lang w:val="x-none" w:eastAsia="x-none"/>
    </w:rPr>
  </w:style>
  <w:style w:type="paragraph" w:styleId="Hlavika">
    <w:name w:val="header"/>
    <w:basedOn w:val="Normlny"/>
    <w:link w:val="HlavikaChar"/>
    <w:uiPriority w:val="99"/>
    <w:rsid w:val="00565619"/>
    <w:pPr>
      <w:tabs>
        <w:tab w:val="center" w:pos="4536"/>
        <w:tab w:val="right" w:pos="9072"/>
      </w:tabs>
    </w:pPr>
  </w:style>
  <w:style w:type="character" w:customStyle="1" w:styleId="HlavikaChar">
    <w:name w:val="Hlavička Char"/>
    <w:link w:val="Hlavika"/>
    <w:uiPriority w:val="99"/>
    <w:rsid w:val="00565619"/>
    <w:rPr>
      <w:rFonts w:ascii="Times New Roman" w:hAnsi="Times New Roman" w:cs="Times New Roman"/>
      <w:sz w:val="24"/>
      <w:szCs w:val="24"/>
    </w:rPr>
  </w:style>
  <w:style w:type="paragraph" w:styleId="Pta">
    <w:name w:val="footer"/>
    <w:basedOn w:val="Normlny"/>
    <w:link w:val="PtaChar"/>
    <w:uiPriority w:val="99"/>
    <w:rsid w:val="00565619"/>
    <w:pPr>
      <w:tabs>
        <w:tab w:val="center" w:pos="4536"/>
        <w:tab w:val="right" w:pos="9072"/>
      </w:tabs>
    </w:pPr>
  </w:style>
  <w:style w:type="character" w:customStyle="1" w:styleId="PtaChar">
    <w:name w:val="Päta Char"/>
    <w:link w:val="Pta"/>
    <w:uiPriority w:val="99"/>
    <w:rsid w:val="00565619"/>
    <w:rPr>
      <w:rFonts w:ascii="Times New Roman" w:hAnsi="Times New Roman" w:cs="Times New Roman"/>
      <w:sz w:val="24"/>
      <w:szCs w:val="24"/>
    </w:rPr>
  </w:style>
  <w:style w:type="paragraph" w:styleId="Textpoznmkypodiarou">
    <w:name w:val="footnote text"/>
    <w:basedOn w:val="Normlny"/>
    <w:link w:val="TextpoznmkypodiarouChar"/>
    <w:uiPriority w:val="99"/>
    <w:rsid w:val="00E81743"/>
    <w:rPr>
      <w:sz w:val="20"/>
      <w:szCs w:val="20"/>
    </w:rPr>
  </w:style>
  <w:style w:type="character" w:customStyle="1" w:styleId="TextpoznmkypodiarouChar">
    <w:name w:val="Text poznámky pod čiarou Char"/>
    <w:link w:val="Textpoznmkypodiarou"/>
    <w:uiPriority w:val="99"/>
    <w:rsid w:val="00E81743"/>
    <w:rPr>
      <w:rFonts w:ascii="Times New Roman" w:hAnsi="Times New Roman" w:cs="Times New Roman"/>
    </w:rPr>
  </w:style>
  <w:style w:type="character" w:styleId="Odkaznapoznmkupodiarou">
    <w:name w:val="footnote reference"/>
    <w:uiPriority w:val="99"/>
    <w:rsid w:val="00E81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5530">
      <w:bodyDiv w:val="1"/>
      <w:marLeft w:val="0"/>
      <w:marRight w:val="0"/>
      <w:marTop w:val="0"/>
      <w:marBottom w:val="0"/>
      <w:divBdr>
        <w:top w:val="none" w:sz="0" w:space="0" w:color="auto"/>
        <w:left w:val="none" w:sz="0" w:space="0" w:color="auto"/>
        <w:bottom w:val="none" w:sz="0" w:space="0" w:color="auto"/>
        <w:right w:val="none" w:sz="0" w:space="0" w:color="auto"/>
      </w:divBdr>
    </w:div>
    <w:div w:id="1059206007">
      <w:marLeft w:val="0"/>
      <w:marRight w:val="0"/>
      <w:marTop w:val="0"/>
      <w:marBottom w:val="0"/>
      <w:divBdr>
        <w:top w:val="none" w:sz="0" w:space="0" w:color="auto"/>
        <w:left w:val="none" w:sz="0" w:space="0" w:color="auto"/>
        <w:bottom w:val="none" w:sz="0" w:space="0" w:color="auto"/>
        <w:right w:val="none" w:sz="0" w:space="0" w:color="auto"/>
      </w:divBdr>
      <w:divsChild>
        <w:div w:id="1059206005">
          <w:marLeft w:val="0"/>
          <w:marRight w:val="0"/>
          <w:marTop w:val="0"/>
          <w:marBottom w:val="0"/>
          <w:divBdr>
            <w:top w:val="none" w:sz="0" w:space="0" w:color="auto"/>
            <w:left w:val="none" w:sz="0" w:space="0" w:color="auto"/>
            <w:bottom w:val="none" w:sz="0" w:space="0" w:color="auto"/>
            <w:right w:val="none" w:sz="0" w:space="0" w:color="auto"/>
          </w:divBdr>
        </w:div>
      </w:divsChild>
    </w:div>
    <w:div w:id="1059206009">
      <w:marLeft w:val="0"/>
      <w:marRight w:val="0"/>
      <w:marTop w:val="0"/>
      <w:marBottom w:val="0"/>
      <w:divBdr>
        <w:top w:val="none" w:sz="0" w:space="0" w:color="auto"/>
        <w:left w:val="none" w:sz="0" w:space="0" w:color="auto"/>
        <w:bottom w:val="none" w:sz="0" w:space="0" w:color="auto"/>
        <w:right w:val="none" w:sz="0" w:space="0" w:color="auto"/>
      </w:divBdr>
      <w:divsChild>
        <w:div w:id="1059206006">
          <w:marLeft w:val="0"/>
          <w:marRight w:val="0"/>
          <w:marTop w:val="0"/>
          <w:marBottom w:val="0"/>
          <w:divBdr>
            <w:top w:val="none" w:sz="0" w:space="0" w:color="auto"/>
            <w:left w:val="none" w:sz="0" w:space="0" w:color="auto"/>
            <w:bottom w:val="none" w:sz="0" w:space="0" w:color="auto"/>
            <w:right w:val="none" w:sz="0" w:space="0" w:color="auto"/>
          </w:divBdr>
          <w:divsChild>
            <w:div w:id="1059206003">
              <w:marLeft w:val="0"/>
              <w:marRight w:val="0"/>
              <w:marTop w:val="0"/>
              <w:marBottom w:val="0"/>
              <w:divBdr>
                <w:top w:val="none" w:sz="0" w:space="0" w:color="auto"/>
                <w:left w:val="none" w:sz="0" w:space="0" w:color="auto"/>
                <w:bottom w:val="none" w:sz="0" w:space="0" w:color="auto"/>
                <w:right w:val="none" w:sz="0" w:space="0" w:color="auto"/>
              </w:divBdr>
            </w:div>
            <w:div w:id="1059206012">
              <w:marLeft w:val="0"/>
              <w:marRight w:val="0"/>
              <w:marTop w:val="0"/>
              <w:marBottom w:val="0"/>
              <w:divBdr>
                <w:top w:val="none" w:sz="0" w:space="0" w:color="auto"/>
                <w:left w:val="none" w:sz="0" w:space="0" w:color="auto"/>
                <w:bottom w:val="none" w:sz="0" w:space="0" w:color="auto"/>
                <w:right w:val="none" w:sz="0" w:space="0" w:color="auto"/>
              </w:divBdr>
            </w:div>
          </w:divsChild>
        </w:div>
        <w:div w:id="1059206008">
          <w:marLeft w:val="0"/>
          <w:marRight w:val="0"/>
          <w:marTop w:val="0"/>
          <w:marBottom w:val="0"/>
          <w:divBdr>
            <w:top w:val="none" w:sz="0" w:space="0" w:color="auto"/>
            <w:left w:val="none" w:sz="0" w:space="0" w:color="auto"/>
            <w:bottom w:val="none" w:sz="0" w:space="0" w:color="auto"/>
            <w:right w:val="none" w:sz="0" w:space="0" w:color="auto"/>
          </w:divBdr>
          <w:divsChild>
            <w:div w:id="1059206004">
              <w:marLeft w:val="0"/>
              <w:marRight w:val="0"/>
              <w:marTop w:val="0"/>
              <w:marBottom w:val="0"/>
              <w:divBdr>
                <w:top w:val="none" w:sz="0" w:space="0" w:color="auto"/>
                <w:left w:val="none" w:sz="0" w:space="0" w:color="auto"/>
                <w:bottom w:val="none" w:sz="0" w:space="0" w:color="auto"/>
                <w:right w:val="none" w:sz="0" w:space="0" w:color="auto"/>
              </w:divBdr>
            </w:div>
            <w:div w:id="1059206010">
              <w:marLeft w:val="0"/>
              <w:marRight w:val="0"/>
              <w:marTop w:val="0"/>
              <w:marBottom w:val="0"/>
              <w:divBdr>
                <w:top w:val="none" w:sz="0" w:space="0" w:color="auto"/>
                <w:left w:val="none" w:sz="0" w:space="0" w:color="auto"/>
                <w:bottom w:val="none" w:sz="0" w:space="0" w:color="auto"/>
                <w:right w:val="none" w:sz="0" w:space="0" w:color="auto"/>
              </w:divBdr>
            </w:div>
          </w:divsChild>
        </w:div>
        <w:div w:id="1059206011">
          <w:marLeft w:val="0"/>
          <w:marRight w:val="0"/>
          <w:marTop w:val="0"/>
          <w:marBottom w:val="0"/>
          <w:divBdr>
            <w:top w:val="none" w:sz="0" w:space="0" w:color="auto"/>
            <w:left w:val="none" w:sz="0" w:space="0" w:color="auto"/>
            <w:bottom w:val="none" w:sz="0" w:space="0" w:color="auto"/>
            <w:right w:val="none" w:sz="0" w:space="0" w:color="auto"/>
          </w:divBdr>
        </w:div>
      </w:divsChild>
    </w:div>
    <w:div w:id="18542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áva_Mostová"/>
    <f:field ref="objsubject" par="" edit="true" text=""/>
    <f:field ref="objcreatedby" par="" text="Lojková, Silvia, JUDr."/>
    <f:field ref="objcreatedat" par="" text="10.4.2019 11:29:08"/>
    <f:field ref="objchangedby" par="" text="Administrator, System"/>
    <f:field ref="objmodifiedat" par="" text="10.4.2019 11:29: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4C65A0-1393-42C6-9B7B-CE0D8EE9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Lojková Silvia</cp:lastModifiedBy>
  <cp:revision>2</cp:revision>
  <cp:lastPrinted>2020-01-13T12:25:00Z</cp:lastPrinted>
  <dcterms:created xsi:type="dcterms:W3CDTF">2020-02-04T16:15:00Z</dcterms:created>
  <dcterms:modified xsi:type="dcterms:W3CDTF">2020-02-04T16:15:00Z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Mostová bol Okresným úradom Nitra oznámený dotknutým subjektom v&amp;nbsp;zmysle § 50 zákona č. 543/2002 Z. z. o&amp;nbsp;ochrane prírody a&amp;nbsp;krajiny v&amp;nbsp;znení neskorších predpisov. Obce o&amp;nbsp;z</vt:lpwstr>
  </property>
  <property fmtid="{D5CDD505-2E9C-101B-9397-08002B2CF9AE}" pid="3" name="FSC#SKEDITIONSLOVLEX@103.510:typpredpis">
    <vt:lpwstr>Nariadenie vlády Slovenskej republiky</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vyhlasuje chránený areál Mostová</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27 ods. 9 zákona č. 543/2002 Z. z. o ochrane prírody a krajiny v znení neskorších predpisov </vt:lpwstr>
  </property>
  <property fmtid="{D5CDD505-2E9C-101B-9397-08002B2CF9AE}" pid="23" name="FSC#SKEDITIONSLOVLEX@103.510:plnynazovpredpis">
    <vt:lpwstr> Nariadenie vlády  Slovenskej republiky, ktorým sa vyhlasuje chránený areál Mostová</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6864/2019 – 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napr. C-67/99, C-71/99, C-220/99</vt:lpwstr>
  </property>
  <property fmtid="{D5CDD505-2E9C-101B-9397-08002B2CF9AE}" pid="52" name="FSC#SKEDITIONSLOVLEX@103.510:AttrStrListDocPropLehotaPrebratieSmernice">
    <vt:lpwstr>15. január 2014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EU Pilot 8936 (2016) ENV, ktorý sa týka nedostatočného vyhlasovania lokalít európskeho významu a schvaľovania programov starostlivosti </vt:lpwstr>
  </property>
  <property fmtid="{D5CDD505-2E9C-101B-9397-08002B2CF9AE}" pid="55" name="FSC#SKEDITIONSLOVLEX@103.510:AttrStrListDocPropInfoUzPreberanePP">
    <vt:lpwstr>Smernica Rady 92/43/EHS z 21. mája 1992 o ochrane prirodzených biotopov a voľne žijúcich živočíchov a rastlín je prebratá _x000d_
- zákonom č. 543/2002 Z. z. o ochrane prírody a krajiny v znení neskorších predpisov,_x000d_
- vyhláškou Ministerstva životného prostredi</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8. 3. 2019</vt:lpwstr>
  </property>
  <property fmtid="{D5CDD505-2E9C-101B-9397-08002B2CF9AE}" pid="59" name="FSC#SKEDITIONSLOVLEX@103.510:AttrDateDocPropUkonceniePKK">
    <vt:lpwstr>20. 3. 2019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MŽP SR č. 3/2004-5.1 zo 14. júla 2004, ktorým sa vyd</vt:lpwstr>
  </property>
  <property fmtid="{D5CDD505-2E9C-101B-9397-08002B2CF9AE}" pid="66" name="FSC#SKEDITIONSLOVLEX@103.510:AttrStrListDocPropAltRiesenia">
    <vt:lpwstr>Alternatívne riešenie sa týka celkovo vyhlásenia/nevyhlásenia chráneného areálu Mostová.Vyhlásenie chráneného areálu (CHA) Mostová vyplýva z § 27 ods. 9 zákona, podľa ktorého vyhlási vláda územie európskeho významu schválené Európskou komisiou za chránené</vt:lpwstr>
  </property>
  <property fmtid="{D5CDD505-2E9C-101B-9397-08002B2CF9AE}" pid="67" name="FSC#SKEDITIONSLOVLEX@103.510:AttrStrListDocPropStanoviskoGest">
    <vt:lpwstr>&lt;p style="text-align: justify;"&gt;Komisia v&amp;nbsp;stanovisku č. 044/2019 zo dňa 22.03.2019 uplatnila k&amp;nbsp;materiálu nasledovné pripomienky:&lt;/p&gt;&lt;p style="text-align: justify;"&gt;&lt;strong&gt;K&amp;nbsp;vplyvom na podnikateľské prostredie&lt;/strong&gt;&lt;/p&gt;&lt;p style="text-ali</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nariadenia vlády Slovenskej republiky, ktorým sa vyhlasuje chránený areál Mostová (ďalej len „návrh nariadenia vlády“), predkladá Ministerstvo životného prostredia Slovenskej republiky v&amp;nbsp;súlade s ustanovením § 27</vt:lpwstr>
  </property>
  <property fmtid="{D5CDD505-2E9C-101B-9397-08002B2CF9AE}" pid="150" name="FSC#SKEDITIONSLOVLEX@103.510:vytvorenedna">
    <vt:lpwstr>10. 4. 2019</vt:lpwstr>
  </property>
  <property fmtid="{D5CDD505-2E9C-101B-9397-08002B2CF9AE}" pid="151" name="FSC#COOSYSTEM@1.1:Container">
    <vt:lpwstr>COO.2145.1000.3.3298585</vt:lpwstr>
  </property>
  <property fmtid="{D5CDD505-2E9C-101B-9397-08002B2CF9AE}" pid="152" name="FSC#FSCFOLIO@1.1001:docpropproject">
    <vt:lpwstr/>
  </property>
</Properties>
</file>