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18C0DDE3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C12975" w:rsidRPr="0063739A">
              <w:rPr>
                <w:b/>
              </w:rPr>
              <w:t xml:space="preserve">návrhu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60EE2863" w:rsidR="001F0AA3" w:rsidRPr="0063739A" w:rsidRDefault="001F0AA3" w:rsidP="00306DCE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C560A4">
              <w:fldChar w:fldCharType="begin"/>
            </w:r>
            <w:r w:rsidR="00C560A4">
              <w:instrText xml:space="preserve"> DOCPROPERTY  FSC#SKEDITIONSLOVLEX@103.510:plnynazovpredpis  \* MERGEFORMAT </w:instrText>
            </w:r>
            <w:r w:rsidR="00C560A4">
              <w:fldChar w:fldCharType="separate"/>
            </w:r>
            <w:r w:rsidR="00B0114D" w:rsidRPr="0063739A">
              <w:t xml:space="preserve"> Nariadenie vlády  Slovenskej republiky, ktorým sa vyhlasuje chránený areál</w:t>
            </w:r>
            <w:r w:rsidR="0063739A" w:rsidRPr="0063739A">
              <w:t xml:space="preserve"> </w:t>
            </w:r>
            <w:r w:rsidR="00306DCE">
              <w:t xml:space="preserve">Jurský </w:t>
            </w:r>
            <w:proofErr w:type="spellStart"/>
            <w:r w:rsidR="00306DCE">
              <w:t>chlm</w:t>
            </w:r>
            <w:proofErr w:type="spellEnd"/>
            <w:r w:rsidR="00B0114D" w:rsidRPr="0063739A">
              <w:t xml:space="preserve"> </w:t>
            </w:r>
            <w:r w:rsidR="00C560A4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A0D02F7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 xml:space="preserve">Predmet návrhu </w:t>
            </w:r>
            <w:r w:rsidR="004D6F0F" w:rsidRPr="0063739A">
              <w:rPr>
                <w:b/>
              </w:rPr>
              <w:t>právneho predpisu</w:t>
            </w:r>
            <w:r w:rsidR="004D6F0F" w:rsidRPr="00705BCD">
              <w:rPr>
                <w:b/>
              </w:rPr>
              <w:t xml:space="preserve"> </w:t>
            </w:r>
            <w:r w:rsidRPr="00705BCD">
              <w:rPr>
                <w:b/>
              </w:rPr>
              <w:t>je upravený v práve Európskej únie:</w:t>
            </w:r>
          </w:p>
          <w:p w14:paraId="68F7C348" w14:textId="16EC892C" w:rsidR="003841E0" w:rsidRPr="0063739A" w:rsidRDefault="003841E0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Smernica Rady 92/43/EHS z 21. mája 1992 o ochrane prirodzených biotopov a voľne žijúcich živočíchov a rastlín (Mimoriadne vydanie Ú. v. EÚ, kapitola 15/zv.002; Ú. v. EÚ L 206, 22.7.1992) v platnom znení 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D88B54F" w14:textId="0B0C2BFC" w:rsidR="00705BCD" w:rsidRDefault="00C560A4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Vykonávacie r</w:t>
            </w:r>
            <w:r w:rsidR="00705BCD">
              <w:t xml:space="preserve">ozhodnutie Komisie </w:t>
            </w:r>
            <w:r>
              <w:t>(EÚ) 2019</w:t>
            </w:r>
            <w:r w:rsidR="00705BCD">
              <w:t>/</w:t>
            </w:r>
            <w:r>
              <w:t>16</w:t>
            </w:r>
            <w:r w:rsidR="00705BCD">
              <w:t xml:space="preserve">  z</w:t>
            </w:r>
            <w:r>
              <w:t>o</w:t>
            </w:r>
            <w:r w:rsidR="00705BCD">
              <w:t xml:space="preserve"> 1</w:t>
            </w:r>
            <w:r>
              <w:t>4</w:t>
            </w:r>
            <w:r w:rsidR="00705BCD">
              <w:t xml:space="preserve">. </w:t>
            </w:r>
            <w:r>
              <w:t>decembra 2018</w:t>
            </w:r>
            <w:r w:rsidR="00705BCD">
              <w:t xml:space="preserve">, ktorým sa </w:t>
            </w:r>
            <w:r>
              <w:t xml:space="preserve">prijíma desiata aktualizácia zoznamu lokalít s európskym významom v panónskom biogeografickom regióne </w:t>
            </w:r>
          </w:p>
          <w:p w14:paraId="1411D2B4" w14:textId="1710C2CC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10E820A7" w14:textId="5644CC5D" w:rsidR="0023485C" w:rsidRPr="0063739A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nie je obsiahnutá v judikatúre Súdneho dvora Európskej únie</w:t>
            </w: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528"/>
      </w:tblGrid>
      <w:tr w:rsidR="000D0799" w:rsidRPr="0063739A" w14:paraId="06EBC34E" w14:textId="77777777">
        <w:trPr>
          <w:divId w:val="106961708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06D92872" w:rsidR="000D0799" w:rsidRPr="0063739A" w:rsidRDefault="00705BCD">
            <w:pPr>
              <w:spacing w:after="250"/>
              <w:jc w:val="both"/>
            </w:pPr>
            <w:r>
              <w:t xml:space="preserve">            15. január 2014</w:t>
            </w:r>
          </w:p>
        </w:tc>
      </w:tr>
      <w:tr w:rsidR="000D0799" w:rsidRPr="0063739A" w14:paraId="5E1D111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51AEB3EB" w14:textId="77777777" w:rsidR="00705BCD" w:rsidRDefault="00705BCD" w:rsidP="00705BCD">
            <w:pPr>
              <w:ind w:left="709" w:hanging="3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674648">
              <w:t>EU Pilot 8936 (2016) ENV, ktor</w:t>
            </w:r>
            <w:r>
              <w:t>ý</w:t>
            </w:r>
            <w:r w:rsidRPr="00674648">
              <w:t xml:space="preserve"> sa týka nedostatočného vyhlasovania lokalít európskeho významu </w:t>
            </w:r>
            <w:r>
              <w:t>a schvaľovania programov starostlivosti</w:t>
            </w:r>
            <w:r w:rsidDel="00124560">
              <w:rPr>
                <w:color w:val="000000"/>
              </w:rPr>
              <w:t xml:space="preserve"> </w:t>
            </w:r>
          </w:p>
          <w:p w14:paraId="45CDAFCB" w14:textId="6C3D468C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3078B0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77777777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38C4790B" w14:textId="2562C20B" w:rsidR="004D6F0F" w:rsidRDefault="004D6F0F" w:rsidP="00E22FB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je prebratá </w:t>
            </w:r>
            <w:bookmarkStart w:id="0" w:name="_GoBack"/>
            <w:bookmarkEnd w:id="0"/>
          </w:p>
          <w:p w14:paraId="6464761B" w14:textId="7777777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B6531C0" w14:textId="479DC58F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</w:t>
            </w:r>
            <w:r w:rsidR="00E22FBD">
              <w:t xml:space="preserve"> </w:t>
            </w:r>
            <w:r>
              <w:t>z. o ochrane prírody a krajiny v znení neskorších predpisov.</w:t>
            </w: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>
        <w:trPr>
          <w:gridAfter w:val="2"/>
          <w:divId w:val="1069617088"/>
          <w:wAfter w:w="475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E22FBD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1AC9B7D2" w:rsidR="004D6F0F" w:rsidRPr="0063739A" w:rsidRDefault="004D6F0F" w:rsidP="004D6F0F">
            <w:pPr>
              <w:spacing w:after="250"/>
              <w:jc w:val="both"/>
            </w:pP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0D0799"/>
    <w:rsid w:val="00117A7E"/>
    <w:rsid w:val="001D60ED"/>
    <w:rsid w:val="001D7EF2"/>
    <w:rsid w:val="001F0AA3"/>
    <w:rsid w:val="0020025E"/>
    <w:rsid w:val="0023485C"/>
    <w:rsid w:val="002B14DD"/>
    <w:rsid w:val="002E6AC0"/>
    <w:rsid w:val="00306DCE"/>
    <w:rsid w:val="003633AD"/>
    <w:rsid w:val="003841E0"/>
    <w:rsid w:val="003D0DA4"/>
    <w:rsid w:val="00482868"/>
    <w:rsid w:val="004A3CCB"/>
    <w:rsid w:val="004B1E6E"/>
    <w:rsid w:val="004D6F0F"/>
    <w:rsid w:val="004E7F23"/>
    <w:rsid w:val="00522B86"/>
    <w:rsid w:val="00596545"/>
    <w:rsid w:val="00632C56"/>
    <w:rsid w:val="0063739A"/>
    <w:rsid w:val="006C0FA0"/>
    <w:rsid w:val="006E1D9C"/>
    <w:rsid w:val="006F3E6F"/>
    <w:rsid w:val="00705BCD"/>
    <w:rsid w:val="007131D5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471D6"/>
    <w:rsid w:val="00B0114D"/>
    <w:rsid w:val="00B128CD"/>
    <w:rsid w:val="00B326AA"/>
    <w:rsid w:val="00C12975"/>
    <w:rsid w:val="00C560A4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17333"/>
    <w:rsid w:val="00E22FBD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9E2466-02BA-4193-91D6-C25B15FA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3</cp:revision>
  <cp:lastPrinted>2019-04-09T13:15:00Z</cp:lastPrinted>
  <dcterms:created xsi:type="dcterms:W3CDTF">2019-04-05T12:51:00Z</dcterms:created>
  <dcterms:modified xsi:type="dcterms:W3CDTF">2019-04-09T13:15:00Z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