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874BD5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1052B6" w:rsidRPr="00874BD5" w:rsidRDefault="001052B6" w:rsidP="001052B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4BD5" w:rsidRDefault="00874BD5" w:rsidP="001052B6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1052B6" w:rsidRPr="00874BD5" w:rsidRDefault="001052B6" w:rsidP="001052B6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1C6DFA" w:rsidRPr="00874BD5" w:rsidRDefault="00900892" w:rsidP="001C6DFA">
      <w:pPr>
        <w:pStyle w:val="Normlnywebov"/>
        <w:ind w:firstLine="720"/>
        <w:jc w:val="both"/>
      </w:pPr>
      <w:r w:rsidRPr="00874BD5">
        <w:t xml:space="preserve"> </w:t>
      </w:r>
      <w:r w:rsidR="00E51233" w:rsidRPr="00874BD5">
        <w:t xml:space="preserve">Návrhom nariadenia vlády Slovenskej republiky, ktorým sa mení a dopĺňa nariadenie vlády Slovenskej republiky č. 355/2006 Z. z. o ochrane zamestnancov pred rizikami súvisiacimi s expozíciou chemickým faktorom pri práci v znení neskorších predpisov sa do právneho poriadku Slovenskej republiky preberá smernica  Komisie  (EÚ) </w:t>
      </w:r>
      <w:r w:rsidR="001C6DFA" w:rsidRPr="00874BD5">
        <w:t>2019/1831 z 24. októbra 2019, ktorou sa stanovuje piaty zoznam smerných najvyšších prípustných hodnôt vystavenia pri práci podľa smernice Rady 98/24/ES a ktorou sa mení smernica Komisie 2000/39/ES (ďalej „smernica Komisie (EÚ) 2019/1831“).</w:t>
      </w:r>
    </w:p>
    <w:p w:rsidR="008B764B" w:rsidRPr="00874BD5" w:rsidRDefault="00030B53" w:rsidP="001C6DFA">
      <w:pPr>
        <w:tabs>
          <w:tab w:val="left" w:pos="709"/>
        </w:tabs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ab/>
      </w:r>
      <w:r w:rsidR="002F3AD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V súlade so smernicou 98/24/ES </w:t>
      </w:r>
      <w:r w:rsidR="0025784F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o ochrane zdravia a bezpečnosti pracovníkov pred rizikami súvisiacimi s chemickými faktormi pri práci </w:t>
      </w:r>
      <w:r w:rsidR="002F3AD4" w:rsidRPr="00874BD5">
        <w:rPr>
          <w:rFonts w:ascii="Times New Roman" w:hAnsi="Times New Roman"/>
          <w:strike w:val="0"/>
          <w:color w:val="auto"/>
          <w:sz w:val="24"/>
          <w:szCs w:val="24"/>
        </w:rPr>
        <w:t>bol v smernici Komisie 2000/39/ES ustanovený „prvý“ zoznam najvyššie prípustných hodnôt vystavenia pri práci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v smernici </w:t>
      </w:r>
      <w:r w:rsidR="00F0644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Komisie 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>2006/15/ES „druhý“ zoznam</w:t>
      </w:r>
      <w:r w:rsidR="00E51233" w:rsidRPr="00874BD5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> v</w:t>
      </w:r>
      <w:r w:rsidR="00F0644D" w:rsidRPr="00874BD5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>smernici</w:t>
      </w:r>
      <w:r w:rsidR="00F0644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Komisie 2009/16/EÚ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„tretí“ zoznam</w:t>
      </w:r>
      <w:r w:rsidR="001C6DFA" w:rsidRPr="00874BD5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E5123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 v smernici  Komisie  (EÚ) 2017/164 „štvrtý“ zoznam </w:t>
      </w:r>
      <w:r w:rsidR="001C6DF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 v smernici Komisie (EÚ) 2019/1831 „piaty“ zoznam  </w:t>
      </w:r>
      <w:r w:rsidR="00E51233" w:rsidRPr="00874BD5">
        <w:rPr>
          <w:rFonts w:ascii="Times New Roman" w:hAnsi="Times New Roman"/>
          <w:strike w:val="0"/>
          <w:color w:val="auto"/>
          <w:sz w:val="24"/>
          <w:szCs w:val="24"/>
        </w:rPr>
        <w:t>najvyššie prípustných hodnôt vystavenia pri práci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>Všetky limit</w:t>
      </w:r>
      <w:r w:rsidR="00E51233" w:rsidRPr="00874BD5">
        <w:rPr>
          <w:rFonts w:ascii="Times New Roman" w:hAnsi="Times New Roman"/>
          <w:strike w:val="0"/>
          <w:color w:val="auto"/>
          <w:sz w:val="24"/>
          <w:szCs w:val="24"/>
        </w:rPr>
        <w:t>né hodnoty expozície pri práci</w:t>
      </w:r>
      <w:r w:rsidR="00435E81" w:rsidRPr="00874BD5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záväzné aj indikatívne</w:t>
      </w:r>
      <w:r w:rsidR="00435E8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uvedené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 legislatíve EÚ boli prebraté do národnej l</w:t>
      </w:r>
      <w:r w:rsidR="00435E81" w:rsidRPr="00874BD5">
        <w:rPr>
          <w:rFonts w:ascii="Times New Roman" w:hAnsi="Times New Roman"/>
          <w:strike w:val="0"/>
          <w:color w:val="auto"/>
          <w:sz w:val="24"/>
          <w:szCs w:val="24"/>
        </w:rPr>
        <w:t>egislatívy Slovenskej republiky</w:t>
      </w:r>
      <w:r w:rsidR="008B764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ako záväzné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najvyššie prípustné expozičné limity (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ďalej „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>NPEL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“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>).</w:t>
      </w:r>
    </w:p>
    <w:p w:rsidR="00964F6D" w:rsidRPr="00874BD5" w:rsidRDefault="00972C4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   </w:t>
      </w:r>
      <w:r w:rsidR="00030B53" w:rsidRPr="00874BD5">
        <w:rPr>
          <w:rFonts w:ascii="Times New Roman" w:hAnsi="Times New Roman"/>
          <w:strike w:val="0"/>
          <w:color w:val="auto"/>
          <w:sz w:val="24"/>
          <w:szCs w:val="24"/>
        </w:rPr>
        <w:tab/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Do návrhu nariadenia vlády sa zo smernice </w:t>
      </w:r>
      <w:r w:rsidR="00030B5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Komisie (EÚ) </w:t>
      </w:r>
      <w:r w:rsidR="001C6DF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2019/1831 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transponujú 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>NPEL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desať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chemických </w:t>
      </w:r>
      <w:r w:rsidR="00234ADA" w:rsidRPr="00874BD5">
        <w:rPr>
          <w:rFonts w:ascii="Times New Roman" w:hAnsi="Times New Roman"/>
          <w:strike w:val="0"/>
          <w:color w:val="auto"/>
          <w:sz w:val="24"/>
          <w:szCs w:val="24"/>
        </w:rPr>
        <w:t>faktorov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ktoré boli revidované a odvodené z najnovších </w:t>
      </w:r>
      <w:r w:rsidR="00030B5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dostupných </w:t>
      </w:r>
      <w:r w:rsidR="00964F6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vedeckých údajov s ohľadom na ochranu zdravia a odporúčaných kritérií a metód Vedeckého výboru 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pre najvyššie prípustné hodnoty vystavenia  chemickým faktorom pri práci (SCOEL) zriadeného rozhodnutím Komisie, pričom berú do úvahy dostupnosť meracích techník.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Us</w:t>
      </w:r>
      <w:r w:rsidR="00AF5F5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tanovujú sa ako najvyššie prípustné koncentrácie chemických faktorov v pracovnom ovzduší, pod úrovňou ktorých sa nepredpokladá poškodenie zdravia </w:t>
      </w:r>
      <w:r w:rsidR="00F0644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zamestnancov </w:t>
      </w:r>
      <w:r w:rsidR="00AF5F5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pri krátkodobej alebo dlhodobej 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(každodennej) </w:t>
      </w:r>
      <w:r w:rsidR="00AF5F5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expozícii počas celého </w:t>
      </w:r>
      <w:r w:rsidR="0058746F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trvania </w:t>
      </w:r>
      <w:r w:rsidR="00AF5F5A" w:rsidRPr="00874BD5">
        <w:rPr>
          <w:rFonts w:ascii="Times New Roman" w:hAnsi="Times New Roman"/>
          <w:strike w:val="0"/>
          <w:color w:val="auto"/>
          <w:sz w:val="24"/>
          <w:szCs w:val="24"/>
        </w:rPr>
        <w:t>pracovného života.</w:t>
      </w:r>
    </w:p>
    <w:p w:rsidR="00030B53" w:rsidRPr="00874BD5" w:rsidRDefault="00030B53" w:rsidP="00F407C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ab/>
      </w:r>
    </w:p>
    <w:p w:rsidR="00B20684" w:rsidRPr="00874BD5" w:rsidRDefault="00030B53" w:rsidP="00B20684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Do návrhu nariadenia vlády  sa dopĺňajú </w:t>
      </w:r>
      <w:r w:rsidR="00572772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priemerné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NPEL pre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tri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faktor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 pracovnom ovzduší, ktoré doteraz neboli súčasťou </w:t>
      </w:r>
      <w:r w:rsidR="00FA517C" w:rsidRPr="00874BD5">
        <w:rPr>
          <w:rFonts w:ascii="Times New Roman" w:hAnsi="Times New Roman"/>
          <w:strike w:val="0"/>
          <w:color w:val="auto"/>
          <w:sz w:val="24"/>
          <w:szCs w:val="24"/>
        </w:rPr>
        <w:t>legislatívy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Slovenskej republiky</w:t>
      </w:r>
      <w:r w:rsidR="006E232B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190B0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Zavedenie NPEL pre 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>tieto</w:t>
      </w:r>
      <w:r w:rsidR="00190B0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chemické faktory znamená lepšiu ochranu zdravia zamestnancov zabezpečenú dodržiavaním určených limitov v pracovnom ovzduší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 v</w:t>
      </w:r>
      <w:r w:rsidR="00B20684" w:rsidRPr="00874BD5">
        <w:rPr>
          <w:rStyle w:val="Textzstupnhosymbolu"/>
          <w:strike w:val="0"/>
          <w:color w:val="auto"/>
          <w:sz w:val="24"/>
          <w:szCs w:val="24"/>
        </w:rPr>
        <w:t xml:space="preserve"> súlade s európskym cieľom ochrany zdravia zamestnancov aj zníženie zdravotného rizika zamestnancov pri práci. </w:t>
      </w:r>
    </w:p>
    <w:p w:rsidR="00030B53" w:rsidRPr="00874BD5" w:rsidRDefault="00030B53" w:rsidP="00030B5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02CB5" w:rsidRPr="00874BD5" w:rsidRDefault="00572772" w:rsidP="00FA517C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Návrhom nariadenia vlády sa revidujú priemerné aj krátkodobé NPEL pre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sedem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chemických faktorov, ktoré v súčasnosti už sú súčasťou prílohy č. 1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355/2006 Z. z</w:t>
      </w:r>
      <w:r w:rsidR="00FA517C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o ochrane zamestnancov pred rizikami súvisiacimi s expozíciou chemickým faktorom pri práci v znení neskorších predpisov (ďalej „nariadenie vlády Slovenskej republiky č. 355/2006 Z. z.). 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Šesť </w:t>
      </w:r>
      <w:r w:rsidR="00125A52" w:rsidRPr="00874BD5">
        <w:rPr>
          <w:rFonts w:ascii="Times New Roman" w:hAnsi="Times New Roman"/>
          <w:strike w:val="0"/>
          <w:color w:val="auto"/>
          <w:sz w:val="24"/>
          <w:szCs w:val="24"/>
        </w:rPr>
        <w:t>NPEL z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>o</w:t>
      </w:r>
      <w:r w:rsidR="00190B01" w:rsidRPr="00874BD5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>siedmych</w:t>
      </w:r>
      <w:r w:rsidR="00190B0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revidovaných NPEL má klesajúcu tendenciu, čím je v súlade s európskym cieľom ochrany zdravia zamestnancov zabezpečené zníženie zdravotného rizika zamestnancov pri práci s chemickými faktormi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0E77A9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796E70" w:rsidRPr="00874BD5" w:rsidRDefault="00796E70" w:rsidP="00A41EB9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A41EB9" w:rsidRPr="00874BD5" w:rsidRDefault="00A41EB9" w:rsidP="00A41EB9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  <w:r w:rsidRPr="00874BD5">
        <w:rPr>
          <w:rStyle w:val="Textzstupnhosymbolu"/>
          <w:strike w:val="0"/>
          <w:color w:val="auto"/>
          <w:sz w:val="24"/>
          <w:szCs w:val="24"/>
        </w:rPr>
        <w:t>Dodržanie NPEL nepredpokladá poškodenie zdravia zamestnancov pri krátkodobej ani dlhodobej expozícii p</w:t>
      </w:r>
      <w:r w:rsidR="00B20684" w:rsidRPr="00874BD5">
        <w:rPr>
          <w:rStyle w:val="Textzstupnhosymbolu"/>
          <w:strike w:val="0"/>
          <w:color w:val="auto"/>
          <w:sz w:val="24"/>
          <w:szCs w:val="24"/>
        </w:rPr>
        <w:t>ri práci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. Prekročenie určených NPEL pre konkrétne chemické faktory znamená reálne ohrozenie zdravia exponovaných zamestnancov pri práci; títo zamestnanci vykonávajú rizikovú prácu (práca </w:t>
      </w:r>
      <w:r w:rsidR="00B20684" w:rsidRPr="00874BD5">
        <w:rPr>
          <w:rStyle w:val="Textzstupnhosymbolu"/>
          <w:strike w:val="0"/>
          <w:color w:val="auto"/>
          <w:sz w:val="24"/>
          <w:szCs w:val="24"/>
        </w:rPr>
        <w:t xml:space="preserve">je 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zaradená do kategórie 3 alebo 4), určenú príslušným orgánom verejného zdravotníctva na návrh zamestnávateľa. Pri prekročení určených NPEL je </w:t>
      </w:r>
      <w:r w:rsidRPr="00874BD5">
        <w:rPr>
          <w:rStyle w:val="Textzstupnhosymbolu"/>
          <w:strike w:val="0"/>
          <w:color w:val="auto"/>
          <w:sz w:val="24"/>
          <w:szCs w:val="24"/>
        </w:rPr>
        <w:lastRenderedPageBreak/>
        <w:t>zamestnávateľ povinný z dôvodu ochrany zdravia exponovaných zamestnancov vykonávať účinné ochranné a preventívne opatrenia (technické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 xml:space="preserve"> opatrenia</w:t>
      </w:r>
      <w:r w:rsidRPr="00874BD5">
        <w:rPr>
          <w:rStyle w:val="Textzstupnhosymbolu"/>
          <w:strike w:val="0"/>
          <w:color w:val="auto"/>
          <w:sz w:val="24"/>
          <w:szCs w:val="24"/>
        </w:rPr>
        <w:t>, organizačné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 xml:space="preserve"> opatrenia, používanie účinných </w:t>
      </w:r>
      <w:r w:rsidRPr="00874BD5">
        <w:rPr>
          <w:rStyle w:val="Textzstupnhosymbolu"/>
          <w:strike w:val="0"/>
          <w:color w:val="auto"/>
          <w:sz w:val="24"/>
          <w:szCs w:val="24"/>
        </w:rPr>
        <w:t>osobn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>ých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ochrann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>ých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pracovn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>ých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prostriedk</w:t>
      </w:r>
      <w:r w:rsidR="00796E70" w:rsidRPr="00874BD5">
        <w:rPr>
          <w:rStyle w:val="Textzstupnhosymbolu"/>
          <w:strike w:val="0"/>
          <w:color w:val="auto"/>
          <w:sz w:val="24"/>
          <w:szCs w:val="24"/>
        </w:rPr>
        <w:t>ov</w:t>
      </w:r>
      <w:r w:rsidRPr="00874BD5">
        <w:rPr>
          <w:rStyle w:val="Textzstupnhosymbolu"/>
          <w:strike w:val="0"/>
          <w:color w:val="auto"/>
          <w:sz w:val="24"/>
          <w:szCs w:val="24"/>
        </w:rPr>
        <w:t>), súčasťou ktorých je aj zabezpečenie cielených lekárskych preventívnych prehliadok vo vzťahu k práci.</w:t>
      </w:r>
    </w:p>
    <w:p w:rsidR="00A41EB9" w:rsidRPr="00874BD5" w:rsidRDefault="00A41EB9" w:rsidP="00A41EB9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  <w:r w:rsidRPr="00874BD5">
        <w:rPr>
          <w:rStyle w:val="Textzstupnhosymbolu"/>
          <w:strike w:val="0"/>
          <w:color w:val="auto"/>
          <w:sz w:val="24"/>
          <w:szCs w:val="24"/>
        </w:rPr>
        <w:t>Vplyv zmien v NPEL chemických faktorov v návrhu nariadenia vlády (</w:t>
      </w:r>
      <w:r w:rsidR="00F16BB7" w:rsidRPr="00874BD5">
        <w:rPr>
          <w:rStyle w:val="Textzstupnhosymbolu"/>
          <w:strike w:val="0"/>
          <w:color w:val="auto"/>
          <w:sz w:val="24"/>
          <w:szCs w:val="24"/>
        </w:rPr>
        <w:t>šesť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sprísnených NPEL, </w:t>
      </w:r>
      <w:r w:rsidR="00F16BB7" w:rsidRPr="00874BD5">
        <w:rPr>
          <w:rStyle w:val="Textzstupnhosymbolu"/>
          <w:strike w:val="0"/>
          <w:color w:val="auto"/>
          <w:sz w:val="24"/>
          <w:szCs w:val="24"/>
        </w:rPr>
        <w:t>tri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novozaveden</w:t>
      </w:r>
      <w:r w:rsidR="003D225D" w:rsidRPr="00874BD5">
        <w:rPr>
          <w:rStyle w:val="Textzstupnhosymbolu"/>
          <w:strike w:val="0"/>
          <w:color w:val="auto"/>
          <w:sz w:val="24"/>
          <w:szCs w:val="24"/>
        </w:rPr>
        <w:t>é</w:t>
      </w:r>
      <w:r w:rsidRPr="00874BD5">
        <w:rPr>
          <w:rStyle w:val="Textzstupnhosymbolu"/>
          <w:strike w:val="0"/>
          <w:color w:val="auto"/>
          <w:sz w:val="24"/>
          <w:szCs w:val="24"/>
        </w:rPr>
        <w:t xml:space="preserve"> NPEL) na zmeny počtu osôb vykonávajúcich rizikové práce nie je možné kvantifikovať. </w:t>
      </w:r>
    </w:p>
    <w:p w:rsidR="00A41EB9" w:rsidRPr="00874BD5" w:rsidRDefault="00A41EB9" w:rsidP="005E3B2B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B33003" w:rsidRPr="00874BD5" w:rsidRDefault="00A41EB9" w:rsidP="00A41EB9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Okrem implementácie smernice  Komisie  (EÚ) </w:t>
      </w:r>
      <w:r w:rsidR="003D225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2019/1831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do legislatívy Slovenskej republiky sa </w:t>
      </w:r>
      <w:r w:rsidR="003D225D" w:rsidRPr="00874BD5">
        <w:rPr>
          <w:rFonts w:ascii="Times New Roman" w:hAnsi="Times New Roman"/>
          <w:strike w:val="0"/>
          <w:color w:val="auto"/>
          <w:sz w:val="24"/>
          <w:szCs w:val="24"/>
        </w:rPr>
        <w:t>z príloh</w:t>
      </w:r>
      <w:r w:rsidR="00EE32C7" w:rsidRPr="00874BD5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="003D225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č. 1 nariadenia vlády Slovenskej republiky č. 355/2006 Z. z. z dôvodu duplicity vypúšťajú NPEL pre formaldehyd a tetrakarbonyl niklu, ktoré sú karcinogén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nymi faktormi</w:t>
      </w:r>
      <w:r w:rsidR="00B3300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A41EB9" w:rsidRPr="00874BD5" w:rsidRDefault="00A41EB9" w:rsidP="005E3B2B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5E3B2B" w:rsidRPr="00874BD5" w:rsidRDefault="001213BB" w:rsidP="005E3B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Style w:val="Textzstupnhosymbolu"/>
          <w:strike w:val="0"/>
          <w:color w:val="auto"/>
          <w:sz w:val="24"/>
          <w:szCs w:val="24"/>
        </w:rPr>
        <w:t>Návrh nariadenia vlády je v súlade s Ústavou Slovenskej republiky, s ústavnými zákonmi a nálezmi Ústavného súdu Slovenskej republiky, so zákonom č. 355/2007 Z. z., inými zákonmi a ďalšími všeobecne záväznými právnymi predpismi ako aj s medzinárodnými zmluvami a medzinárodnými dokumentmi, ktorými je Slovenská republika viazaná a s právom Európskej únie.</w:t>
      </w:r>
    </w:p>
    <w:p w:rsidR="00E51233" w:rsidRPr="00874BD5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51233" w:rsidRPr="00874BD5" w:rsidRDefault="00E51233" w:rsidP="00E512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Predložený návrh nariadenia vlády nemá vplyv na rozpočet verejnej správy, vplyv na životné prostredie, vplyv na informatizáciu spoločnosti</w:t>
      </w:r>
      <w:r w:rsidR="00411F6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vplyv na manželstvo, rodičovstvo a rodinu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ani vplyv na služby verejnej správy pre občana. Predpokladá sa pozitívny </w:t>
      </w:r>
      <w:r w:rsidR="005E3B2B" w:rsidRPr="00874BD5">
        <w:rPr>
          <w:rFonts w:ascii="Times New Roman" w:hAnsi="Times New Roman"/>
          <w:strike w:val="0"/>
          <w:color w:val="auto"/>
          <w:sz w:val="24"/>
          <w:szCs w:val="24"/>
        </w:rPr>
        <w:t>aj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negatívny vplyv na podnikateľské prostredie</w:t>
      </w:r>
      <w:r w:rsidR="00BE1F84" w:rsidRPr="00874BD5">
        <w:rPr>
          <w:rFonts w:ascii="Times New Roman" w:hAnsi="Times New Roman"/>
          <w:strike w:val="0"/>
          <w:color w:val="auto"/>
          <w:sz w:val="24"/>
          <w:szCs w:val="24"/>
        </w:rPr>
        <w:t>, pozitívne sociálne vplyvy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D11960" w:rsidRPr="00874BD5" w:rsidRDefault="00D11960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11960" w:rsidRPr="00874BD5" w:rsidRDefault="00D11960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90B01" w:rsidRPr="00874BD5" w:rsidRDefault="005B6E23" w:rsidP="002B33F2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Osobitná časť</w:t>
      </w:r>
    </w:p>
    <w:p w:rsidR="006E232B" w:rsidRPr="00874BD5" w:rsidRDefault="006E232B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5B6E23" w:rsidRPr="00874BD5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čl. </w:t>
      </w:r>
      <w:r w:rsidR="006E232B"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I</w:t>
      </w:r>
    </w:p>
    <w:p w:rsidR="005B6E23" w:rsidRPr="00874BD5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44FD6" w:rsidRPr="00874BD5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</w:p>
    <w:p w:rsidR="001257AA" w:rsidRPr="00874BD5" w:rsidRDefault="001257AA" w:rsidP="001257A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Legislatívno-technická úprava. Povinnosť zamestnávateľa predkladať prevádzkový poriadok na schválenie príslušnému orgánu verejného zdravotníctva je upravená v § 52 ods. 1 písm. b) zákona č. 355/2007 Z. z. o ochrane, podpore a rozvoji verejného zdravia a o zmene a doplnení niektorých zákonov v znení neskorších predpisov.   </w:t>
      </w:r>
    </w:p>
    <w:p w:rsidR="00C564FA" w:rsidRPr="00874BD5" w:rsidRDefault="00C564FA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44FD6" w:rsidRPr="00874BD5" w:rsidRDefault="00A44FD6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 w:rsidR="00CD3FF7"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bod</w:t>
      </w:r>
      <w:r w:rsidR="00CD3FF7"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u 2</w:t>
      </w:r>
    </w:p>
    <w:p w:rsidR="00190B01" w:rsidRPr="00874BD5" w:rsidRDefault="00C564FA" w:rsidP="00CD3FF7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Účelom je doplnenie 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>NPEL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tri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faktor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y - izoamylalkohol, 4-metylanilín a trimetylamín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, ktoré doteraz neboli súčasťou legislatívy Slovenskej republiky</w:t>
      </w:r>
      <w:r w:rsidR="006E232B" w:rsidRPr="00874BD5">
        <w:rPr>
          <w:rFonts w:ascii="Times New Roman" w:hAnsi="Times New Roman"/>
          <w:strike w:val="0"/>
          <w:color w:val="auto"/>
          <w:sz w:val="24"/>
          <w:szCs w:val="24"/>
        </w:rPr>
        <w:t>;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6E232B" w:rsidRPr="00874BD5">
        <w:rPr>
          <w:rFonts w:ascii="Times New Roman" w:hAnsi="Times New Roman"/>
          <w:strike w:val="0"/>
          <w:color w:val="auto"/>
          <w:sz w:val="24"/>
          <w:szCs w:val="24"/>
        </w:rPr>
        <w:t>v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 prílohe č. 1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355/2006 Z. z. majú poradové číslo 1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4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1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18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 28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3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>Zaveden</w:t>
      </w:r>
      <w:r w:rsidR="000E7F85" w:rsidRPr="00874BD5"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0E7F85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NPEL pre uvedené chemické faktory pomôže zamestnávateľovi </w:t>
      </w:r>
      <w:r w:rsidR="00CB5ED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presnejšie a objektívnejšie </w:t>
      </w:r>
      <w:r w:rsidR="000E7F85" w:rsidRPr="00874BD5">
        <w:rPr>
          <w:rFonts w:ascii="Times New Roman" w:hAnsi="Times New Roman"/>
          <w:strike w:val="0"/>
          <w:color w:val="auto"/>
          <w:sz w:val="24"/>
          <w:szCs w:val="24"/>
        </w:rPr>
        <w:t>posúdiť zdravotné riziko pri práci v spolupráci s pracovnou zdravotnou službou a</w:t>
      </w:r>
      <w:r w:rsidR="00CB5ED0" w:rsidRPr="00874BD5">
        <w:rPr>
          <w:rFonts w:ascii="Times New Roman" w:hAnsi="Times New Roman"/>
          <w:strike w:val="0"/>
          <w:color w:val="auto"/>
          <w:sz w:val="24"/>
          <w:szCs w:val="24"/>
        </w:rPr>
        <w:t> tým predchádzať profesionálnym ochoreniam</w:t>
      </w:r>
      <w:r w:rsidR="000E7F85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6E232B" w:rsidRPr="00874BD5" w:rsidRDefault="00805A2A" w:rsidP="006E23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Okrem toho sa n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ávrhom nariadenia vlády revidujú priemerné aj krátkodobé NPEL pre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sedem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chemických faktorov, ktoré v súčasnosti už sú súčasťou prílohy č. 1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355/2006 Z. z. Úpravy sa týkajú </w:t>
      </w:r>
      <w:r w:rsidR="00511B21" w:rsidRPr="00874BD5">
        <w:rPr>
          <w:rFonts w:ascii="Times New Roman" w:hAnsi="Times New Roman"/>
          <w:strike w:val="0"/>
          <w:color w:val="auto"/>
          <w:sz w:val="24"/>
          <w:szCs w:val="24"/>
        </w:rPr>
        <w:t>NPEL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pre anilín</w:t>
      </w:r>
      <w:r w:rsidR="006F5943" w:rsidRPr="00874BD5">
        <w:rPr>
          <w:rFonts w:ascii="Times New Roman" w:hAnsi="Times New Roman"/>
          <w:strike w:val="0"/>
          <w:color w:val="auto"/>
          <w:sz w:val="24"/>
          <w:szCs w:val="24"/>
        </w:rPr>
        <w:t>; butylacetáty (n-butylacetát; sek-butylacetát; izo-butylacetát); 2-fenylpropán (kumén); chlórmetán; trichlorid-oxid fosforečný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(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poradové čísl</w:t>
      </w:r>
      <w:r w:rsidR="006F5943" w:rsidRPr="00874BD5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13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6F594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31, 95, 13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="006F5943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 28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0</w:t>
      </w:r>
      <w:r w:rsidR="006F5943" w:rsidRPr="00874BD5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="009D7584"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0E7F85" w:rsidRPr="00874BD5" w:rsidRDefault="000E7F85" w:rsidP="006E23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V súlade so smernicou Komisie  (EÚ) 2019/1831 boli označené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tie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chemické faktory, ktoré ľahko prenikajú cez kožu a môžu tak spôsobovať 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až smrteľné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otravy, 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často bez varovných príznakov;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sú to anilín, 2-fenylpropán (kumén)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 4-metylanilín. Pri expozícii týmto chemickým 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lastRenderedPageBreak/>
        <w:t xml:space="preserve">faktorom s významným prienikom cez kožu je nutné zabezpečiť najvyššiu možnú úroveň ochrany zamestnancov,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teda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osobitne dôležité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je</w:t>
      </w:r>
      <w:r w:rsidR="00146B90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zabrániť kožnému kontaktu.</w:t>
      </w:r>
    </w:p>
    <w:p w:rsidR="00511B21" w:rsidRPr="00874BD5" w:rsidRDefault="00511B21" w:rsidP="00511B2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Okrem implementácie smernice  Komisie  (EÚ) 2019/1831 do legislatívy Slovenskej republiky sa z príloh</w:t>
      </w:r>
      <w:r w:rsidR="0033610C" w:rsidRPr="00874BD5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č. 1 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355/2006 Z. z. z dôvodu duplicity vypúšťajú NPEL pre formaldehyd a tetrakarbonyl niklu, ktoré sú karcinogén</w:t>
      </w:r>
      <w:r w:rsidR="00B20684" w:rsidRPr="00874BD5">
        <w:rPr>
          <w:rFonts w:ascii="Times New Roman" w:hAnsi="Times New Roman"/>
          <w:strike w:val="0"/>
          <w:color w:val="auto"/>
          <w:sz w:val="24"/>
          <w:szCs w:val="24"/>
        </w:rPr>
        <w:t>nymi faktormi.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Technické smerné hodnoty pre formaldehyd a tetrakarbonyl niklu sú súčasťou prílohy č. 2 k nariadeniu vlády Slovenskej republiky č. 356/2006 Z. z. o ochrane zdravia zamestnancov pred rizikami súvisiacimi s expozíciou karcinogénnym a mutagénnym faktorom pri práci v znení neskorších predpisov.</w:t>
      </w:r>
    </w:p>
    <w:p w:rsidR="00CD3FF7" w:rsidRPr="00874BD5" w:rsidRDefault="00CD3FF7" w:rsidP="001052B6">
      <w:pPr>
        <w:pStyle w:val="Nzov"/>
        <w:tabs>
          <w:tab w:val="left" w:pos="2520"/>
        </w:tabs>
        <w:jc w:val="both"/>
        <w:rPr>
          <w:lang w:val="sk-SK"/>
        </w:rPr>
      </w:pPr>
    </w:p>
    <w:p w:rsidR="00A51529" w:rsidRPr="00874BD5" w:rsidRDefault="00F24006" w:rsidP="0033610C">
      <w:pPr>
        <w:pStyle w:val="Normlnywebov"/>
        <w:spacing w:before="0" w:beforeAutospacing="0" w:after="0" w:afterAutospacing="0"/>
        <w:ind w:firstLine="720"/>
        <w:jc w:val="both"/>
      </w:pPr>
      <w:r w:rsidRPr="00874BD5">
        <w:t xml:space="preserve">Pri </w:t>
      </w:r>
      <w:r w:rsidR="00A51529" w:rsidRPr="00874BD5">
        <w:t>profesionálnej expozícii</w:t>
      </w:r>
      <w:r w:rsidRPr="00874BD5">
        <w:t xml:space="preserve"> zamestnancov niektorým chemickým </w:t>
      </w:r>
      <w:r w:rsidR="00B2580E" w:rsidRPr="00874BD5">
        <w:t>faktorom</w:t>
      </w:r>
      <w:r w:rsidRPr="00874BD5">
        <w:t xml:space="preserve"> </w:t>
      </w:r>
      <w:r w:rsidR="00A51529" w:rsidRPr="00874BD5">
        <w:t>má</w:t>
      </w:r>
      <w:r w:rsidRPr="00874BD5">
        <w:t xml:space="preserve"> okrem </w:t>
      </w:r>
      <w:r w:rsidR="0006547D" w:rsidRPr="00874BD5">
        <w:t xml:space="preserve">ich </w:t>
      </w:r>
      <w:r w:rsidRPr="00874BD5">
        <w:t xml:space="preserve">kvalitatívneho a kvantitatívneho zisťovania (merania) v pracovnom ovzduší </w:t>
      </w:r>
      <w:r w:rsidR="00A51529" w:rsidRPr="00874BD5">
        <w:t xml:space="preserve">veľký význam sledovanie množstva absorbovaného chemického faktoru v organizme exponovaných </w:t>
      </w:r>
      <w:r w:rsidR="0033610C" w:rsidRPr="00874BD5">
        <w:t>zamestnancov</w:t>
      </w:r>
      <w:r w:rsidR="00A51529" w:rsidRPr="00874BD5">
        <w:t xml:space="preserve">. Na tento účel sa </w:t>
      </w:r>
      <w:r w:rsidRPr="00874BD5">
        <w:t xml:space="preserve">vykonáva  biologické monitorovanie, </w:t>
      </w:r>
      <w:r w:rsidR="00F16BB7" w:rsidRPr="00874BD5">
        <w:t>to znamená</w:t>
      </w:r>
      <w:r w:rsidRPr="00874BD5">
        <w:t xml:space="preserve"> meranie množstva chemických faktorov alebo ich metabolitov v biologickom materiáli </w:t>
      </w:r>
      <w:r w:rsidR="00A51529" w:rsidRPr="00874BD5">
        <w:t xml:space="preserve">exponovaných </w:t>
      </w:r>
      <w:r w:rsidRPr="00874BD5">
        <w:t>zamestnancov (napr</w:t>
      </w:r>
      <w:r w:rsidR="00F16BB7" w:rsidRPr="00874BD5">
        <w:t>íklad</w:t>
      </w:r>
      <w:r w:rsidRPr="00874BD5">
        <w:t xml:space="preserve"> v</w:t>
      </w:r>
      <w:r w:rsidR="00F16BB7" w:rsidRPr="00874BD5">
        <w:t> </w:t>
      </w:r>
      <w:r w:rsidRPr="00874BD5">
        <w:t>krvi</w:t>
      </w:r>
      <w:r w:rsidR="00F16BB7" w:rsidRPr="00874BD5">
        <w:t xml:space="preserve"> alebo</w:t>
      </w:r>
      <w:r w:rsidRPr="00874BD5">
        <w:t xml:space="preserve"> v moči). </w:t>
      </w:r>
      <w:r w:rsidR="0033610C" w:rsidRPr="00874BD5">
        <w:t xml:space="preserve">Výsledky biologického monitorovania sú podkladom pre vykonávanie účinných preventívnych opatrení na ochranu zdravia zamestnancov pri práci. </w:t>
      </w:r>
    </w:p>
    <w:p w:rsidR="008D432A" w:rsidRPr="00874BD5" w:rsidRDefault="008D432A" w:rsidP="008D432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V prílohe č. 1 k nariadeniu vlády Slovenskej republiky č. 355/2006 Z. z. sú označené    tie chemické faktory, u ktorých je možné </w:t>
      </w:r>
      <w:r w:rsidR="00F16BB7" w:rsidRPr="00874BD5">
        <w:rPr>
          <w:rFonts w:ascii="Times New Roman" w:hAnsi="Times New Roman"/>
          <w:strike w:val="0"/>
          <w:color w:val="auto"/>
          <w:sz w:val="24"/>
          <w:szCs w:val="24"/>
        </w:rPr>
        <w:t>vykonávať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aj biologické monitorovanie pri profesionálnej expozícii zamestnancov.     </w:t>
      </w:r>
    </w:p>
    <w:p w:rsidR="00B2580E" w:rsidRPr="00874BD5" w:rsidRDefault="00F24006" w:rsidP="00F24006">
      <w:pPr>
        <w:pStyle w:val="Normlnywebov"/>
        <w:spacing w:before="0" w:beforeAutospacing="0" w:after="0" w:afterAutospacing="0"/>
        <w:ind w:firstLine="720"/>
        <w:jc w:val="both"/>
      </w:pPr>
      <w:r w:rsidRPr="00874BD5">
        <w:t xml:space="preserve">V prílohe č. 2 k nariadeniu vlády Slovenskej republiky </w:t>
      </w:r>
      <w:r w:rsidR="00B2580E" w:rsidRPr="00874BD5">
        <w:t xml:space="preserve">č. 355/2006 Z. z. </w:t>
      </w:r>
      <w:r w:rsidRPr="00874BD5">
        <w:t xml:space="preserve">sú uvedené chemické faktory, u ktorých sú na účel biologického monitorovania </w:t>
      </w:r>
      <w:r w:rsidR="00CB5ED0" w:rsidRPr="00874BD5">
        <w:t>pri profe</w:t>
      </w:r>
      <w:r w:rsidR="00A51529" w:rsidRPr="00874BD5">
        <w:t xml:space="preserve">sionálnej expozícii </w:t>
      </w:r>
      <w:r w:rsidR="00F16BB7" w:rsidRPr="00874BD5">
        <w:t>ustanovené</w:t>
      </w:r>
      <w:r w:rsidRPr="00874BD5">
        <w:t xml:space="preserve"> ich biologické medzné hodnoty</w:t>
      </w:r>
      <w:r w:rsidR="00B2580E" w:rsidRPr="00874BD5">
        <w:t xml:space="preserve"> vo vyšetrovanom biologickom materiáli</w:t>
      </w:r>
      <w:r w:rsidRPr="00874BD5">
        <w:t xml:space="preserve">. </w:t>
      </w:r>
    </w:p>
    <w:p w:rsidR="008D432A" w:rsidRPr="00874BD5" w:rsidRDefault="008D432A" w:rsidP="00F24006">
      <w:pPr>
        <w:pStyle w:val="Normlnywebov"/>
        <w:spacing w:before="0" w:beforeAutospacing="0" w:after="0" w:afterAutospacing="0"/>
        <w:ind w:firstLine="720"/>
        <w:jc w:val="both"/>
      </w:pPr>
    </w:p>
    <w:p w:rsidR="00234ADA" w:rsidRPr="00874BD5" w:rsidRDefault="00234ADA" w:rsidP="00F24006">
      <w:pPr>
        <w:pStyle w:val="Normlnywebov"/>
        <w:spacing w:before="0" w:beforeAutospacing="0" w:after="0" w:afterAutospacing="0"/>
        <w:ind w:firstLine="720"/>
        <w:jc w:val="both"/>
      </w:pPr>
      <w:r w:rsidRPr="00874BD5">
        <w:t xml:space="preserve">Požiadavkou smernice Komisie (EÚ) 2019/1831 je uplatňovať biologické monitorovanie </w:t>
      </w:r>
      <w:r w:rsidR="008D432A" w:rsidRPr="00874BD5">
        <w:t xml:space="preserve">pri expozícii zamestnancov  </w:t>
      </w:r>
      <w:r w:rsidRPr="00874BD5">
        <w:t>dvo</w:t>
      </w:r>
      <w:r w:rsidR="008D432A" w:rsidRPr="00874BD5">
        <w:t>m</w:t>
      </w:r>
      <w:r w:rsidRPr="00874BD5">
        <w:t xml:space="preserve"> chemický</w:t>
      </w:r>
      <w:r w:rsidR="008D432A" w:rsidRPr="00874BD5">
        <w:t>m</w:t>
      </w:r>
      <w:r w:rsidRPr="00874BD5">
        <w:t xml:space="preserve"> faktoro</w:t>
      </w:r>
      <w:r w:rsidR="008D432A" w:rsidRPr="00874BD5">
        <w:t>m</w:t>
      </w:r>
      <w:r w:rsidRPr="00874BD5">
        <w:t>, ktorými sú anilín a 2-fenylpropán (kumén).</w:t>
      </w:r>
    </w:p>
    <w:p w:rsidR="00234ADA" w:rsidRPr="00874BD5" w:rsidRDefault="00234ADA" w:rsidP="00234ADA">
      <w:pPr>
        <w:pStyle w:val="Normlnywebov"/>
        <w:spacing w:before="0" w:beforeAutospacing="0" w:after="0" w:afterAutospacing="0"/>
        <w:ind w:firstLine="720"/>
        <w:jc w:val="both"/>
      </w:pPr>
      <w:r w:rsidRPr="00874BD5">
        <w:t>Biologická medzná hodnota pre anilín je už dlhodobo súčasťou prílohy č. 2 k nariadeniu vlády Slovenskej republiky č. 355/2006 Z. z. (poradové číslo 2). </w:t>
      </w:r>
    </w:p>
    <w:p w:rsidR="00B2580E" w:rsidRPr="00874BD5" w:rsidRDefault="00F24006" w:rsidP="00F24006">
      <w:pPr>
        <w:pStyle w:val="Normlnywebov"/>
        <w:spacing w:before="0" w:beforeAutospacing="0" w:after="0" w:afterAutospacing="0"/>
        <w:ind w:firstLine="720"/>
        <w:jc w:val="both"/>
      </w:pPr>
      <w:r w:rsidRPr="00874BD5">
        <w:t xml:space="preserve">V súlade s požiadavkou smernice </w:t>
      </w:r>
      <w:r w:rsidR="00B2580E" w:rsidRPr="00874BD5">
        <w:t xml:space="preserve">Komisie  (EÚ) 2019/1831 </w:t>
      </w:r>
      <w:r w:rsidRPr="00874BD5">
        <w:t xml:space="preserve">sa do návrhu nariadenia vlády dopĺňa biologická medzná hodnota pre biologické monitorovanie expozície </w:t>
      </w:r>
      <w:r w:rsidR="00B2580E" w:rsidRPr="00874BD5">
        <w:t xml:space="preserve"> </w:t>
      </w:r>
      <w:r w:rsidR="006E70EF" w:rsidRPr="00874BD5">
        <w:t xml:space="preserve">                 </w:t>
      </w:r>
      <w:r w:rsidRPr="00874BD5">
        <w:t>2-fenylpropánu (kuménu), ktorá doteraz nebola súčasťou legislatívy Slovenskej republiky; v prílohe č. 2 k nariadeniu vlády Slovenskej republiky č. 355/2006 Z. z. má poradové číslo 12. </w:t>
      </w:r>
    </w:p>
    <w:p w:rsidR="00F24006" w:rsidRDefault="00B2580E" w:rsidP="008D432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Okrem toho sa reviduje biologická medzná hodnota pre biologické monitorovanie expozície kadmiu (karcinogén kategórie 1B), ktorá </w:t>
      </w:r>
      <w:r w:rsidR="0006547D" w:rsidRPr="00874BD5">
        <w:rPr>
          <w:rFonts w:ascii="Times New Roman" w:hAnsi="Times New Roman"/>
          <w:strike w:val="0"/>
          <w:color w:val="auto"/>
          <w:sz w:val="24"/>
          <w:szCs w:val="24"/>
        </w:rPr>
        <w:t>je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8D432A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už dlhodobo </w:t>
      </w:r>
      <w:r w:rsidR="0006547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súčasťou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príloh</w:t>
      </w:r>
      <w:r w:rsidR="0006547D" w:rsidRPr="00874BD5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č. 2 k nariadeniu vlády Slovenskej republiky č. 355/2006 Z. z.</w:t>
      </w:r>
      <w:r w:rsidR="0006547D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(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poradové číslo 2</w:t>
      </w:r>
      <w:r w:rsidR="0006547D" w:rsidRPr="00874BD5">
        <w:rPr>
          <w:rFonts w:ascii="Times New Roman" w:hAnsi="Times New Roman"/>
          <w:strike w:val="0"/>
          <w:color w:val="auto"/>
          <w:sz w:val="24"/>
          <w:szCs w:val="24"/>
        </w:rPr>
        <w:t>1)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. </w:t>
      </w:r>
      <w:r w:rsidR="00DB6BD6" w:rsidRPr="00874BD5">
        <w:rPr>
          <w:rFonts w:ascii="Times New Roman" w:hAnsi="Times New Roman"/>
          <w:strike w:val="0"/>
          <w:color w:val="auto"/>
          <w:sz w:val="24"/>
          <w:szCs w:val="24"/>
        </w:rPr>
        <w:t>Dôvodom revízie biologickej medznej hodnoty pre kadmium je požiadavka smernice Európskeho parlamentu a Rady (EÚ) 2019/983</w:t>
      </w:r>
      <w:r w:rsidR="004D46A1"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ktorou sa mení smernica 2004/37/ES o ochrane pracovníkov pred rizikami súvisiacimi s expozíciou karcinogénom alebo mutagénom pri práci. Uvedená smernica je implementovaná do </w:t>
      </w:r>
      <w:r w:rsidR="008D432A" w:rsidRPr="00874BD5">
        <w:rPr>
          <w:rFonts w:ascii="Times New Roman" w:hAnsi="Times New Roman"/>
          <w:strike w:val="0"/>
          <w:color w:val="auto"/>
          <w:sz w:val="24"/>
          <w:szCs w:val="24"/>
        </w:rPr>
        <w:t>návrhu nariadenia vlády Slovenskej republiky, ktorým sa mení a dopĺňa nariadenie vlády Slovenskej republiky č. 356/2006 Z. z. o ochrane zdravia zamestnancov pred rizikami súvisiacimi s expozíciou karcinogénnym a mutagénnym faktorom pri práci v znení neskorších predpisov.</w:t>
      </w:r>
    </w:p>
    <w:p w:rsidR="00874BD5" w:rsidRDefault="00874BD5" w:rsidP="008D432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4BD5" w:rsidRDefault="00874BD5" w:rsidP="008D432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4BD5" w:rsidRPr="00874BD5" w:rsidRDefault="00874BD5" w:rsidP="008D432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4006" w:rsidRPr="00874BD5" w:rsidRDefault="00F24006" w:rsidP="001052B6">
      <w:pPr>
        <w:pStyle w:val="Nzov"/>
        <w:tabs>
          <w:tab w:val="left" w:pos="2520"/>
        </w:tabs>
        <w:jc w:val="both"/>
        <w:rPr>
          <w:lang w:val="sk-SK"/>
        </w:rPr>
      </w:pPr>
    </w:p>
    <w:p w:rsidR="00F24006" w:rsidRPr="00874BD5" w:rsidRDefault="00F24006" w:rsidP="001052B6">
      <w:pPr>
        <w:pStyle w:val="Nzov"/>
        <w:tabs>
          <w:tab w:val="left" w:pos="2520"/>
        </w:tabs>
        <w:jc w:val="both"/>
        <w:rPr>
          <w:lang w:val="sk-SK"/>
        </w:rPr>
      </w:pPr>
      <w:r w:rsidRPr="00874BD5">
        <w:t xml:space="preserve">K bodu </w:t>
      </w:r>
      <w:r w:rsidR="0007370C" w:rsidRPr="00874BD5">
        <w:rPr>
          <w:lang w:val="sk-SK"/>
        </w:rPr>
        <w:t>3</w:t>
      </w:r>
    </w:p>
    <w:p w:rsidR="001052B6" w:rsidRDefault="001052B6" w:rsidP="001052B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lastRenderedPageBreak/>
        <w:t xml:space="preserve">Do prílohy č. 4, ktorú tvorí zoznam právne záväzných aktov EÚ prebratých do nariadenia vlády Slovenskej republiky č. 355/2006 Z. z., sa dopĺňa smernica Komisie (EÚ) </w:t>
      </w:r>
      <w:r w:rsidR="00CD3FF7" w:rsidRPr="00874BD5">
        <w:rPr>
          <w:rFonts w:ascii="Times New Roman" w:hAnsi="Times New Roman"/>
          <w:strike w:val="0"/>
          <w:color w:val="auto"/>
          <w:sz w:val="24"/>
          <w:szCs w:val="24"/>
        </w:rPr>
        <w:t>2019/1831 z 24. októbra 2019, ktorou sa stanovuje piaty zoznam smerných najvyšších prípustných hodnôt vystavenia pri práci podľa smernice Rady 98/24/ES a ktorou sa mení smernica Komisie 2000/39/ES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874BD5" w:rsidRPr="00874BD5" w:rsidRDefault="00874BD5" w:rsidP="001052B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90B01" w:rsidRPr="00874BD5" w:rsidRDefault="00190B01" w:rsidP="001052B6">
      <w:pPr>
        <w:pStyle w:val="Nzov"/>
        <w:tabs>
          <w:tab w:val="left" w:pos="720"/>
        </w:tabs>
        <w:jc w:val="both"/>
        <w:rPr>
          <w:strike/>
        </w:rPr>
      </w:pPr>
    </w:p>
    <w:p w:rsidR="00805A2A" w:rsidRPr="00874BD5" w:rsidRDefault="00805A2A" w:rsidP="00805A2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E67F6" w:rsidRPr="00874BD5" w:rsidRDefault="009D27C6" w:rsidP="002E67F6">
      <w:pPr>
        <w:ind w:firstLine="708"/>
        <w:jc w:val="both"/>
        <w:outlineLvl w:val="0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Nariadenie vlády nadobúda účinnosť </w:t>
      </w:r>
      <w:r w:rsidR="002E67F6" w:rsidRPr="00874BD5">
        <w:rPr>
          <w:rFonts w:ascii="Times New Roman" w:hAnsi="Times New Roman"/>
          <w:strike w:val="0"/>
          <w:color w:val="auto"/>
          <w:sz w:val="24"/>
          <w:szCs w:val="24"/>
        </w:rPr>
        <w:t>1. októbra 2020.</w:t>
      </w:r>
    </w:p>
    <w:p w:rsidR="009D7584" w:rsidRPr="00874BD5" w:rsidRDefault="009D7584" w:rsidP="00146B90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bookmarkStart w:id="0" w:name="_GoBack"/>
      <w:bookmarkEnd w:id="0"/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sectPr w:rsidR="009D7584" w:rsidRPr="00874BD5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9B" w:rsidRDefault="008C249B" w:rsidP="00874BD5">
      <w:r>
        <w:separator/>
      </w:r>
    </w:p>
  </w:endnote>
  <w:endnote w:type="continuationSeparator" w:id="0">
    <w:p w:rsidR="008C249B" w:rsidRDefault="008C249B" w:rsidP="008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D5" w:rsidRDefault="00874BD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C3561">
      <w:rPr>
        <w:noProof/>
      </w:rPr>
      <w:t>4</w:t>
    </w:r>
    <w:r>
      <w:fldChar w:fldCharType="end"/>
    </w:r>
  </w:p>
  <w:p w:rsidR="00874BD5" w:rsidRDefault="00874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9B" w:rsidRDefault="008C249B" w:rsidP="00874BD5">
      <w:r>
        <w:separator/>
      </w:r>
    </w:p>
  </w:footnote>
  <w:footnote w:type="continuationSeparator" w:id="0">
    <w:p w:rsidR="008C249B" w:rsidRDefault="008C249B" w:rsidP="0087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170C2"/>
    <w:rsid w:val="00030B53"/>
    <w:rsid w:val="000343DB"/>
    <w:rsid w:val="00053846"/>
    <w:rsid w:val="0006547D"/>
    <w:rsid w:val="0007370C"/>
    <w:rsid w:val="000A1DAD"/>
    <w:rsid w:val="000A47AC"/>
    <w:rsid w:val="000E4EC5"/>
    <w:rsid w:val="000E77A9"/>
    <w:rsid w:val="000E7F85"/>
    <w:rsid w:val="00102CB5"/>
    <w:rsid w:val="001052B6"/>
    <w:rsid w:val="001213BB"/>
    <w:rsid w:val="001257AA"/>
    <w:rsid w:val="00125A52"/>
    <w:rsid w:val="00127AF6"/>
    <w:rsid w:val="00135028"/>
    <w:rsid w:val="00146B90"/>
    <w:rsid w:val="0016296C"/>
    <w:rsid w:val="001708FC"/>
    <w:rsid w:val="0018435B"/>
    <w:rsid w:val="00190B01"/>
    <w:rsid w:val="00192958"/>
    <w:rsid w:val="00192A3A"/>
    <w:rsid w:val="001A0418"/>
    <w:rsid w:val="001A7F39"/>
    <w:rsid w:val="001B2626"/>
    <w:rsid w:val="001C20BE"/>
    <w:rsid w:val="001C5AEB"/>
    <w:rsid w:val="001C6DFA"/>
    <w:rsid w:val="00214961"/>
    <w:rsid w:val="00234ADA"/>
    <w:rsid w:val="0024077D"/>
    <w:rsid w:val="00251BDF"/>
    <w:rsid w:val="00253CE2"/>
    <w:rsid w:val="00256673"/>
    <w:rsid w:val="0025784F"/>
    <w:rsid w:val="0028143E"/>
    <w:rsid w:val="002A348B"/>
    <w:rsid w:val="002B33F2"/>
    <w:rsid w:val="002C3A44"/>
    <w:rsid w:val="002E67F6"/>
    <w:rsid w:val="002F1471"/>
    <w:rsid w:val="002F3AD4"/>
    <w:rsid w:val="002F6EA5"/>
    <w:rsid w:val="003021DE"/>
    <w:rsid w:val="00312979"/>
    <w:rsid w:val="00334192"/>
    <w:rsid w:val="0033610C"/>
    <w:rsid w:val="00346147"/>
    <w:rsid w:val="003554AE"/>
    <w:rsid w:val="0037605F"/>
    <w:rsid w:val="00377FA5"/>
    <w:rsid w:val="00381016"/>
    <w:rsid w:val="003837F5"/>
    <w:rsid w:val="003D225D"/>
    <w:rsid w:val="00411F64"/>
    <w:rsid w:val="00412A02"/>
    <w:rsid w:val="00417345"/>
    <w:rsid w:val="00423668"/>
    <w:rsid w:val="00435E81"/>
    <w:rsid w:val="0044247F"/>
    <w:rsid w:val="004474E8"/>
    <w:rsid w:val="004619E7"/>
    <w:rsid w:val="00471DA5"/>
    <w:rsid w:val="00482087"/>
    <w:rsid w:val="004924B1"/>
    <w:rsid w:val="004A787E"/>
    <w:rsid w:val="004D46A1"/>
    <w:rsid w:val="004F6DEE"/>
    <w:rsid w:val="00511B21"/>
    <w:rsid w:val="005244AB"/>
    <w:rsid w:val="00525C76"/>
    <w:rsid w:val="00544530"/>
    <w:rsid w:val="00572772"/>
    <w:rsid w:val="005768B9"/>
    <w:rsid w:val="0058746F"/>
    <w:rsid w:val="00590B28"/>
    <w:rsid w:val="00594A34"/>
    <w:rsid w:val="005B6E23"/>
    <w:rsid w:val="005C0071"/>
    <w:rsid w:val="005E3B2B"/>
    <w:rsid w:val="005F3690"/>
    <w:rsid w:val="00602DDB"/>
    <w:rsid w:val="00624EDB"/>
    <w:rsid w:val="006511A9"/>
    <w:rsid w:val="006812FC"/>
    <w:rsid w:val="006929AF"/>
    <w:rsid w:val="006E232B"/>
    <w:rsid w:val="006E70EF"/>
    <w:rsid w:val="006F5943"/>
    <w:rsid w:val="006F6250"/>
    <w:rsid w:val="0073754F"/>
    <w:rsid w:val="0074724A"/>
    <w:rsid w:val="00750EF4"/>
    <w:rsid w:val="00796E70"/>
    <w:rsid w:val="007A0E90"/>
    <w:rsid w:val="007D00A2"/>
    <w:rsid w:val="00805A2A"/>
    <w:rsid w:val="0085310D"/>
    <w:rsid w:val="00874BD5"/>
    <w:rsid w:val="00875B58"/>
    <w:rsid w:val="00880F0E"/>
    <w:rsid w:val="008A3778"/>
    <w:rsid w:val="008A71D5"/>
    <w:rsid w:val="008B764B"/>
    <w:rsid w:val="008C249B"/>
    <w:rsid w:val="008C25B9"/>
    <w:rsid w:val="008D432A"/>
    <w:rsid w:val="008F63C4"/>
    <w:rsid w:val="00900892"/>
    <w:rsid w:val="0090630F"/>
    <w:rsid w:val="00925496"/>
    <w:rsid w:val="00964F6D"/>
    <w:rsid w:val="00967D91"/>
    <w:rsid w:val="00972C44"/>
    <w:rsid w:val="00993E4B"/>
    <w:rsid w:val="009D27C6"/>
    <w:rsid w:val="009D7584"/>
    <w:rsid w:val="00A20DAF"/>
    <w:rsid w:val="00A213E1"/>
    <w:rsid w:val="00A41EB9"/>
    <w:rsid w:val="00A44FD6"/>
    <w:rsid w:val="00A51529"/>
    <w:rsid w:val="00A727E5"/>
    <w:rsid w:val="00AC3561"/>
    <w:rsid w:val="00AE11A9"/>
    <w:rsid w:val="00AF5F5A"/>
    <w:rsid w:val="00B05FC7"/>
    <w:rsid w:val="00B20684"/>
    <w:rsid w:val="00B2580E"/>
    <w:rsid w:val="00B33003"/>
    <w:rsid w:val="00B53FAF"/>
    <w:rsid w:val="00B5592C"/>
    <w:rsid w:val="00B8750E"/>
    <w:rsid w:val="00B96366"/>
    <w:rsid w:val="00BC128A"/>
    <w:rsid w:val="00BE1F84"/>
    <w:rsid w:val="00C45F5D"/>
    <w:rsid w:val="00C564FA"/>
    <w:rsid w:val="00C640A5"/>
    <w:rsid w:val="00C70F51"/>
    <w:rsid w:val="00C75661"/>
    <w:rsid w:val="00CB5ED0"/>
    <w:rsid w:val="00CC50FB"/>
    <w:rsid w:val="00CC5BEF"/>
    <w:rsid w:val="00CD3FF7"/>
    <w:rsid w:val="00CE1A9B"/>
    <w:rsid w:val="00CE6974"/>
    <w:rsid w:val="00D11960"/>
    <w:rsid w:val="00D1196E"/>
    <w:rsid w:val="00D53A0A"/>
    <w:rsid w:val="00D56807"/>
    <w:rsid w:val="00D810FA"/>
    <w:rsid w:val="00D87A82"/>
    <w:rsid w:val="00D903C0"/>
    <w:rsid w:val="00DB6BD6"/>
    <w:rsid w:val="00DC553E"/>
    <w:rsid w:val="00DD1E77"/>
    <w:rsid w:val="00DF5070"/>
    <w:rsid w:val="00E05F50"/>
    <w:rsid w:val="00E51233"/>
    <w:rsid w:val="00E53C64"/>
    <w:rsid w:val="00E70210"/>
    <w:rsid w:val="00E85ABE"/>
    <w:rsid w:val="00EA4EC0"/>
    <w:rsid w:val="00EB1296"/>
    <w:rsid w:val="00EE32C7"/>
    <w:rsid w:val="00EE4D5D"/>
    <w:rsid w:val="00F003ED"/>
    <w:rsid w:val="00F03610"/>
    <w:rsid w:val="00F0644D"/>
    <w:rsid w:val="00F16BB7"/>
    <w:rsid w:val="00F24006"/>
    <w:rsid w:val="00F25246"/>
    <w:rsid w:val="00F3688B"/>
    <w:rsid w:val="00F407C2"/>
    <w:rsid w:val="00F44B03"/>
    <w:rsid w:val="00F907D7"/>
    <w:rsid w:val="00FA517C"/>
    <w:rsid w:val="00FB3A4E"/>
    <w:rsid w:val="00FB7C23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EABD6"/>
  <w15:chartTrackingRefBased/>
  <w15:docId w15:val="{AEF85B18-44B8-432B-A752-C2B9587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  <w:lang w:val="x-none" w:eastAsia="x-none"/>
    </w:rPr>
  </w:style>
  <w:style w:type="character" w:customStyle="1" w:styleId="PlaceholderText">
    <w:name w:val="Placeholder Text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styleId="Textzstupnhosymbolu">
    <w:name w:val="Text zástupného symbolu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C6DFA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4D46A1"/>
    <w:rPr>
      <w:rFonts w:ascii="Times New Roman" w:hAnsi="Times New Roman" w:cs="Times New Roman" w:hint="default"/>
      <w:b/>
      <w:bCs w:val="0"/>
    </w:rPr>
  </w:style>
  <w:style w:type="paragraph" w:styleId="Hlavika">
    <w:name w:val="header"/>
    <w:basedOn w:val="Normlny"/>
    <w:link w:val="HlavikaChar"/>
    <w:rsid w:val="00874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74BD5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874B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4BD5"/>
    <w:rPr>
      <w:rFonts w:ascii="Verdana" w:hAnsi="Verdana"/>
      <w:bCs/>
      <w:strike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55D3-8D41-44B6-A027-B5AD60CE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Lacová Magdaléna</cp:lastModifiedBy>
  <cp:revision>2</cp:revision>
  <cp:lastPrinted>2020-06-01T08:50:00Z</cp:lastPrinted>
  <dcterms:created xsi:type="dcterms:W3CDTF">2020-06-01T08:51:00Z</dcterms:created>
  <dcterms:modified xsi:type="dcterms:W3CDTF">2020-06-01T08:51:00Z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2020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Tatiana Mazancová</vt:lpwstr>
  </property>
  <property fmtid="{D5CDD505-2E9C-101B-9397-08002B2CF9AE}" pid="13" name="FSC#SKEDITIONSLOVLEX@103.510:zodppredkladatel">
    <vt:lpwstr>Marek Krajčí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materiál</vt:lpwstr>
  </property>
  <property fmtid="{D5CDD505-2E9C-101B-9397-08002B2CF9AE}" pid="24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S09487-2020-OL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LP/2020/139</vt:lpwstr>
  </property>
  <property fmtid="{D5CDD505-2E9C-101B-9397-08002B2CF9AE}" pid="38" name="FSC#SKEDITIONSLOVLEX@103.510:typsprievdok">
    <vt:lpwstr>Doložka prednosti medzinarodnej zmluvy pred zákonmi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v Zmluve o fungovaní Európskej únie v článku 168</vt:lpwstr>
  </property>
  <property fmtid="{D5CDD505-2E9C-101B-9397-08002B2CF9AE}" pid="48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</vt:lpwstr>
  </property>
  <property fmtid="{D5CDD505-2E9C-101B-9397-08002B2CF9AE}" pid="53" name="FSC#SKEDITIONSLOVLEX@103.510:AttrStrListDocPropLehotaPrebratieSmernice">
    <vt:lpwstr>smernica Komisie (EÚ) 2019/1831 T : 20. mája 2021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nie je vedené konanie</vt:lpwstr>
  </property>
  <property fmtid="{D5CDD505-2E9C-101B-9397-08002B2CF9AE}" pid="56" name="FSC#SKEDITIONSLOVLEX@103.510:AttrStrListDocPropInfoUzPreberanePP">
    <vt:lpwstr>bezpredmetné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18. 3. 2020</vt:lpwstr>
  </property>
  <property fmtid="{D5CDD505-2E9C-101B-9397-08002B2CF9AE}" pid="60" name="FSC#SKEDITIONSLOVLEX@103.510:AttrDateDocPropUkonceniePKK">
    <vt:lpwstr>31. 3. 2020</vt:lpwstr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67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68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</vt:lpwstr>
  </property>
  <property fmtid="{D5CDD505-2E9C-101B-9397-08002B2CF9AE}" pid="143" name="FSC#SKEDITIONSLOVLEX@103.510:funkciaZodpPredAkuzativ">
    <vt:lpwstr>ministra</vt:lpwstr>
  </property>
  <property fmtid="{D5CDD505-2E9C-101B-9397-08002B2CF9AE}" pid="144" name="FSC#SKEDITIONSLOVLEX@103.510:funkciaZodpPredDativ">
    <vt:lpwstr>ministrovi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Marek Krajčí_x000d_
minister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51" name="FSC#SKEDITIONSLOVLEX@103.510:vytvorenedna">
    <vt:lpwstr>5. 5. 2020</vt:lpwstr>
  </property>
  <property fmtid="{D5CDD505-2E9C-101B-9397-08002B2CF9AE}" pid="152" name="FSC#COOSYSTEM@1.1:Container">
    <vt:lpwstr>COO.2145.1000.3.3859179</vt:lpwstr>
  </property>
  <property fmtid="{D5CDD505-2E9C-101B-9397-08002B2CF9AE}" pid="153" name="FSC#FSCFOLIO@1.1001:docpropproject">
    <vt:lpwstr/>
  </property>
</Properties>
</file>