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0A5856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0A5856" w:rsidRPr="000A5856">
        <w:rPr>
          <w:sz w:val="28"/>
          <w:szCs w:val="28"/>
        </w:rPr>
        <w:t>ktorým sa mení a dopĺňa nariadenie vlády Slovenskej č. 55/2007 Z. z., ktorým sa ustanovujú požiadavky na uvádzanie sadiva zemiakov na trh v znení neskorších predpisov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0A5856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0A5856" w:rsidRPr="000A5856">
              <w:rPr>
                <w:rFonts w:ascii="Times New Roman" w:hAnsi="Times New Roman" w:cs="Times New Roman"/>
                <w:sz w:val="24"/>
                <w:szCs w:val="24"/>
              </w:rPr>
              <w:t xml:space="preserve">ktorým sa mení a dopĺňa nariadenie vlády Slovenskej č. 55/2007 Z. z., ktorým sa ustanovujú požiadavky na uvádzanie sadiva zemiakov na trh </w:t>
            </w:r>
            <w:bookmarkStart w:id="0" w:name="_GoBack"/>
            <w:bookmarkEnd w:id="0"/>
            <w:r w:rsidR="000A5856" w:rsidRPr="000A5856">
              <w:rPr>
                <w:rFonts w:ascii="Times New Roman" w:hAnsi="Times New Roman" w:cs="Times New Roman"/>
                <w:sz w:val="24"/>
                <w:szCs w:val="24"/>
              </w:rPr>
              <w:t>v znení neskorších predpisov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A5856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5494F79-4DC3-497B-9C89-466CFB27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9</cp:revision>
  <cp:lastPrinted>2020-06-23T07:47:00Z</cp:lastPrinted>
  <dcterms:created xsi:type="dcterms:W3CDTF">2019-11-21T11:13:00Z</dcterms:created>
  <dcterms:modified xsi:type="dcterms:W3CDTF">2020-06-23T07:47:00Z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