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BF2BCE" w:rsidRDefault="00927118" w:rsidP="00EA229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BF2BCE">
        <w:rPr>
          <w:rFonts w:ascii="Times New Roman" w:eastAsia="Times New Roman" w:hAnsi="Times New Roman" w:cs="Times New Roman"/>
          <w:b/>
          <w:caps/>
          <w:sz w:val="24"/>
          <w:szCs w:val="20"/>
        </w:rPr>
        <w:t>Vyhodnotenie medzirezortného pripomienkového konania</w:t>
      </w:r>
    </w:p>
    <w:p w:rsidR="00927118" w:rsidRPr="00EA229A" w:rsidRDefault="00927118" w:rsidP="00EA229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7B02" w:rsidRPr="00EA229A" w:rsidRDefault="00A67B02" w:rsidP="00EA229A">
      <w:pPr>
        <w:widowControl w:val="0"/>
        <w:spacing w:after="0" w:line="240" w:lineRule="auto"/>
        <w:jc w:val="center"/>
        <w:divId w:val="945186788"/>
        <w:rPr>
          <w:rFonts w:ascii="Times New Roman" w:hAnsi="Times New Roman" w:cs="Times New Roman"/>
          <w:sz w:val="20"/>
          <w:szCs w:val="20"/>
        </w:rPr>
      </w:pPr>
      <w:r w:rsidRPr="00EA229A">
        <w:rPr>
          <w:rFonts w:ascii="Times New Roman" w:hAnsi="Times New Roman" w:cs="Times New Roman"/>
          <w:sz w:val="20"/>
          <w:szCs w:val="20"/>
        </w:rPr>
        <w:t xml:space="preserve">Nariadenie vlády Slovenskej republiky, ktorým sa mení a dopĺňa nariadenie vlády Slovenskej republiky č. 49/2007 Z. z., ktorým sa ustanovujú požiadavky na uvádzanie množiteľského materiálu viniča na trh </w:t>
      </w:r>
    </w:p>
    <w:p w:rsidR="00927118" w:rsidRPr="00EA229A" w:rsidRDefault="00927118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3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5528"/>
      </w:tblGrid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Spôsob pripomienkového konania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51BF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A229A" w:rsidRDefault="00A251BF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Počet vznesených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27 /0</w:t>
            </w: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Počet vyhodnotených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Počet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21 /0</w:t>
            </w: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Počet čiastočne 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 /0</w:t>
            </w: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Počet neakceptovaných pripomienok, z toho zásadných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 /0</w:t>
            </w: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Cs/>
                <w:sz w:val="20"/>
                <w:szCs w:val="20"/>
              </w:rPr>
              <w:t>Rozporové konanie (s kým, kedy, s akým výsledkom)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Cs/>
                <w:sz w:val="20"/>
                <w:szCs w:val="20"/>
              </w:rPr>
              <w:t>Počet 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118" w:rsidRPr="00EA229A" w:rsidTr="00001FE5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Cs/>
                <w:sz w:val="20"/>
                <w:szCs w:val="20"/>
              </w:rPr>
              <w:t>Počet neodstránených pripomienok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EA229A" w:rsidRDefault="00927118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927118" w:rsidRPr="00EA229A" w:rsidRDefault="00927118" w:rsidP="00EA229A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27118" w:rsidRPr="00EA229A" w:rsidRDefault="00927118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29A">
        <w:rPr>
          <w:rFonts w:ascii="Times New Roman" w:hAnsi="Times New Roman" w:cs="Times New Roman"/>
          <w:sz w:val="20"/>
          <w:szCs w:val="20"/>
        </w:rPr>
        <w:t>Sumarizácia vznesených pripomienok podľa subjektov</w:t>
      </w:r>
    </w:p>
    <w:p w:rsidR="00A67B02" w:rsidRPr="00EA229A" w:rsidRDefault="00A67B02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7983"/>
        <w:gridCol w:w="1331"/>
        <w:gridCol w:w="1197"/>
        <w:gridCol w:w="1197"/>
        <w:gridCol w:w="1197"/>
      </w:tblGrid>
      <w:tr w:rsidR="00A67B02" w:rsidRPr="00EA229A">
        <w:trPr>
          <w:divId w:val="1619331513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Vôbec nezaslali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17 (17o,0z)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Národné lesnícke centrum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67B02" w:rsidRPr="00EA229A">
        <w:trPr>
          <w:divId w:val="16193315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27 (27o,0z)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CE0" w:rsidRPr="00EA229A" w:rsidRDefault="00BF7CE0" w:rsidP="00EA229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A229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Vyhodnotenie vecných pripomienok je uvedené v tabuľkovej časti.</w:t>
      </w:r>
    </w:p>
    <w:p w:rsidR="00BF7CE0" w:rsidRPr="00EA229A" w:rsidRDefault="00BF7CE0" w:rsidP="00EA229A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EA229A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Vysvetlivky  k použitým skratkám v tabuľke:</w:t>
            </w:r>
          </w:p>
        </w:tc>
      </w:tr>
      <w:tr w:rsidR="00BF7CE0" w:rsidRPr="00EA229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A – akceptovaná</w:t>
            </w:r>
          </w:p>
        </w:tc>
      </w:tr>
      <w:tr w:rsidR="00BF7CE0" w:rsidRPr="00EA229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N – neakceptovaná</w:t>
            </w:r>
          </w:p>
        </w:tc>
      </w:tr>
      <w:tr w:rsidR="00BF7CE0" w:rsidRPr="00EA229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EA229A" w:rsidRDefault="00BF7CE0" w:rsidP="00EA229A">
            <w:pPr>
              <w:pStyle w:val="Zkladntext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A229A">
              <w:rPr>
                <w:b w:val="0"/>
                <w:color w:val="000000"/>
                <w:sz w:val="20"/>
                <w:szCs w:val="20"/>
              </w:rPr>
              <w:t>ČA – čiastočne akceptovaná</w:t>
            </w:r>
          </w:p>
        </w:tc>
      </w:tr>
    </w:tbl>
    <w:p w:rsidR="00E85710" w:rsidRPr="00EA229A" w:rsidRDefault="00E85710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229A">
        <w:rPr>
          <w:rFonts w:ascii="Times New Roman" w:hAnsi="Times New Roman" w:cs="Times New Roman"/>
          <w:sz w:val="20"/>
          <w:szCs w:val="20"/>
        </w:rPr>
        <w:br w:type="page"/>
      </w:r>
    </w:p>
    <w:p w:rsidR="00A67B02" w:rsidRPr="00EA229A" w:rsidRDefault="00A67B02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348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8040"/>
        <w:gridCol w:w="360"/>
        <w:gridCol w:w="421"/>
        <w:gridCol w:w="4039"/>
      </w:tblGrid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Subjekt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Pripomienka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Vyh.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Spôsob vyhodnotenia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AZZZ 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predloženému návrhu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nemá pripomienky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MFSR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Všeobecne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Návrh je potrebné zosúladiť s prílohou č. 1 Legislatívnych pravidiel vlády SR (ďalej len „príloha LPV“) [v čl. I bode 1 úvodnej vete za slová „Príloha č. 1“ vložiť slová „vrátane nadpisu“, v prílohe č. 1 oddiele 2 prvom bode za slovo „druhom“ vložiť slovo „bode“, v oddiele 3 prvom bode slovo „stanovuje“ nahradiť slovom „určuje“, v oddiele 3 treťom bode na konci druhej vety vypustiť duplicitnú bodku, v oddiele 7 členenie v tabuľke zosúladiť s bodom 14 štvrtou vetou prílohy LPV, v oddiele 8 piatom bode písm. a) úvodnej vete vypustiť dvojbodku a členenie zosúladiť s bodom 14 prílohy LPV, pričom táto pripomienka platí pre celé znenie prílohy č. 1, v oddiele 8 piatom bode písm. b) podbode iii) prvej odrážke vypustiť duplicitné slovo „sa“, v oddiele 8 šiestom bode písm. b) podbode iii) tretej odrážke skratku „EPPO“ vypísať slovne, v bode 3 úvodnej vete za slová „prvý bod“ vložiť slovo „a“].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Slovo "stanovuje" sa použilo náležite, pretože ak sa nejaký údaj získava kvalifikovanou metódou z určitého zdroja, tento údaj sa "stanovuje", nie "určuje". Určovanie má zmysel vtedy, ak sa vopred predpisuje hodnota, ktorá sa má dodržať. V prílohe sa ponecháva aj členenie textu iba zarážkami, pretože koniec koncov metódu predpísanú v bode 14 prílohy k LPV nedodržiavajú ani samotné LPV, viď napríklad str. 55-56, čo je od§vodnené zbytočnosťou komplikovaného členenia textu technického charakteru, ktorý tvorí ucelené nerozčleniteľnú logickú časť textu.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MHSR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vybraných vplyvov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Odporúčame vyznačenie vplyvov na podnikateľské prostredie a dopracovanie Analýzy vybraných vplyvov na podnikateľské prostredie a predloženie materiálu na záverečné posúdenie Stálej pracovnej komisii LRV SR na posudzovanie vybraných vplyvov podľa Jednotnej metodiky na posudzovanie vybraných vplyvov po MPK. Odôvodnenie: Predloženým návrhom nariadenia vlády SR sa preberajú do právneho poriadku SR ustanovenia, ktorými sa ustanovujú dodatočné opatrenia, pokiaľ ide o regulovaných nekaranténnych škodcov. Návrhom nariadenia budú dotknutí dodávatelia množiteľského materiálu.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MKSR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čl. I bod 3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3 v úvodnej vete odporúčame za slovo ,,bod" vložiť slovo ,,a". Odôvodnenie: Gramatická pripomienka.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1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K čl. I bodu 1: Odporúčame zjednotiť terminológiu používanú v návrhu prílohy. V názve prílohy sa používa pojem „pestovaný porast“. V samotnej prílohe sa používa výlučne pojem „pestovateľský porast“. Právny predpis musí byť terminologicky presný, jednotný a všeobecne zrozumiteľný. Ďalej odporúčame slová „vinič sa musí vyrábať v oblastiach“ nahradiť slovami „vinič sa musí pestovať v oblastiach“, slovo „Únie“ nahradiť „Európskej únie“. Členenie prílohy odporúčame upraviť spôsobom, ktorý je zaužívaný pre všeobecne záväzné právne predpisy Slovenskej republiky, aj z ohľadom na jeho prípadné novelizácie.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Pri výrobe viniča sa ponechá slovo "vyrába", pretože ide o "výrobu množiteľského materiálu". V prílohe sa ponecháva aj členenie textu iba zarážkami, pretože koniec koncov metódu predpísanú v bode 14 prílohy k LPV nedodržiavajú ani samotné LPV, viď napríklad str. 55-56, čo je od§vodnené zbytočnosťou komplikovaného členenia textu technického charakteru, ktorý tvorí ucelené nerozčleniteľnú logickú časť textu.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čl. I bod 3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K čl. I bodu 3: V úvodnej vete novelizačného bodu odporúčame za slová „sa označuje ako prvý bod“ vložiť spojku „a“.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Zmena formulácie podľa iných pripomienok.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vybraných vplyvov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V bode 1 časti „Charakter predkladaného materiálu“ odporúčame vyznačiť, že ide o „Transpozíciu práva EÚ“, vzhľadom na to, že predkladateľ uvádza v predkladacej správe, že predloženým návrhom nariadenia vlády SR sa preberá do právneho poriadku SR vykonávacia smernica Komisie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(EÚ) 2020/177.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MZVEZ 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Doložke zlučiteľnosti návrhu právneho predpisu s právom EÚ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V bode 3 písm. b) doložky zlučiteľnosti (Problematika návrhu právneho predpisu v judikatúre SD EÚ) odporúčame doplniť chýbajúce vyjadrenie.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Štruktúru doložky zlučiteľnosti generuje SLOVLEX. Predkladateľ nezodpovedá za chyb v tejto štruktúre.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MŽPSR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Do textovej časti návrhu nariadenia odporúčame doplniť úpravu odvolávky 6) prílohy č. 5 k nariadeniu vlády č. 49/2007 Z. z. v znení: „Nariadenie (ES) č. 1829/2003 Európskeho parlamentu a Rady z 22. septembra 2003 o geneticky modifikovaných potravinách a krmivách (Ú. v. EÚ L 268, 18.10. 2003, Mimoriadne vydanie Ú. v. EÚ, kap.13/zv. 32) v platnom znení. § 21 zákona č. 151/2002 Z. z. o používaní genetických technológií a geneticky modifikovaných organizmov v znení neskorších predpisov.“ Terajšia formulácia tejto odvolávky je vzhľadom na platné právne akty neúplná.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Táto zmena nie je vyvolaná žiadnym novelizačným bodom, preto sa v nadväznosti na bod 38 prílohy k LPV táto zmena v návrhu neuvedie.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K bodu 3: V treťom bode doložky zlučiteľnosti žiadame v súlade s Prílohou č. 2 k Legislatívnym pravidlám vlády Slovenskej republiky v platnom znení uvádzať pod písm. a) primárne právo Európskej únie; pod písm. b) sekundárne právo Európskej únie; a pod písm. c) relevantnú judikatúru Súdneho dvora Európskej únie.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Predkladteľ vyplnil formulár doložky zlučiteľnosti na SLOVLEXe, takže jeho štruktúru v prípade chyby SLOVLEXu nemôže ovplyvniť a nezodpovedá za ňu.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návrhu nariadenia vlády: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1. K Čl. I bodu 1: V navrhovanej Prílohe č. 1 k nariadeniu vlády Slovenskej republiky č. 49/2007 Z. z. žiadame v Oddiele 8 bode 6. písm. b) podbode (iii) v tretej odrážke nahradiť slovo „EPPO“ slovami „Európskej a stredozemnej organizácie pre ochranu rastlín“. Túto úpravu je následne potrebné vykonať aj v tabuľke zhody, nakoľko sa týmto ustanovením preukazuje transpozícia Prílohy III ku vykonávacej smernici (EÚ) 2020/177.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transpozícií a tabuľke zhody so smernicou (EÚ) 2020.177: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Preukazovanie transpozície Čl. 3 vykonávacej smernice (EÚ) 2020/177 („Zmena smernice 68/193/EHS“) prostredníctvom Čl. I bodu 1 predkladaného návrhu nariadenia vlády nepovažujeme za dostatočné. Žiadame transpozíciu preukazovať aj Čl. I bodmi 2 a 3 predkladaného návrhu.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sprievodným dokumentom: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Všeobecne: V súlade s bodom 62.9. Legislatívno – technických pokynov tvoriacich Prílohu č. 1 k Legislatívnym pravidlám vlády SR v platnom znení žiadame o zavedenie a dôsledné používanie jednotnej skratky vykonávacej smernice Komisie (EÚ) 2020/177 z 11. februára 2020, ktorou sa menia smernice Rady 66/401/EHS, 66/402/EHS, 68/193/EHS, 2002/55/ES, 2002/56/ES a 2002/57/ES, smernice Komisie 93/49/EHS a 93/61/EHS a vykonávacie smernice 2014/21/EÚ a 2014/98/EÚ, pokiaľ ide o škodcov rastlín na osivách a inom rastlinnom reprodukčnom materiáli nasledovne: „vykonávacia smernica (EÚ) 2020/177“. Pripomienku vzťahujeme na predkladaciu správu, všeobecnú časť dôvodovej správy, osobitnú časť dôvodovej správy, a na doložku vybraných vplyvov.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trHeight w:val="104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Nad rámec návrhu nariadenia vlády – k transpozičnej prílohe: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1. Žiadame predkladateľa návrhu nariadenia vlády vykonať potrebnú úpravu publikačného zdroja smernice 68/193/EHS v Prílohe č. 5 k nariadeniu vlády č. 49/2007 Z. z. (transpozičnej prílohe) v súlade s bodmi 62.12. a 62.13. Legislatívno – technických pokynov tvoriacich Prílohu č. 1 k Legislatívnym pravidlám vlády SR v platnom znení. Pri uvádzaní publikačného zdroja smerníc, ktoré boli publikované aj v mimoriadnom vydaní Úradného vestníka EÚ, sa najskôr uvádza riadne vydanie v Ú. v. EÚ, a následne mimoriadne vydanie v slovenskom jazyku. Túto úpravu je potrebné vykonať pri smernici 68/193/EHS nasledovne: „(Ú. v. ES L 93, 17.4.1968; Mimoriadne vydanie Ú.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v. EÚ, kap. 3/zv. 1)“. Rovnakú pripomienku vťahujeme aj k jednotlivým novelizáciám smernice 68/193/EHS, ktoré boli publikované v mimoriadnom vydaní Úradného vestníka EÚ (ide o smernicu 71/140/EHS; smernicu 74/648/EHS; smernicu 77/629/EHS; smernicu 78/55/EHS; smernicu 78/692/EHS; smernicu 82/331/EHS; smernicu 86/155/EHS; smernicu 88/332/EHS; smernicu 2002/11/ES; smernicu 2003/61/ES; a nariadenie (ES) 1829/2003).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Nad rámec návrhu nariadenia vlády – k transpozičnej prílohe: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Dovoľujeme si predkladateľa upozorniť na skutočnosť, že nariadenie Rady (EHS) č. 3768/85 z 20. decembra 1985 (Ú. v. ES L 362, 31. 12. 1985); ako aj smernica Rady 90/654/EHS zo 4. decembra 1990 (Ú. v. EÚ L 353, 17. 12. 1990), uvádzané v Prílohe č. 5 k nariadeniu vlády č. 49/2007 Z. z., už nie sú účinné. Je preto potrebné zaradením ďalšieho novelizačného bodu do prekladaného návrhu nariadenia vlády primerane upraviť transpozičnú prílohu nariadenia vlády č. 49/2007 Z. z. v uvedenom zmysle.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K bodu 3 písm. b): Dovoľujeme si predkladateľa návrhu nariadenia vlády upozorniť, že v bode 3 písm. b) doložky zlučiteľnosti je v súlade s Prílohou č. 2 k Legislatívnym pravidlám vlády SR v platnom znení potrebné uvádzať „...druh, inštitúciu, číslo, názov a dátum vydania právneho aktu vzťahujúceho sa na danú problematiku, vrátane jeho gestora“. Nakoľko nariadenie vlády Slovenskej republiky č. 49/2007 Z. z., rovnako ako predkladaný návrh nariadenia vlády, predstavujú transpozičné opatrenia výlučne voči smernici 68/193/EHS v platnom znení a vykonávacej smernici (EÚ) 2020/177, žiadame z bodu 3 písm. b) doložky zlučiteľnosti vypustiť všetky úplné citácie ostatných smerníc EÚ, ktoré nie sú platným a účinným nariadením vlády, a ani predkladaným návrhom transponované.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návrhu nariadenia vlády: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2. K Čl. I bodu 2: V poznámke pod čiarou ku odkazu č. 7 v navrhovanom štvrtom bode prvej časti Prílohy č. 2 k nariadeniu vlády žiadame o uvedenie slov „v platnom znení“ za publikačným zdrojom nariadenia (EÚ) 2016/2031 v platnom znení. Túto úpravu je následne potrebné vykonať aj v tabuľke zhody, nakoľko ustanovením Čl. I bodu 2 sa preukazuje transpozícia bodu 2 Prílohy III ku vykonávacej smernici (EÚ) 2020/177.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sprievodným dokumentom: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2. K predkladacej správe a všeobecnej časti dôvodovej správy: Žiadame predkladateľa o úpravu publikačného zdroja vykonávacej smernice (EÚ) 2020/177 nasledovne: „(Ú. v. EÚ L 41, 13.2.2020)“.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transpozícií a tabuľke zhody so smernicou (EÚ) 2020.177: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2. Pri preukazovaní transpozície Čl. 11 vykonávacej smernice (EÚ) 2020/177 žiadame upraviť text (dátum) uvádzaný v šiestom stĺpci tabuľky zhody, a zabezpečiť tak súlad so znením Čl. II návrhu nariadenia vlády.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3. K bodu 3 písm. b): Žiadame predkladateľa o úpravu publikačného zdroja vykonávacej smernice (EÚ) 2020/177 nasledovne: „(Ú. v. EÚ L 41, 13.2.2020)“.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návrhu nariadenia vlády: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K Čl. I bodu 3: Žiadame predkladateľa o úpravu publikačného zdroja vykonávacej smernice (EÚ) 2020/177 nasledovne: „(Ú. v. EÚ L 41, 13.2.2020)“. Túto úpravu je následne potrebné vykonať aj v tabuľke zhody, nakoľko transpozícia Čl. 11 vykonávacej smernice (EÚ) 2020/177 je o. i. preukazovaná aj Čl. I bodom 3 predkladaného návrhu nariadenia vlády.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sprievodným dokumentom: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K doložke vybraných vplyvov: V prvom bode doložky vybraných vplyvov žiadame v bode „Charakter predkladaného materiálu“ označiť, že sa jedná nielen o materiál legislatívnej povahy, ale aj o transpozíciu ustanovení práva EÚ. Rovnako žiadame primerane upraviť druhý bod doložky popisujúci definíciu problému, v ktorom žiadame uviesť potrebu transpozície smernice (EÚ) 2020/177 do slovenského právneho poriadku aj prostredníctvom prekladaného návrhu nariadenia vlády.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transpozícií a tabuľke zhody so smernicou (EÚ) 2020.177: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Príloha III ku vykonávacej smernici (EÚ) 2020/177 v bode 1 týkajúcom sa nahradenia Prílohy I ku smernici 68/193/EHS v platnom znení nesie názov „Podmienky týkajúce sa pestovateľského porastu“. Príloha č. 1 k návrhu nariadenia vlády (Čl. I bod 1 návrhu) nesie názov „Podmienky týkajúce sa pestovaného porastu“. Žiadame predkladateľa o vysvetlenie resp. zdôvodnenie tohto rozdielneho názvu.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Vysvetlenie je nasledovné: omyl.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4. K bodu 3 písm. b): Pri uvádzaní publikačného zdroja smernice 68/193/EHS v platnom znení v bode 3 písm. b) doložky zlučiteľnosti žiadame slovo „mimoriadne“ nahradiť slovom „Mimoriadne“ v súlade s bodom 62.12. Legislatívno – technických pokynov tvoriacich Prílohu č. 1 k Legislatívnym pravidlám vlády SR v platnom znení.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transpozícií a tabuľke zhody so smernicou (EÚ) 2020.177: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4. Pri preukazovaní transpozície Prílohy III ku vykonávacej smernici (EÚ) 2020/177 v bode 1 týkajúcom sa nahradenia Prílohy I ku smernici 68/193/EHS v platnom znení žiadame v záujme zabezpečenia úplnej transpozície ustanovení smernice a zároveň zhody s textom predkladaného návrhu nariadenia vlády v šiestom oddiele („Zoznam regulovaných nekaranténnych škodcov, ktorých výskyt sa zisťuje vizuálnou prehliadkou a pri pochybnostiach odberom vzoriek a testovaním podľa oddielu 2 druhého bodu“) na pravej strany tabuľky vložiť slovo „Baktérie“ pred slová „Xylophilus ampelinus Willems et al. [XANTAM]“.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OAPSVLÚVSR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doložke zlučiteľnosti: 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K bodu 4 písm. b): V súvislosti s pripomienkou ku bodu 3 písm. b) doložky zlučiteľnosti (vypustenie smerníc, voči ktorým predkladaný návrh ani nariadenie vlády Slovenskej republiky č. 49/2007 Z. z. nepredstavujú transpozičné opatrenia) žiadame predkladateľa o vykonanie primeranej úpravy bodu 4 písm. b) doložky zlučiteľnosti. 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Bod 4 písm. b) doložky zlučiteľnosti nemá zo vznesenou pripomienkou nič spoločné.</w:t>
            </w:r>
          </w:p>
        </w:tc>
      </w:tr>
      <w:tr w:rsidR="00A67B02" w:rsidRPr="00EA229A" w:rsidTr="00EA229A">
        <w:trPr>
          <w:divId w:val="1355767023"/>
          <w:jc w:val="center"/>
        </w:trPr>
        <w:tc>
          <w:tcPr>
            <w:tcW w:w="3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ÚPPVII</w:t>
            </w:r>
          </w:p>
        </w:tc>
        <w:tc>
          <w:tcPr>
            <w:tcW w:w="2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vlastnému materiálu</w:t>
            </w:r>
            <w:r w:rsidRPr="00EA229A">
              <w:rPr>
                <w:rFonts w:ascii="Times New Roman" w:hAnsi="Times New Roman" w:cs="Times New Roman"/>
                <w:sz w:val="20"/>
                <w:szCs w:val="20"/>
              </w:rPr>
              <w:br/>
              <w:t>Odporúčame v čl. I novelizačnom bode 3. oddiele 2 druhom odseku slovo „Únie“ nahradiť slovami „Európskej únie“ a v čl. I novelizačnom bode I. oddiele 3 druhom odseku slovo „minimálne“ nahradiť slovom „najmenej“. Odôvodnenie: Ide o legislatívno-technickú pripomienku.</w:t>
            </w:r>
          </w:p>
        </w:tc>
        <w:tc>
          <w:tcPr>
            <w:tcW w:w="1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ČA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67B02" w:rsidRPr="00EA229A" w:rsidRDefault="00A67B02" w:rsidP="00EA22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29A">
              <w:rPr>
                <w:rFonts w:ascii="Times New Roman" w:hAnsi="Times New Roman" w:cs="Times New Roman"/>
                <w:sz w:val="20"/>
                <w:szCs w:val="20"/>
              </w:rPr>
              <w:t>Slovo minimálne sa bežne používa aj v platnom znení predpisu aj v iných predpisoch podobného technického charakteru.</w:t>
            </w:r>
          </w:p>
        </w:tc>
      </w:tr>
    </w:tbl>
    <w:p w:rsidR="00154A91" w:rsidRPr="00EA229A" w:rsidRDefault="00154A91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A91" w:rsidRPr="00EA229A" w:rsidRDefault="00154A91" w:rsidP="00EA229A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54A91" w:rsidRPr="00EA229A" w:rsidSect="00EA229A">
      <w:footerReference w:type="default" r:id="rId7"/>
      <w:pgSz w:w="15840" w:h="12240" w:orient="landscape"/>
      <w:pgMar w:top="851" w:right="1417" w:bottom="85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085351418"/>
      <w:docPartObj>
        <w:docPartGallery w:val="Page Numbers (Bottom of Page)"/>
        <w:docPartUnique/>
      </w:docPartObj>
    </w:sdtPr>
    <w:sdtEndPr/>
    <w:sdtContent>
      <w:p w:rsidR="00EA229A" w:rsidRPr="00EA229A" w:rsidRDefault="00EA229A" w:rsidP="00EA229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A229A">
          <w:rPr>
            <w:rFonts w:ascii="Times New Roman" w:hAnsi="Times New Roman" w:cs="Times New Roman"/>
            <w:sz w:val="24"/>
          </w:rPr>
          <w:fldChar w:fldCharType="begin"/>
        </w:r>
        <w:r w:rsidRPr="00EA229A">
          <w:rPr>
            <w:rFonts w:ascii="Times New Roman" w:hAnsi="Times New Roman" w:cs="Times New Roman"/>
            <w:sz w:val="24"/>
          </w:rPr>
          <w:instrText>PAGE   \* MERGEFORMAT</w:instrText>
        </w:r>
        <w:r w:rsidRPr="00EA229A">
          <w:rPr>
            <w:rFonts w:ascii="Times New Roman" w:hAnsi="Times New Roman" w:cs="Times New Roman"/>
            <w:sz w:val="24"/>
          </w:rPr>
          <w:fldChar w:fldCharType="separate"/>
        </w:r>
        <w:r w:rsidR="00001FE5">
          <w:rPr>
            <w:rFonts w:ascii="Times New Roman" w:hAnsi="Times New Roman" w:cs="Times New Roman"/>
            <w:noProof/>
            <w:sz w:val="24"/>
          </w:rPr>
          <w:t>1</w:t>
        </w:r>
        <w:r w:rsidRPr="00EA229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1FE5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A67B02"/>
    <w:rsid w:val="00B721A5"/>
    <w:rsid w:val="00B76589"/>
    <w:rsid w:val="00B8767E"/>
    <w:rsid w:val="00BD1FAB"/>
    <w:rsid w:val="00BE7302"/>
    <w:rsid w:val="00BF2BCE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A229A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2.6.2020 10:54:17"/>
    <f:field ref="objchangedby" par="" text="Administrator, System"/>
    <f:field ref="objmodifiedat" par="" text="22.6.2020 10:54:2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2730</Words>
  <Characters>15563</Characters>
  <Application>Microsoft Office Word</Application>
  <DocSecurity>0</DocSecurity>
  <Lines>129</Lines>
  <Paragraphs>36</Paragraphs>
  <ScaleCrop>false</ScaleCrop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2020-06-22T08:54:00Z</dcterms:created>
  <dcterms:modified xsi:type="dcterms:W3CDTF">2020-06-23T08:16:00Z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Illáš</vt:lpwstr>
  </property>
  <property fmtid="{D5CDD505-2E9C-101B-9397-08002B2CF9AE}" pid="11" name="FSC#SKEDITIONSLOVLEX@103.510:zodppredkladatel">
    <vt:lpwstr>Ing. Ján Mičovský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49/2007 Z. z., ktorým sa ustanovujú požiadavky na uvádzanie množiteľského materiálu viniča na trh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návrh</vt:lpwstr>
  </property>
  <property fmtid="{D5CDD505-2E9C-101B-9397-08002B2CF9AE}" pid="22" name="FSC#SKEDITIONSLOVLEX@103.510:plnynazovpredpis">
    <vt:lpwstr> Nariadenie vlády  Slovenskej republiky, ktorým sa mení a dopĺňa nariadenie vlády Slovenskej republiky č. 49/2007 Z. z., ktorým sa ustanovujú požiadavky na uvádzanie množiteľského materiálu viniča na trh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7279/2020-410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LP/2020/173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 ods. 2 písm. d) a čl. 28 až 44 Zmluvy o fungovaní Európskej únie, </vt:lpwstr>
  </property>
  <property fmtid="{D5CDD505-2E9C-101B-9397-08002B2CF9AE}" pid="46" name="FSC#SKEDITIONSLOVLEX@103.510:AttrStrListDocPropSekundarneLegPravoPO">
    <vt:lpwstr>- vykonávacia smernica Komisie (EÚ) 2020/177 z 11. februára 2020, ktorou sa menia smernice Rady 66/401/EHS, 66/402/EHS, 68/193/EHS, 2002/55/ES, 2002/56/ES a 2002/57/ES, smernice Komisie 93/49/EHS a 93/61/EHS a vykonávacie smernice 2014/21/EÚ a 2014/98/EÚ,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2020/177 určuje lehotu na prevzatie do 31. mája 2020.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V oblasti upravenej predkladaným návrhom nebolo voči Slovenskej republike začaté konanie podľa čl. 258 a 260 Zmluvy o fungovaní Európskej únie.</vt:lpwstr>
  </property>
  <property fmtid="{D5CDD505-2E9C-101B-9397-08002B2CF9AE}" pid="54" name="FSC#SKEDITIONSLOVLEX@103.510:AttrStrListDocPropInfoUzPreberanePP">
    <vt:lpwstr>Vykonávacia smernica Komisie (EÚ) 2020/177 nie je prevzatá v žiadnom právnom predpise. Táto smernica sa preberá zároveň týmito návrhmi:_x000d_
-	návrh nariadenia vlády Slovenskej republiky č. .../2020 Z. z., ktorým sa mení a dopĺňa nariadenie vlády Slovenskej r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Alternatíva 0 (zachovanie súčasného stavu): nesúlad s právom Európskej únie.Alternatíva 1: Transpozícia vykonávacej smernice Komisie (EÚ) 2020/177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pôdohospodárstva Slovenskej republiky</vt:lpwstr>
  </property>
  <property fmtid="{D5CDD505-2E9C-101B-9397-08002B2CF9AE}" pid="141" name="FSC#SKEDITIONSLOVLEX@103.510:funkciaZodpPredAkuzativ">
    <vt:lpwstr>ministra pôdohospodárstva Slovenskej republiky</vt:lpwstr>
  </property>
  <property fmtid="{D5CDD505-2E9C-101B-9397-08002B2CF9AE}" pid="142" name="FSC#SKEDITIONSLOVLEX@103.510:funkciaZodpPredDativ">
    <vt:lpwstr>ministrovi pôdohospodárstva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Ing. Ján Mičovský_x000d_
minister pôdohospodárstva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 rozvoja vidieka Slovenskej republiky predkladá návrh nariadenia vlády Slovenskej republiky, ktorým sa mení a dopĺňa nariadenie vlády Slovenskej republiky č. 49/2007 Z. z., ktorým sa ustanovujú požiadavky na uvádzanie mno</vt:lpwstr>
  </property>
  <property fmtid="{D5CDD505-2E9C-101B-9397-08002B2CF9AE}" pid="149" name="FSC#COOSYSTEM@1.1:Container">
    <vt:lpwstr>COO.2145.1000.3.3906122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22. 6. 2020</vt:lpwstr>
  </property>
</Properties>
</file>