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E4" w:rsidRPr="005A6EBA" w:rsidRDefault="00575EE4" w:rsidP="00A200DF">
      <w:pPr>
        <w:spacing w:after="60"/>
        <w:jc w:val="center"/>
        <w:rPr>
          <w:b/>
          <w:caps/>
        </w:rPr>
      </w:pPr>
      <w:r w:rsidRPr="005A6EBA">
        <w:rPr>
          <w:b/>
          <w:caps/>
        </w:rPr>
        <w:t xml:space="preserve">Predkladacia správa </w:t>
      </w:r>
    </w:p>
    <w:p w:rsidR="00575EE4" w:rsidRPr="005A6EBA" w:rsidRDefault="00E154C1" w:rsidP="00A200DF">
      <w:pPr>
        <w:spacing w:after="60"/>
        <w:jc w:val="both"/>
      </w:pPr>
      <w:r w:rsidRPr="00B83A0E">
        <w:rPr>
          <w:lang w:eastAsia="sk-SK"/>
        </w:rPr>
        <w:tab/>
        <w:t>Návrh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zákona,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ktorým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sa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mení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32"/>
          <w:lang w:eastAsia="sk-SK"/>
        </w:rPr>
        <w:t> </w:t>
      </w:r>
      <w:r w:rsidRPr="00B83A0E">
        <w:rPr>
          <w:lang w:eastAsia="sk-SK"/>
        </w:rPr>
        <w:t>dopĺňa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zákon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č.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483/2001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z.</w:t>
      </w:r>
      <w:r w:rsidRPr="00B83A0E">
        <w:rPr>
          <w:spacing w:val="32"/>
          <w:lang w:eastAsia="sk-SK"/>
        </w:rPr>
        <w:t xml:space="preserve"> </w:t>
      </w:r>
      <w:r w:rsidRPr="00B83A0E">
        <w:rPr>
          <w:lang w:eastAsia="sk-SK"/>
        </w:rPr>
        <w:t>o</w:t>
      </w:r>
      <w:r w:rsidRPr="00B83A0E">
        <w:rPr>
          <w:spacing w:val="32"/>
          <w:lang w:eastAsia="sk-SK"/>
        </w:rPr>
        <w:t> </w:t>
      </w:r>
      <w:r w:rsidRPr="00B83A0E">
        <w:rPr>
          <w:lang w:eastAsia="sk-SK"/>
        </w:rPr>
        <w:t>bankách a</w:t>
      </w:r>
      <w:r w:rsidRPr="00B83A0E">
        <w:rPr>
          <w:spacing w:val="32"/>
          <w:lang w:eastAsia="sk-SK"/>
        </w:rPr>
        <w:t> </w:t>
      </w:r>
      <w:r w:rsidRPr="00B83A0E">
        <w:rPr>
          <w:lang w:eastAsia="sk-SK"/>
        </w:rPr>
        <w:t>o zmene a doplnení niektorých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zákonov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v</w:t>
      </w:r>
      <w:r w:rsidRPr="00B83A0E">
        <w:rPr>
          <w:spacing w:val="19"/>
          <w:lang w:eastAsia="sk-SK"/>
        </w:rPr>
        <w:t> </w:t>
      </w:r>
      <w:r w:rsidRPr="00B83A0E">
        <w:rPr>
          <w:lang w:eastAsia="sk-SK"/>
        </w:rPr>
        <w:t>znení neskorších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predpisov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19"/>
          <w:lang w:eastAsia="sk-SK"/>
        </w:rPr>
        <w:t> </w:t>
      </w:r>
      <w:r w:rsidRPr="00B83A0E">
        <w:rPr>
          <w:lang w:eastAsia="sk-SK"/>
        </w:rPr>
        <w:t>ktorým sa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menia</w:t>
      </w:r>
      <w:r w:rsidRPr="00B83A0E">
        <w:rPr>
          <w:spacing w:val="19"/>
          <w:lang w:eastAsia="sk-SK"/>
        </w:rPr>
        <w:t xml:space="preserve"> </w:t>
      </w:r>
      <w:r w:rsidRPr="00B83A0E">
        <w:rPr>
          <w:lang w:eastAsia="sk-SK"/>
        </w:rPr>
        <w:t>a</w:t>
      </w:r>
      <w:r w:rsidRPr="00B83A0E">
        <w:rPr>
          <w:spacing w:val="19"/>
          <w:lang w:eastAsia="sk-SK"/>
        </w:rPr>
        <w:t> </w:t>
      </w:r>
      <w:r w:rsidRPr="00B83A0E">
        <w:rPr>
          <w:lang w:eastAsia="sk-SK"/>
        </w:rPr>
        <w:t>dopĺňajú niektoré zákony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(ďalej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len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„návrh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zákona“)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vypracovalo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Ministerstvo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financií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>Slovenskej</w:t>
      </w:r>
      <w:r w:rsidRPr="00B83A0E">
        <w:rPr>
          <w:spacing w:val="101"/>
          <w:lang w:eastAsia="sk-SK"/>
        </w:rPr>
        <w:t xml:space="preserve"> </w:t>
      </w:r>
      <w:r w:rsidRPr="00B83A0E">
        <w:rPr>
          <w:lang w:eastAsia="sk-SK"/>
        </w:rPr>
        <w:t xml:space="preserve">republiky. </w:t>
      </w:r>
      <w:proofErr w:type="spellStart"/>
      <w:r w:rsidRPr="00B83A0E">
        <w:rPr>
          <w:lang w:eastAsia="sk-SK"/>
        </w:rPr>
        <w:t>Spolugestorom</w:t>
      </w:r>
      <w:proofErr w:type="spellEnd"/>
      <w:r w:rsidRPr="00B83A0E">
        <w:rPr>
          <w:lang w:eastAsia="sk-SK"/>
        </w:rPr>
        <w:t xml:space="preserve"> transpozície bola určená Národná</w:t>
      </w:r>
      <w:r w:rsidRPr="00B83A0E">
        <w:rPr>
          <w:spacing w:val="7"/>
          <w:lang w:eastAsia="sk-SK"/>
        </w:rPr>
        <w:t xml:space="preserve"> </w:t>
      </w:r>
      <w:r w:rsidRPr="00B83A0E">
        <w:rPr>
          <w:lang w:eastAsia="sk-SK"/>
        </w:rPr>
        <w:t>banka</w:t>
      </w:r>
      <w:r w:rsidRPr="00B83A0E">
        <w:rPr>
          <w:spacing w:val="7"/>
          <w:lang w:eastAsia="sk-SK"/>
        </w:rPr>
        <w:t xml:space="preserve"> </w:t>
      </w:r>
      <w:r w:rsidRPr="00B83A0E">
        <w:rPr>
          <w:lang w:eastAsia="sk-SK"/>
        </w:rPr>
        <w:t>Slovenska</w:t>
      </w:r>
      <w:r>
        <w:rPr>
          <w:lang w:eastAsia="sk-SK"/>
        </w:rPr>
        <w:t>, ktorá je zároveň aj spolupredkladateľom</w:t>
      </w:r>
      <w:r w:rsidRPr="00B83A0E">
        <w:rPr>
          <w:lang w:eastAsia="sk-SK"/>
        </w:rPr>
        <w:t>.</w:t>
      </w:r>
      <w:r>
        <w:rPr>
          <w:lang w:eastAsia="sk-SK"/>
        </w:rPr>
        <w:t xml:space="preserve"> </w:t>
      </w:r>
      <w:r w:rsidR="0049783B" w:rsidRPr="005A6EBA">
        <w:t xml:space="preserve">Cieľom </w:t>
      </w:r>
      <w:r w:rsidR="00575EE4" w:rsidRPr="005A6EBA">
        <w:t>návrhu zákona</w:t>
      </w:r>
      <w:r>
        <w:t xml:space="preserve"> </w:t>
      </w:r>
      <w:r w:rsidR="00575EE4" w:rsidRPr="005A6EBA">
        <w:t>je</w:t>
      </w:r>
      <w:r w:rsidR="00B81523" w:rsidRPr="005A6EBA">
        <w:t xml:space="preserve"> </w:t>
      </w:r>
      <w:r w:rsidR="00345D3E" w:rsidRPr="005A6EBA">
        <w:t>transpozícia</w:t>
      </w:r>
      <w:r w:rsidR="00575EE4" w:rsidRPr="005A6EBA">
        <w:t xml:space="preserve"> smernice Európskeho parlamentu a Rady (EÚ) 2019/878/EU z 20. mája 2019, ktorou sa mení smernica 2013/36/EU, pokiaľ ide o oslobodené subjekty, finančné holdingové spoločnosti, zmiešané finančné holdingové spoločnosti, odmeňovanie, opatrenia a právomoci v oblasti dohľadu a opatrenia na zachovanie kapitálu (ďalej len „CRD</w:t>
      </w:r>
      <w:r w:rsidR="004A0A5A" w:rsidRPr="005A6EBA">
        <w:rPr>
          <w:spacing w:val="19"/>
          <w:lang w:eastAsia="sk-SK"/>
        </w:rPr>
        <w:t> </w:t>
      </w:r>
      <w:r w:rsidR="00575EE4" w:rsidRPr="005A6EBA">
        <w:t>V“), ktorej hlavným cieľom je znižovanie rizík v bankovom sektore.</w:t>
      </w:r>
    </w:p>
    <w:p w:rsidR="00FB7CCE" w:rsidRPr="005A6EBA" w:rsidRDefault="00FB7CCE" w:rsidP="00A200DF">
      <w:pPr>
        <w:jc w:val="both"/>
      </w:pPr>
      <w:r w:rsidRPr="005A6EBA">
        <w:tab/>
        <w:t>Medzi najdôležitejšie zmeny, ktoré zavádza návrh zákona, patria:</w:t>
      </w:r>
    </w:p>
    <w:p w:rsidR="00FB7CCE" w:rsidRPr="005A6EBA" w:rsidRDefault="00FB7CCE" w:rsidP="00A200DF">
      <w:pPr>
        <w:pStyle w:val="Odsekzoznamu"/>
        <w:numPr>
          <w:ilvl w:val="0"/>
          <w:numId w:val="5"/>
        </w:numPr>
        <w:ind w:left="425" w:hanging="284"/>
        <w:jc w:val="both"/>
      </w:pPr>
      <w:r w:rsidRPr="005A6EBA">
        <w:rPr>
          <w:u w:val="single"/>
        </w:rPr>
        <w:t>Zmeny v pravidlách na výpočet kapitálových požiadaviek</w:t>
      </w:r>
      <w:r w:rsidRPr="005A6EBA">
        <w:t xml:space="preserve"> </w:t>
      </w:r>
      <w:r w:rsidR="00D805AE" w:rsidRPr="005A6EBA">
        <w:t xml:space="preserve">– </w:t>
      </w:r>
      <w:r w:rsidRPr="005A6EBA">
        <w:t xml:space="preserve">upravujú sa podmienky na </w:t>
      </w:r>
      <w:r w:rsidR="006A6F29" w:rsidRPr="005A6EBA">
        <w:t xml:space="preserve">určenie </w:t>
      </w:r>
      <w:r w:rsidRPr="005A6EBA">
        <w:t>osobitn</w:t>
      </w:r>
      <w:r w:rsidR="006A6F29" w:rsidRPr="005A6EBA">
        <w:t>ej</w:t>
      </w:r>
      <w:r w:rsidRPr="005A6EBA">
        <w:t xml:space="preserve"> požiadavk</w:t>
      </w:r>
      <w:r w:rsidR="006A6F29" w:rsidRPr="005A6EBA">
        <w:t>y</w:t>
      </w:r>
      <w:r w:rsidRPr="005A6EBA">
        <w:t xml:space="preserve"> na vlastné zdroje</w:t>
      </w:r>
      <w:r w:rsidR="006A6F29" w:rsidRPr="005A6EBA">
        <w:t xml:space="preserve"> (§ 29</w:t>
      </w:r>
      <w:r w:rsidR="00A40185" w:rsidRPr="005A6EBA">
        <w:t>b</w:t>
      </w:r>
      <w:r w:rsidR="00B5749C" w:rsidRPr="005A6EBA">
        <w:t xml:space="preserve"> návrhu zákona</w:t>
      </w:r>
      <w:r w:rsidR="006A6F29" w:rsidRPr="005A6EBA">
        <w:t>),</w:t>
      </w:r>
      <w:r w:rsidRPr="005A6EBA">
        <w:t xml:space="preserve"> ako aj odporúčania týkajúce sa dodatočných vlastných </w:t>
      </w:r>
      <w:r w:rsidR="00E95E5A" w:rsidRPr="005A6EBA">
        <w:t>zdrojov</w:t>
      </w:r>
      <w:r w:rsidR="006A6F29" w:rsidRPr="005A6EBA">
        <w:t xml:space="preserve"> (§ 29</w:t>
      </w:r>
      <w:r w:rsidR="00A40185" w:rsidRPr="005A6EBA">
        <w:t>a</w:t>
      </w:r>
      <w:r w:rsidR="00B5749C" w:rsidRPr="005A6EBA">
        <w:t xml:space="preserve"> návrhu zákona</w:t>
      </w:r>
      <w:r w:rsidR="006A6F29" w:rsidRPr="005A6EBA">
        <w:t>)</w:t>
      </w:r>
      <w:r w:rsidR="00E95E5A" w:rsidRPr="005A6EBA">
        <w:t xml:space="preserve">, kedy </w:t>
      </w:r>
      <w:r w:rsidR="00D805AE" w:rsidRPr="005A6EBA">
        <w:t xml:space="preserve">Národná banka Slovenska ako </w:t>
      </w:r>
      <w:r w:rsidR="00E95E5A" w:rsidRPr="005A6EBA">
        <w:t>orgán dohľadu oznámi banke svoje očakávania týkajúce sa výšky kapitálu držaného nad rámec kapitálových požiadaviek a rezerv. Ide o</w:t>
      </w:r>
      <w:r w:rsidR="00C70CF8" w:rsidRPr="005A6EBA">
        <w:t> </w:t>
      </w:r>
      <w:r w:rsidR="00E95E5A" w:rsidRPr="005A6EBA">
        <w:t>„mäkkú“ požiadavku orgánu dohľadu, ktorá predstavuje nový, menej prísny</w:t>
      </w:r>
      <w:r w:rsidR="00D805AE" w:rsidRPr="005A6EBA">
        <w:t xml:space="preserve"> a </w:t>
      </w:r>
      <w:r w:rsidR="00E95E5A" w:rsidRPr="005A6EBA">
        <w:t xml:space="preserve">menej formálny nástroj v porovnaní s osobitnou požiadavkou na vlastné zdroje. V prípade opakovaného neplnenia tejto mäkkej požiadavky, </w:t>
      </w:r>
      <w:r w:rsidR="00D805AE" w:rsidRPr="005A6EBA">
        <w:t>Národná banka Slovenska</w:t>
      </w:r>
      <w:r w:rsidR="00E95E5A" w:rsidRPr="005A6EBA">
        <w:t xml:space="preserve"> má právomoc udeliť „tvrdú“ požiadavku na navýšenie kapitálu v rámci </w:t>
      </w:r>
      <w:r w:rsidR="001D7558" w:rsidRPr="005A6EBA">
        <w:t>druhého piliera</w:t>
      </w:r>
      <w:r w:rsidR="00E95E5A" w:rsidRPr="005A6EBA">
        <w:t>.</w:t>
      </w:r>
    </w:p>
    <w:p w:rsidR="00E95E5A" w:rsidRPr="005A6EBA" w:rsidRDefault="00E95E5A" w:rsidP="00A200DF">
      <w:pPr>
        <w:pStyle w:val="Odsekzoznamu"/>
        <w:numPr>
          <w:ilvl w:val="0"/>
          <w:numId w:val="5"/>
        </w:numPr>
        <w:ind w:left="426" w:hanging="284"/>
        <w:jc w:val="both"/>
      </w:pPr>
      <w:r w:rsidRPr="005A6EBA">
        <w:rPr>
          <w:u w:val="single"/>
        </w:rPr>
        <w:t xml:space="preserve">Zmeny v úprave kapitálových </w:t>
      </w:r>
      <w:r w:rsidR="006422D7" w:rsidRPr="005A6EBA">
        <w:rPr>
          <w:u w:val="single"/>
        </w:rPr>
        <w:t>vankúšov</w:t>
      </w:r>
      <w:r w:rsidRPr="005A6EBA">
        <w:t xml:space="preserve"> –</w:t>
      </w:r>
      <w:r w:rsidR="002819E5" w:rsidRPr="005A6EBA">
        <w:t xml:space="preserve"> </w:t>
      </w:r>
      <w:r w:rsidR="002819E5" w:rsidRPr="005A6EBA">
        <w:rPr>
          <w:bCs/>
        </w:rPr>
        <w:t xml:space="preserve">možnosť ukladať vankúš pre krytie systémového rizika voči typom expozícií, ktoré sú vrátane </w:t>
      </w:r>
      <w:proofErr w:type="spellStart"/>
      <w:r w:rsidR="002819E5" w:rsidRPr="005A6EBA">
        <w:rPr>
          <w:bCs/>
        </w:rPr>
        <w:t>podsúborov</w:t>
      </w:r>
      <w:proofErr w:type="spellEnd"/>
      <w:r w:rsidR="002819E5" w:rsidRPr="005A6EBA">
        <w:rPr>
          <w:bCs/>
        </w:rPr>
        <w:t xml:space="preserve"> vymedzené v</w:t>
      </w:r>
      <w:r w:rsidR="00C70CF8" w:rsidRPr="005A6EBA">
        <w:t> </w:t>
      </w:r>
      <w:r w:rsidR="002819E5" w:rsidRPr="005A6EBA">
        <w:rPr>
          <w:bCs/>
        </w:rPr>
        <w:t>§</w:t>
      </w:r>
      <w:r w:rsidR="00C70CF8" w:rsidRPr="005A6EBA">
        <w:t> </w:t>
      </w:r>
      <w:r w:rsidR="002819E5" w:rsidRPr="005A6EBA">
        <w:rPr>
          <w:bCs/>
        </w:rPr>
        <w:t xml:space="preserve">33e ods. 2. Pre jednotlivé skupiny bánk a typy expozícií tak môžu byť zavedené rôzne požiadavky. Sadzba </w:t>
      </w:r>
      <w:proofErr w:type="spellStart"/>
      <w:r w:rsidR="002819E5" w:rsidRPr="005A6EBA">
        <w:rPr>
          <w:bCs/>
        </w:rPr>
        <w:t>proticyklického</w:t>
      </w:r>
      <w:proofErr w:type="spellEnd"/>
      <w:r w:rsidR="002819E5" w:rsidRPr="005A6EBA">
        <w:rPr>
          <w:bCs/>
        </w:rPr>
        <w:t xml:space="preserve"> kapitálového vankúša už nie je stanovovaná štvrťročne, ale len v prípadoch, kedy na základe hodnotenia Národnej banky Slovenska dôjde k zmene miery cyklického systémového rizika (§ 33g ods. 1</w:t>
      </w:r>
      <w:r w:rsidR="00B5749C" w:rsidRPr="005A6EBA">
        <w:rPr>
          <w:bCs/>
        </w:rPr>
        <w:t xml:space="preserve"> návrhu zákona</w:t>
      </w:r>
      <w:r w:rsidR="002819E5" w:rsidRPr="005A6EBA">
        <w:rPr>
          <w:bCs/>
        </w:rPr>
        <w:t>). Takisto dochádza k úprave limitov možných sadzieb vankúšov pre lokálne systémovo významnú banku (O-SII) – posun hornej hranice sadzby z 2 % na 3 % (§ 33d ods. 6</w:t>
      </w:r>
      <w:r w:rsidR="00B5749C" w:rsidRPr="005A6EBA">
        <w:rPr>
          <w:bCs/>
        </w:rPr>
        <w:t xml:space="preserve"> návrhu zákona</w:t>
      </w:r>
      <w:r w:rsidR="002819E5" w:rsidRPr="005A6EBA">
        <w:rPr>
          <w:bCs/>
        </w:rPr>
        <w:t>), resp. na základe súhlasu Európskej komisie môže Národná banka Slovenska stanoviť vyššiu sadzbu (§ 33d ods. 7</w:t>
      </w:r>
      <w:r w:rsidR="00B5749C" w:rsidRPr="005A6EBA">
        <w:rPr>
          <w:bCs/>
        </w:rPr>
        <w:t xml:space="preserve"> návrhu zákona</w:t>
      </w:r>
      <w:r w:rsidR="002819E5" w:rsidRPr="005A6EBA">
        <w:rPr>
          <w:bCs/>
        </w:rPr>
        <w:t>). V § 33ka</w:t>
      </w:r>
      <w:r w:rsidR="00B5749C" w:rsidRPr="005A6EBA">
        <w:rPr>
          <w:bCs/>
        </w:rPr>
        <w:t xml:space="preserve"> návrhu zákona</w:t>
      </w:r>
      <w:r w:rsidR="002819E5" w:rsidRPr="005A6EBA">
        <w:rPr>
          <w:bCs/>
        </w:rPr>
        <w:t xml:space="preserve"> sa zavádza nov</w:t>
      </w:r>
      <w:r w:rsidR="00E56339" w:rsidRPr="005A6EBA">
        <w:rPr>
          <w:bCs/>
        </w:rPr>
        <w:t>á</w:t>
      </w:r>
      <w:r w:rsidR="002819E5" w:rsidRPr="005A6EBA">
        <w:rPr>
          <w:bCs/>
        </w:rPr>
        <w:t xml:space="preserve"> povinnosť pre globálne systémovo významné banky (G-SII), ktorá sa týka rozdeľovania výnosov, a to v nadväznosti na ich povinnosť plniť kapitálové p</w:t>
      </w:r>
      <w:r w:rsidR="0049783B" w:rsidRPr="005A6EBA">
        <w:rPr>
          <w:bCs/>
        </w:rPr>
        <w:t>ožiadavky na vankúš ukazovateľa</w:t>
      </w:r>
      <w:r w:rsidR="002819E5" w:rsidRPr="005A6EBA">
        <w:rPr>
          <w:bCs/>
        </w:rPr>
        <w:t xml:space="preserve"> finančnej páky</w:t>
      </w:r>
      <w:r w:rsidR="00C70CF8" w:rsidRPr="005A6EBA">
        <w:rPr>
          <w:bCs/>
        </w:rPr>
        <w:t>.</w:t>
      </w:r>
    </w:p>
    <w:p w:rsidR="00E95E5A" w:rsidRPr="005A6EBA" w:rsidRDefault="00A73789" w:rsidP="00A200DF">
      <w:pPr>
        <w:pStyle w:val="Odsekzoznamu"/>
        <w:numPr>
          <w:ilvl w:val="0"/>
          <w:numId w:val="5"/>
        </w:numPr>
        <w:ind w:left="426" w:hanging="284"/>
        <w:jc w:val="both"/>
      </w:pPr>
      <w:r w:rsidRPr="005A6EBA">
        <w:rPr>
          <w:u w:val="single"/>
        </w:rPr>
        <w:t>Zmeny v oblasti regulácie finančných holdingových spoločností a zmiešaných finančných holdingových spoločností</w:t>
      </w:r>
      <w:r w:rsidR="00E95E5A" w:rsidRPr="005A6EBA">
        <w:t xml:space="preserve"> – </w:t>
      </w:r>
      <w:r w:rsidR="006A6F29" w:rsidRPr="005A6EBA">
        <w:t>d</w:t>
      </w:r>
      <w:r w:rsidRPr="005A6EBA">
        <w:t xml:space="preserve">ôvodom týchto zmien sú situácie, kedy banka ovládaná holdingovými spoločnosťami nie je schopná zaistiť splnenie požiadaviek na konsolidovanom základe v rámci celej skupiny. Preto sa navrhuje, aby </w:t>
      </w:r>
      <w:r w:rsidR="00DF5004" w:rsidRPr="005A6EBA">
        <w:t>finančné holdingové</w:t>
      </w:r>
      <w:r w:rsidRPr="005A6EBA">
        <w:t xml:space="preserve"> spoločnosti</w:t>
      </w:r>
      <w:r w:rsidR="00DF5004" w:rsidRPr="005A6EBA">
        <w:t xml:space="preserve"> a zmiešané finančné holdingové spoločnosti</w:t>
      </w:r>
      <w:r w:rsidRPr="005A6EBA">
        <w:t xml:space="preserve"> </w:t>
      </w:r>
      <w:r w:rsidR="006A6F29" w:rsidRPr="005A6EBA">
        <w:t>za presne stanovených podmienok boli povinné získať súhlas na vykonávanie činnosti podľa § 20a</w:t>
      </w:r>
      <w:r w:rsidR="00B5749C" w:rsidRPr="005A6EBA">
        <w:t xml:space="preserve"> </w:t>
      </w:r>
      <w:r w:rsidR="00B5749C" w:rsidRPr="005A6EBA">
        <w:rPr>
          <w:bCs/>
        </w:rPr>
        <w:t>návrhu zákona</w:t>
      </w:r>
      <w:r w:rsidRPr="005A6EBA">
        <w:t xml:space="preserve">. </w:t>
      </w:r>
    </w:p>
    <w:p w:rsidR="00A73789" w:rsidRPr="005A6EBA" w:rsidRDefault="00A73789" w:rsidP="00A200DF">
      <w:pPr>
        <w:pStyle w:val="Odsekzoznamu"/>
        <w:numPr>
          <w:ilvl w:val="0"/>
          <w:numId w:val="5"/>
        </w:numPr>
        <w:ind w:left="426" w:hanging="284"/>
        <w:jc w:val="both"/>
      </w:pPr>
      <w:r w:rsidRPr="005A6EBA">
        <w:rPr>
          <w:u w:val="single"/>
        </w:rPr>
        <w:t xml:space="preserve">Zavedenie povinnosti ustanoviť </w:t>
      </w:r>
      <w:proofErr w:type="spellStart"/>
      <w:r w:rsidRPr="005A6EBA">
        <w:rPr>
          <w:u w:val="single"/>
        </w:rPr>
        <w:t>sprostredkujúcu</w:t>
      </w:r>
      <w:proofErr w:type="spellEnd"/>
      <w:r w:rsidRPr="005A6EBA">
        <w:rPr>
          <w:u w:val="single"/>
        </w:rPr>
        <w:t xml:space="preserve"> materskú spoločnosť</w:t>
      </w:r>
      <w:r w:rsidR="00C70CF8" w:rsidRPr="005A6EBA">
        <w:rPr>
          <w:u w:val="single"/>
        </w:rPr>
        <w:t xml:space="preserve"> v Európskej únii</w:t>
      </w:r>
      <w:r w:rsidRPr="005A6EBA">
        <w:rPr>
          <w:u w:val="single"/>
        </w:rPr>
        <w:t xml:space="preserve"> pre veľké skupiny </w:t>
      </w:r>
      <w:r w:rsidR="003B2FCB" w:rsidRPr="005A6EBA">
        <w:rPr>
          <w:u w:val="single"/>
        </w:rPr>
        <w:t xml:space="preserve">pochádzajúce </w:t>
      </w:r>
      <w:r w:rsidRPr="005A6EBA">
        <w:rPr>
          <w:u w:val="single"/>
        </w:rPr>
        <w:t>mimo územia Európskej únie</w:t>
      </w:r>
      <w:r w:rsidR="00B81523" w:rsidRPr="005A6EBA">
        <w:rPr>
          <w:u w:val="single"/>
        </w:rPr>
        <w:t>, ktorých súčasťou sú aspoň dve dcérske spoločnosti, ktoré sú inštitúciami v Európskej únii</w:t>
      </w:r>
      <w:r w:rsidR="00B81523" w:rsidRPr="005A6EBA">
        <w:t xml:space="preserve"> – cieľom </w:t>
      </w:r>
      <w:r w:rsidR="00B655B0" w:rsidRPr="005A6EBA">
        <w:t xml:space="preserve">je najmä </w:t>
      </w:r>
      <w:r w:rsidR="00B81523" w:rsidRPr="005A6EBA">
        <w:t>uľahčiť dohľad na</w:t>
      </w:r>
      <w:r w:rsidR="007A5676" w:rsidRPr="005A6EBA">
        <w:t>d</w:t>
      </w:r>
      <w:r w:rsidR="00B81523" w:rsidRPr="005A6EBA">
        <w:t xml:space="preserve"> takýmito skupina</w:t>
      </w:r>
      <w:r w:rsidR="00D805AE" w:rsidRPr="005A6EBA">
        <w:t>mi</w:t>
      </w:r>
      <w:r w:rsidR="00B81523" w:rsidRPr="005A6EBA">
        <w:t xml:space="preserve"> a zvýšiť spôsobilosť dotknutých subjektov pri riešení kríz.</w:t>
      </w:r>
    </w:p>
    <w:p w:rsidR="005D1D48" w:rsidRPr="005A6EBA" w:rsidRDefault="00B81523" w:rsidP="00A200DF">
      <w:pPr>
        <w:pStyle w:val="Odsekzoznamu"/>
        <w:numPr>
          <w:ilvl w:val="0"/>
          <w:numId w:val="5"/>
        </w:numPr>
        <w:spacing w:after="60"/>
        <w:ind w:left="426" w:hanging="284"/>
        <w:jc w:val="both"/>
      </w:pPr>
      <w:r w:rsidRPr="005A6EBA">
        <w:rPr>
          <w:u w:val="single"/>
        </w:rPr>
        <w:t>Zmeny v úprave odmeňovania</w:t>
      </w:r>
      <w:r w:rsidRPr="005A6EBA">
        <w:t xml:space="preserve"> – ich cieľom je predovšetkým zohľadniť princíp proporcionality</w:t>
      </w:r>
      <w:r w:rsidR="00D805AE" w:rsidRPr="005A6EBA">
        <w:t>, najmä v prípade presne vymedzených menších bánk a zamestnancov s nízkymi úrovňami pohyblivej zložky odmeňovania.</w:t>
      </w:r>
    </w:p>
    <w:p w:rsidR="00494441" w:rsidRPr="005A6EBA" w:rsidRDefault="00494441" w:rsidP="00A200DF">
      <w:pPr>
        <w:spacing w:after="60"/>
        <w:jc w:val="both"/>
      </w:pPr>
      <w:r w:rsidRPr="005A6EBA">
        <w:tab/>
        <w:t>V súlade so zmenami v CRD</w:t>
      </w:r>
      <w:r w:rsidR="00CB1559" w:rsidRPr="005A6EBA">
        <w:t xml:space="preserve"> V </w:t>
      </w:r>
      <w:r w:rsidRPr="005A6EBA">
        <w:t>sa návrhom zákona novelizuje zákon č. 483/2001 Z. z. o</w:t>
      </w:r>
      <w:r w:rsidR="0049783B" w:rsidRPr="005A6EBA">
        <w:t> </w:t>
      </w:r>
      <w:r w:rsidRPr="005A6EBA">
        <w:t>bankách</w:t>
      </w:r>
      <w:r w:rsidR="0049783B" w:rsidRPr="005A6EBA">
        <w:t xml:space="preserve"> a o zmene a doplnení niektorých zákonov v znení neskorších predpisov</w:t>
      </w:r>
      <w:r w:rsidRPr="005A6EBA">
        <w:t xml:space="preserve"> a zákon č.</w:t>
      </w:r>
      <w:r w:rsidR="0049783B" w:rsidRPr="005A6EBA">
        <w:t> </w:t>
      </w:r>
      <w:r w:rsidRPr="005A6EBA">
        <w:t>566/2001 Z. z. o cenných papieroch a investičných službách a o zmene a</w:t>
      </w:r>
      <w:r w:rsidR="00080949" w:rsidRPr="005A6EBA">
        <w:t> </w:t>
      </w:r>
      <w:r w:rsidRPr="005A6EBA">
        <w:t xml:space="preserve">doplnení niektorých zákonov (zákon o cenných papieroch) v znení neskorších predpisov. </w:t>
      </w:r>
    </w:p>
    <w:p w:rsidR="005C4EB8" w:rsidRPr="005A6EBA" w:rsidRDefault="008B170E" w:rsidP="00A200DF">
      <w:pPr>
        <w:jc w:val="both"/>
      </w:pPr>
      <w:r w:rsidRPr="005A6EBA">
        <w:lastRenderedPageBreak/>
        <w:tab/>
        <w:t xml:space="preserve">Súčasťou návrhu sú </w:t>
      </w:r>
      <w:r w:rsidR="00080949" w:rsidRPr="005A6EBA">
        <w:t xml:space="preserve">aj ďalšie úpravy technického charakteru vyplývajúce z aplikačnej praxe, ako aj legislatívne úpravy </w:t>
      </w:r>
      <w:r w:rsidRPr="005A6EBA">
        <w:t>súvisiace s dosiahnutím ú</w:t>
      </w:r>
      <w:r w:rsidR="00080949" w:rsidRPr="005A6EBA">
        <w:t>plnej transpozície</w:t>
      </w:r>
      <w:r w:rsidR="005C4EB8" w:rsidRPr="005A6EBA">
        <w:t>:</w:t>
      </w:r>
    </w:p>
    <w:p w:rsidR="00080949" w:rsidRPr="005A6EBA" w:rsidRDefault="008B170E" w:rsidP="00A200DF">
      <w:pPr>
        <w:pStyle w:val="Odsekzoznamu"/>
        <w:numPr>
          <w:ilvl w:val="3"/>
          <w:numId w:val="6"/>
        </w:numPr>
        <w:ind w:left="426"/>
        <w:jc w:val="both"/>
        <w:rPr>
          <w:shd w:val="clear" w:color="auto" w:fill="FFFFFF"/>
        </w:rPr>
      </w:pPr>
      <w:r w:rsidRPr="005A6EBA">
        <w:t xml:space="preserve">smernice </w:t>
      </w:r>
      <w:r w:rsidR="00080949" w:rsidRPr="005A6EBA">
        <w:rPr>
          <w:lang w:eastAsia="sk-SK"/>
        </w:rPr>
        <w:t>Európskeho</w:t>
      </w:r>
      <w:r w:rsidR="00080949" w:rsidRPr="005A6EBA">
        <w:rPr>
          <w:spacing w:val="6"/>
          <w:lang w:eastAsia="sk-SK"/>
        </w:rPr>
        <w:t xml:space="preserve"> </w:t>
      </w:r>
      <w:r w:rsidR="00080949" w:rsidRPr="005A6EBA">
        <w:rPr>
          <w:lang w:eastAsia="sk-SK"/>
        </w:rPr>
        <w:t>parlamentu</w:t>
      </w:r>
      <w:r w:rsidR="00080949" w:rsidRPr="005A6EBA">
        <w:rPr>
          <w:spacing w:val="6"/>
          <w:lang w:eastAsia="sk-SK"/>
        </w:rPr>
        <w:t xml:space="preserve"> </w:t>
      </w:r>
      <w:r w:rsidR="00080949" w:rsidRPr="005A6EBA">
        <w:rPr>
          <w:lang w:eastAsia="sk-SK"/>
        </w:rPr>
        <w:t>a</w:t>
      </w:r>
      <w:r w:rsidR="00080949" w:rsidRPr="005A6EBA">
        <w:rPr>
          <w:spacing w:val="6"/>
          <w:lang w:eastAsia="sk-SK"/>
        </w:rPr>
        <w:t> </w:t>
      </w:r>
      <w:r w:rsidR="00080949" w:rsidRPr="005A6EBA">
        <w:rPr>
          <w:lang w:eastAsia="sk-SK"/>
        </w:rPr>
        <w:t>Rady 2013/36/EÚ</w:t>
      </w:r>
      <w:r w:rsidR="00080949" w:rsidRPr="005A6EBA">
        <w:rPr>
          <w:spacing w:val="6"/>
          <w:lang w:eastAsia="sk-SK"/>
        </w:rPr>
        <w:t xml:space="preserve"> </w:t>
      </w:r>
      <w:r w:rsidR="00080949" w:rsidRPr="005A6EBA">
        <w:rPr>
          <w:lang w:eastAsia="sk-SK"/>
        </w:rPr>
        <w:t>z</w:t>
      </w:r>
      <w:r w:rsidR="00080949" w:rsidRPr="005A6EBA">
        <w:rPr>
          <w:spacing w:val="6"/>
          <w:lang w:eastAsia="sk-SK"/>
        </w:rPr>
        <w:t xml:space="preserve"> </w:t>
      </w:r>
      <w:r w:rsidR="00080949" w:rsidRPr="005A6EBA">
        <w:rPr>
          <w:lang w:eastAsia="sk-SK"/>
        </w:rPr>
        <w:t>26.</w:t>
      </w:r>
      <w:r w:rsidR="00080949" w:rsidRPr="005A6EBA">
        <w:rPr>
          <w:spacing w:val="6"/>
          <w:lang w:eastAsia="sk-SK"/>
        </w:rPr>
        <w:t xml:space="preserve"> </w:t>
      </w:r>
      <w:r w:rsidR="00080949" w:rsidRPr="005A6EBA">
        <w:rPr>
          <w:lang w:eastAsia="sk-SK"/>
        </w:rPr>
        <w:t>júna</w:t>
      </w:r>
      <w:r w:rsidR="00080949" w:rsidRPr="005A6EBA">
        <w:rPr>
          <w:spacing w:val="6"/>
          <w:lang w:eastAsia="sk-SK"/>
        </w:rPr>
        <w:t xml:space="preserve"> </w:t>
      </w:r>
      <w:r w:rsidR="00080949" w:rsidRPr="005A6EBA">
        <w:rPr>
          <w:lang w:eastAsia="sk-SK"/>
        </w:rPr>
        <w:t>2013</w:t>
      </w:r>
      <w:r w:rsidR="00080949" w:rsidRPr="005A6EBA">
        <w:rPr>
          <w:spacing w:val="6"/>
          <w:lang w:eastAsia="sk-SK"/>
        </w:rPr>
        <w:t xml:space="preserve"> </w:t>
      </w:r>
      <w:r w:rsidR="00080949" w:rsidRPr="005A6EBA">
        <w:rPr>
          <w:lang w:eastAsia="sk-SK"/>
        </w:rPr>
        <w:t>o</w:t>
      </w:r>
      <w:r w:rsidR="00080949" w:rsidRPr="005A6EBA">
        <w:rPr>
          <w:spacing w:val="6"/>
          <w:lang w:eastAsia="sk-SK"/>
        </w:rPr>
        <w:t> </w:t>
      </w:r>
      <w:r w:rsidR="00080949" w:rsidRPr="005A6EBA">
        <w:rPr>
          <w:lang w:eastAsia="sk-SK"/>
        </w:rPr>
        <w:t>prístupe k</w:t>
      </w:r>
      <w:r w:rsidR="00080949" w:rsidRPr="005A6EBA">
        <w:rPr>
          <w:spacing w:val="6"/>
          <w:lang w:eastAsia="sk-SK"/>
        </w:rPr>
        <w:t> </w:t>
      </w:r>
      <w:r w:rsidR="00080949" w:rsidRPr="005A6EBA">
        <w:rPr>
          <w:lang w:eastAsia="sk-SK"/>
        </w:rPr>
        <w:t>činnosti úverových</w:t>
      </w:r>
      <w:r w:rsidR="00080949" w:rsidRPr="005A6EBA">
        <w:rPr>
          <w:spacing w:val="24"/>
          <w:lang w:eastAsia="sk-SK"/>
        </w:rPr>
        <w:t xml:space="preserve"> </w:t>
      </w:r>
      <w:r w:rsidR="00080949" w:rsidRPr="005A6EBA">
        <w:rPr>
          <w:lang w:eastAsia="sk-SK"/>
        </w:rPr>
        <w:t>inštitúcií</w:t>
      </w:r>
      <w:r w:rsidR="00080949" w:rsidRPr="005A6EBA">
        <w:rPr>
          <w:spacing w:val="24"/>
          <w:lang w:eastAsia="sk-SK"/>
        </w:rPr>
        <w:t xml:space="preserve"> </w:t>
      </w:r>
      <w:r w:rsidR="00080949" w:rsidRPr="005A6EBA">
        <w:rPr>
          <w:lang w:eastAsia="sk-SK"/>
        </w:rPr>
        <w:t>a</w:t>
      </w:r>
      <w:r w:rsidR="00080949" w:rsidRPr="005A6EBA">
        <w:rPr>
          <w:spacing w:val="24"/>
          <w:lang w:eastAsia="sk-SK"/>
        </w:rPr>
        <w:t> </w:t>
      </w:r>
      <w:proofErr w:type="spellStart"/>
      <w:r w:rsidR="00080949" w:rsidRPr="005A6EBA">
        <w:rPr>
          <w:lang w:eastAsia="sk-SK"/>
        </w:rPr>
        <w:t>prudenciálnom</w:t>
      </w:r>
      <w:proofErr w:type="spellEnd"/>
      <w:r w:rsidR="00080949" w:rsidRPr="005A6EBA">
        <w:rPr>
          <w:lang w:eastAsia="sk-SK"/>
        </w:rPr>
        <w:t xml:space="preserve"> dohľade</w:t>
      </w:r>
      <w:r w:rsidR="00080949" w:rsidRPr="005A6EBA">
        <w:rPr>
          <w:spacing w:val="24"/>
          <w:lang w:eastAsia="sk-SK"/>
        </w:rPr>
        <w:t xml:space="preserve"> </w:t>
      </w:r>
      <w:r w:rsidR="00080949" w:rsidRPr="005A6EBA">
        <w:rPr>
          <w:lang w:eastAsia="sk-SK"/>
        </w:rPr>
        <w:t>nad</w:t>
      </w:r>
      <w:r w:rsidR="00080949" w:rsidRPr="005A6EBA">
        <w:rPr>
          <w:spacing w:val="24"/>
          <w:lang w:eastAsia="sk-SK"/>
        </w:rPr>
        <w:t xml:space="preserve"> </w:t>
      </w:r>
      <w:r w:rsidR="00080949" w:rsidRPr="005A6EBA">
        <w:rPr>
          <w:lang w:eastAsia="sk-SK"/>
        </w:rPr>
        <w:t>úverovými</w:t>
      </w:r>
      <w:r w:rsidR="00080949" w:rsidRPr="005A6EBA">
        <w:rPr>
          <w:spacing w:val="24"/>
          <w:lang w:eastAsia="sk-SK"/>
        </w:rPr>
        <w:t xml:space="preserve"> </w:t>
      </w:r>
      <w:r w:rsidR="00080949" w:rsidRPr="005A6EBA">
        <w:rPr>
          <w:lang w:eastAsia="sk-SK"/>
        </w:rPr>
        <w:t>inštitúciami</w:t>
      </w:r>
      <w:r w:rsidR="00080949" w:rsidRPr="005A6EBA">
        <w:rPr>
          <w:spacing w:val="24"/>
          <w:lang w:eastAsia="sk-SK"/>
        </w:rPr>
        <w:t xml:space="preserve"> </w:t>
      </w:r>
      <w:r w:rsidR="00080949" w:rsidRPr="005A6EBA">
        <w:rPr>
          <w:lang w:eastAsia="sk-SK"/>
        </w:rPr>
        <w:t>a</w:t>
      </w:r>
      <w:r w:rsidR="00080949" w:rsidRPr="005A6EBA">
        <w:rPr>
          <w:spacing w:val="24"/>
          <w:lang w:eastAsia="sk-SK"/>
        </w:rPr>
        <w:t> </w:t>
      </w:r>
      <w:r w:rsidR="00080949" w:rsidRPr="005A6EBA">
        <w:rPr>
          <w:lang w:eastAsia="sk-SK"/>
        </w:rPr>
        <w:t>investičnými spoločnosťami,</w:t>
      </w:r>
      <w:r w:rsidR="00080949" w:rsidRPr="005A6EBA">
        <w:rPr>
          <w:spacing w:val="107"/>
          <w:lang w:eastAsia="sk-SK"/>
        </w:rPr>
        <w:t xml:space="preserve"> </w:t>
      </w:r>
      <w:r w:rsidR="00080949" w:rsidRPr="005A6EBA">
        <w:rPr>
          <w:lang w:eastAsia="sk-SK"/>
        </w:rPr>
        <w:t>o</w:t>
      </w:r>
      <w:r w:rsidR="00080949" w:rsidRPr="005A6EBA">
        <w:rPr>
          <w:spacing w:val="107"/>
          <w:lang w:eastAsia="sk-SK"/>
        </w:rPr>
        <w:t> </w:t>
      </w:r>
      <w:r w:rsidR="00080949" w:rsidRPr="005A6EBA">
        <w:rPr>
          <w:lang w:eastAsia="sk-SK"/>
        </w:rPr>
        <w:t>zmene smernice</w:t>
      </w:r>
      <w:r w:rsidR="00080949" w:rsidRPr="005A6EBA">
        <w:rPr>
          <w:spacing w:val="107"/>
          <w:lang w:eastAsia="sk-SK"/>
        </w:rPr>
        <w:t xml:space="preserve"> </w:t>
      </w:r>
      <w:r w:rsidR="00080949" w:rsidRPr="005A6EBA">
        <w:rPr>
          <w:lang w:eastAsia="sk-SK"/>
        </w:rPr>
        <w:t>2002/87/ES</w:t>
      </w:r>
      <w:r w:rsidR="00080949" w:rsidRPr="005A6EBA">
        <w:rPr>
          <w:spacing w:val="107"/>
          <w:lang w:eastAsia="sk-SK"/>
        </w:rPr>
        <w:t xml:space="preserve"> </w:t>
      </w:r>
      <w:r w:rsidR="00080949" w:rsidRPr="005A6EBA">
        <w:rPr>
          <w:lang w:eastAsia="sk-SK"/>
        </w:rPr>
        <w:t>a</w:t>
      </w:r>
      <w:r w:rsidR="00080949" w:rsidRPr="005A6EBA">
        <w:rPr>
          <w:spacing w:val="107"/>
          <w:lang w:eastAsia="sk-SK"/>
        </w:rPr>
        <w:t> </w:t>
      </w:r>
      <w:r w:rsidR="00080949" w:rsidRPr="005A6EBA">
        <w:rPr>
          <w:lang w:eastAsia="sk-SK"/>
        </w:rPr>
        <w:t>o zrušení smerníc</w:t>
      </w:r>
      <w:r w:rsidR="00080949" w:rsidRPr="005A6EBA">
        <w:rPr>
          <w:spacing w:val="107"/>
          <w:lang w:eastAsia="sk-SK"/>
        </w:rPr>
        <w:t xml:space="preserve"> </w:t>
      </w:r>
      <w:r w:rsidR="00080949" w:rsidRPr="005A6EBA">
        <w:rPr>
          <w:lang w:eastAsia="sk-SK"/>
        </w:rPr>
        <w:t>2006/48/ES</w:t>
      </w:r>
      <w:r w:rsidR="00080949" w:rsidRPr="005A6EBA">
        <w:rPr>
          <w:spacing w:val="107"/>
          <w:lang w:eastAsia="sk-SK"/>
        </w:rPr>
        <w:t xml:space="preserve"> </w:t>
      </w:r>
      <w:r w:rsidR="00080949" w:rsidRPr="005A6EBA">
        <w:rPr>
          <w:lang w:eastAsia="sk-SK"/>
        </w:rPr>
        <w:t>a 2006/49/ES</w:t>
      </w:r>
      <w:r w:rsidR="005C4EB8" w:rsidRPr="005A6EBA">
        <w:rPr>
          <w:lang w:eastAsia="sk-SK"/>
        </w:rPr>
        <w:t xml:space="preserve">, </w:t>
      </w:r>
    </w:p>
    <w:p w:rsidR="004F34A3" w:rsidRPr="005A6EBA" w:rsidRDefault="004F34A3" w:rsidP="00A200DF">
      <w:pPr>
        <w:pStyle w:val="Odsekzoznamu"/>
        <w:numPr>
          <w:ilvl w:val="0"/>
          <w:numId w:val="6"/>
        </w:numPr>
        <w:ind w:left="426"/>
        <w:jc w:val="both"/>
        <w:rPr>
          <w:shd w:val="clear" w:color="auto" w:fill="FFFFFF"/>
        </w:rPr>
      </w:pPr>
      <w:r w:rsidRPr="002873AC">
        <w:t>smernice Európskeho parlamentu a Rady 2013/50/EÚ z 22. októbra 2013, ktorou sa mení smernica Európskeho parlamentu a Rady 2004/109/ES o</w:t>
      </w:r>
      <w:r>
        <w:t> </w:t>
      </w:r>
      <w:r w:rsidRPr="002873AC">
        <w:t>harmonizácii požiadaviek na transparentnosť v súvislosti s informáciami o emitentoch, ktorých cenné papiere sú prijaté na obchodovanie na regulovanom trhu, smernica Európskeho parlamentu a</w:t>
      </w:r>
      <w:r>
        <w:t> </w:t>
      </w:r>
      <w:r w:rsidRPr="002873AC">
        <w:t>Rady 2003/71/ES o prospekte, ktorý sa zverejňuje pri verejnej ponuke cenných papierov alebo ich prijatí na obchodovanie, a</w:t>
      </w:r>
      <w:r>
        <w:t> </w:t>
      </w:r>
      <w:r w:rsidRPr="002873AC">
        <w:t>smernica Komisie 2007/14/ES, ktorou sa stanovujú podrobné pravidlá implementácie určitých ustanovení smernice 2004/109/ES,</w:t>
      </w:r>
    </w:p>
    <w:p w:rsidR="00080949" w:rsidRPr="005A6EBA" w:rsidRDefault="00080949" w:rsidP="00A200DF">
      <w:pPr>
        <w:pStyle w:val="Odsekzoznamu"/>
        <w:numPr>
          <w:ilvl w:val="0"/>
          <w:numId w:val="6"/>
        </w:numPr>
        <w:ind w:left="426"/>
        <w:jc w:val="both"/>
        <w:rPr>
          <w:shd w:val="clear" w:color="auto" w:fill="FFFFFF"/>
        </w:rPr>
      </w:pPr>
      <w:r w:rsidRPr="005A6EBA">
        <w:rPr>
          <w:shd w:val="clear" w:color="auto" w:fill="FFFFFF"/>
        </w:rPr>
        <w:t>smernic</w:t>
      </w:r>
      <w:r w:rsidR="005C4EB8" w:rsidRPr="005A6EBA">
        <w:rPr>
          <w:shd w:val="clear" w:color="auto" w:fill="FFFFFF"/>
        </w:rPr>
        <w:t>e</w:t>
      </w:r>
      <w:r w:rsidRPr="005A6EBA">
        <w:rPr>
          <w:shd w:val="clear" w:color="auto" w:fill="FFFFFF"/>
        </w:rPr>
        <w:t xml:space="preserve"> Európskeho parlamentu a Rady 2014/59/EÚ z  15. mája 2014,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 </w:t>
      </w:r>
      <w:r w:rsidRPr="005A6EBA">
        <w:rPr>
          <w:lang w:eastAsia="sk-SK"/>
        </w:rPr>
        <w:t>v pla</w:t>
      </w:r>
      <w:r w:rsidR="0049783B" w:rsidRPr="005A6EBA">
        <w:rPr>
          <w:lang w:eastAsia="sk-SK"/>
        </w:rPr>
        <w:t>t</w:t>
      </w:r>
      <w:r w:rsidRPr="005A6EBA">
        <w:rPr>
          <w:lang w:eastAsia="sk-SK"/>
        </w:rPr>
        <w:t>nom znení,</w:t>
      </w:r>
    </w:p>
    <w:p w:rsidR="00080949" w:rsidRPr="00A200DF" w:rsidRDefault="00080949" w:rsidP="00A200DF">
      <w:pPr>
        <w:pStyle w:val="Odsekzoznamu"/>
        <w:numPr>
          <w:ilvl w:val="0"/>
          <w:numId w:val="6"/>
        </w:numPr>
        <w:ind w:left="426"/>
        <w:jc w:val="both"/>
        <w:rPr>
          <w:shd w:val="clear" w:color="auto" w:fill="FFFFFF"/>
        </w:rPr>
      </w:pPr>
      <w:r w:rsidRPr="005A6EBA">
        <w:rPr>
          <w:shd w:val="clear" w:color="auto" w:fill="FFFFFF"/>
        </w:rPr>
        <w:t>smernic</w:t>
      </w:r>
      <w:r w:rsidR="005C4EB8" w:rsidRPr="005A6EBA">
        <w:rPr>
          <w:shd w:val="clear" w:color="auto" w:fill="FFFFFF"/>
        </w:rPr>
        <w:t>e</w:t>
      </w:r>
      <w:r w:rsidRPr="005A6EBA">
        <w:rPr>
          <w:shd w:val="clear" w:color="auto" w:fill="FFFFFF"/>
        </w:rPr>
        <w:t xml:space="preserve"> Európskeho parlamentu a Rady </w:t>
      </w:r>
      <w:r w:rsidRPr="005A6EBA">
        <w:rPr>
          <w:bCs/>
        </w:rPr>
        <w:t>(EÚ) 2015/2366 z 25. novembra 2015 o platobných službách na vnútornom trhu, ktorou sa menia smernice 2002/65/ES, 2009/110/ES a 2013/36/EÚ a nariadenie (EÚ) č. 1093/2010 a ktorou sa zrušuje smernica 2007/64/ES,</w:t>
      </w:r>
    </w:p>
    <w:p w:rsidR="00A200DF" w:rsidRPr="00A200DF" w:rsidRDefault="00A200DF" w:rsidP="00A200DF">
      <w:pPr>
        <w:pStyle w:val="Odsekzoznamu"/>
        <w:numPr>
          <w:ilvl w:val="0"/>
          <w:numId w:val="6"/>
        </w:numPr>
        <w:ind w:left="426"/>
        <w:jc w:val="both"/>
        <w:rPr>
          <w:shd w:val="clear" w:color="auto" w:fill="FFFFFF"/>
        </w:rPr>
      </w:pPr>
      <w:r w:rsidRPr="00A200DF">
        <w:rPr>
          <w:rStyle w:val="Siln"/>
          <w:b w:val="0"/>
          <w:lang w:eastAsia="en-US"/>
        </w:rPr>
        <w:t xml:space="preserve">čl. 2 smernice </w:t>
      </w:r>
      <w:r w:rsidRPr="00A200DF">
        <w:t>Európskeho parlamentu a Rad</w:t>
      </w:r>
      <w:bookmarkStart w:id="0" w:name="_GoBack"/>
      <w:bookmarkEnd w:id="0"/>
      <w:r w:rsidRPr="00A200DF">
        <w:t xml:space="preserve">y (EÚ) 2019/879 z 20. mája 2019, ktorou sa mení smernica 2014/59/EÚ, pokiaľ ide o kapacitu úverových inštitúcií a investičných spoločností na absorpciu strát a </w:t>
      </w:r>
      <w:proofErr w:type="spellStart"/>
      <w:r w:rsidRPr="00A200DF">
        <w:t>rekap</w:t>
      </w:r>
      <w:r w:rsidRPr="00A200DF">
        <w:t>italizáciu</w:t>
      </w:r>
      <w:proofErr w:type="spellEnd"/>
      <w:r w:rsidRPr="00A200DF">
        <w:t>, a smernica 98/26/ES,</w:t>
      </w:r>
    </w:p>
    <w:p w:rsidR="00080949" w:rsidRPr="005A6EBA" w:rsidRDefault="008B170E" w:rsidP="00A200DF">
      <w:pPr>
        <w:pStyle w:val="Odsekzoznamu"/>
        <w:numPr>
          <w:ilvl w:val="0"/>
          <w:numId w:val="6"/>
        </w:numPr>
        <w:ind w:left="426"/>
        <w:jc w:val="both"/>
        <w:rPr>
          <w:shd w:val="clear" w:color="auto" w:fill="FFFFFF"/>
        </w:rPr>
      </w:pPr>
      <w:r w:rsidRPr="005A6EBA">
        <w:t>čl. 62 bod 6</w:t>
      </w:r>
      <w:r w:rsidR="00C50F6B" w:rsidRPr="005A6EBA">
        <w:t>, čl. 64 bod 5</w:t>
      </w:r>
      <w:r w:rsidRPr="005A6EBA">
        <w:t xml:space="preserve"> smernice </w:t>
      </w:r>
      <w:r w:rsidRPr="005A6EBA">
        <w:rPr>
          <w:shd w:val="clear" w:color="auto" w:fill="FFFFFF"/>
        </w:rPr>
        <w:t>Európskeho Parlamentu a Rady (EÚ) 2019/2034 z 27.</w:t>
      </w:r>
      <w:r w:rsidR="00A200DF" w:rsidRPr="005A6EBA">
        <w:rPr>
          <w:shd w:val="clear" w:color="auto" w:fill="FFFFFF"/>
        </w:rPr>
        <w:t> </w:t>
      </w:r>
      <w:r w:rsidRPr="005A6EBA">
        <w:rPr>
          <w:shd w:val="clear" w:color="auto" w:fill="FFFFFF"/>
        </w:rPr>
        <w:t>novembra 2019 o </w:t>
      </w:r>
      <w:proofErr w:type="spellStart"/>
      <w:r w:rsidRPr="005A6EBA">
        <w:rPr>
          <w:shd w:val="clear" w:color="auto" w:fill="FFFFFF"/>
        </w:rPr>
        <w:t>prudenciálnom</w:t>
      </w:r>
      <w:proofErr w:type="spellEnd"/>
      <w:r w:rsidRPr="005A6EBA">
        <w:rPr>
          <w:shd w:val="clear" w:color="auto" w:fill="FFFFFF"/>
        </w:rPr>
        <w:t xml:space="preserve"> dohľade nad investičnými spoločnosťami a o zmene smerníc 2002/87/ES, 2009/65/ES, 2011/61/EÚ, 2013/36/EÚ, 2014/59/EÚ a 2014/65/EÚ</w:t>
      </w:r>
      <w:r w:rsidR="00C50F6B" w:rsidRPr="005A6EBA">
        <w:rPr>
          <w:shd w:val="clear" w:color="auto" w:fill="FFFFFF"/>
        </w:rPr>
        <w:t xml:space="preserve"> a </w:t>
      </w:r>
    </w:p>
    <w:p w:rsidR="008B170E" w:rsidRPr="005A6EBA" w:rsidRDefault="00C50F6B" w:rsidP="00A200DF">
      <w:pPr>
        <w:pStyle w:val="Odsekzoznamu"/>
        <w:numPr>
          <w:ilvl w:val="0"/>
          <w:numId w:val="6"/>
        </w:numPr>
        <w:ind w:left="426"/>
        <w:jc w:val="both"/>
        <w:rPr>
          <w:shd w:val="clear" w:color="auto" w:fill="FFFFFF"/>
        </w:rPr>
      </w:pPr>
      <w:r w:rsidRPr="005A6EBA">
        <w:rPr>
          <w:shd w:val="clear" w:color="auto" w:fill="FFFFFF"/>
        </w:rPr>
        <w:t xml:space="preserve">čl. 2 bod 1 smernice </w:t>
      </w:r>
      <w:r w:rsidRPr="005A6EBA">
        <w:rPr>
          <w:rStyle w:val="Siln"/>
          <w:b w:val="0"/>
          <w:lang w:eastAsia="en-US"/>
        </w:rPr>
        <w:t>Európskeho parlamentu a Rady (EÚ) 2019/2177 z 18. decembra 2019, ktorou sa mení smernica 2009/138/ES o začatí a vykonávaní poistenia a zaistenia (Solventnosť II), smernica 2014/65/EÚ o trhoch s finančnými nástrojmi a smernica (EÚ) 2015/849 o predchádzaní využívaniu finančného systému na účely prania špinavých peňazí alebo financovania terorizmu</w:t>
      </w:r>
      <w:r w:rsidR="008B170E" w:rsidRPr="005A6EBA">
        <w:t xml:space="preserve">. </w:t>
      </w:r>
    </w:p>
    <w:p w:rsidR="00E51502" w:rsidRPr="005A6EBA" w:rsidRDefault="00E51502" w:rsidP="00A200DF">
      <w:pPr>
        <w:spacing w:after="60"/>
        <w:jc w:val="both"/>
        <w:rPr>
          <w:sz w:val="27"/>
          <w:szCs w:val="27"/>
          <w:lang w:eastAsia="sk-SK"/>
        </w:rPr>
      </w:pPr>
      <w:r w:rsidRPr="005A6EBA">
        <w:rPr>
          <w:lang w:eastAsia="sk-SK"/>
        </w:rPr>
        <w:tab/>
        <w:t>Návrh</w:t>
      </w:r>
      <w:r w:rsidRPr="005A6EBA">
        <w:rPr>
          <w:spacing w:val="98"/>
          <w:lang w:eastAsia="sk-SK"/>
        </w:rPr>
        <w:t xml:space="preserve"> </w:t>
      </w:r>
      <w:r w:rsidRPr="005A6EBA">
        <w:rPr>
          <w:lang w:eastAsia="sk-SK"/>
        </w:rPr>
        <w:t>zákona</w:t>
      </w:r>
      <w:r w:rsidRPr="005A6EBA">
        <w:rPr>
          <w:spacing w:val="98"/>
          <w:lang w:eastAsia="sk-SK"/>
        </w:rPr>
        <w:t xml:space="preserve"> </w:t>
      </w:r>
      <w:r w:rsidRPr="005A6EBA">
        <w:rPr>
          <w:lang w:eastAsia="sk-SK"/>
        </w:rPr>
        <w:t>nebude</w:t>
      </w:r>
      <w:r w:rsidRPr="005A6EBA">
        <w:rPr>
          <w:spacing w:val="98"/>
          <w:lang w:eastAsia="sk-SK"/>
        </w:rPr>
        <w:t xml:space="preserve"> </w:t>
      </w:r>
      <w:r w:rsidRPr="005A6EBA">
        <w:rPr>
          <w:lang w:eastAsia="sk-SK"/>
        </w:rPr>
        <w:t>predložený</w:t>
      </w:r>
      <w:r w:rsidRPr="005A6EBA">
        <w:rPr>
          <w:spacing w:val="98"/>
          <w:lang w:eastAsia="sk-SK"/>
        </w:rPr>
        <w:t xml:space="preserve"> </w:t>
      </w:r>
      <w:r w:rsidRPr="005A6EBA">
        <w:rPr>
          <w:lang w:eastAsia="sk-SK"/>
        </w:rPr>
        <w:t>na</w:t>
      </w:r>
      <w:r w:rsidRPr="005A6EBA">
        <w:rPr>
          <w:spacing w:val="98"/>
          <w:lang w:eastAsia="sk-SK"/>
        </w:rPr>
        <w:t xml:space="preserve"> </w:t>
      </w:r>
      <w:proofErr w:type="spellStart"/>
      <w:r w:rsidRPr="005A6EBA">
        <w:rPr>
          <w:lang w:eastAsia="sk-SK"/>
        </w:rPr>
        <w:t>vnútrokomunitárne</w:t>
      </w:r>
      <w:proofErr w:type="spellEnd"/>
      <w:r w:rsidRPr="005A6EBA">
        <w:rPr>
          <w:spacing w:val="98"/>
          <w:lang w:eastAsia="sk-SK"/>
        </w:rPr>
        <w:t xml:space="preserve"> </w:t>
      </w:r>
      <w:r w:rsidRPr="005A6EBA">
        <w:rPr>
          <w:lang w:eastAsia="sk-SK"/>
        </w:rPr>
        <w:t>pripomienkovanie</w:t>
      </w:r>
      <w:r w:rsidRPr="005A6EBA">
        <w:rPr>
          <w:spacing w:val="98"/>
          <w:lang w:eastAsia="sk-SK"/>
        </w:rPr>
        <w:t xml:space="preserve"> </w:t>
      </w:r>
      <w:r w:rsidRPr="005A6EBA">
        <w:rPr>
          <w:lang w:eastAsia="sk-SK"/>
        </w:rPr>
        <w:t>Európskej centrálnej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banke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podľa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čl.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15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ods.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1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Legislatívnych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pravidiel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vlády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Slovenskej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republiky</w:t>
      </w:r>
      <w:r w:rsidRPr="005A6EBA">
        <w:rPr>
          <w:spacing w:val="26"/>
          <w:lang w:eastAsia="sk-SK"/>
        </w:rPr>
        <w:t xml:space="preserve"> </w:t>
      </w:r>
      <w:r w:rsidRPr="005A6EBA">
        <w:rPr>
          <w:lang w:eastAsia="sk-SK"/>
        </w:rPr>
        <w:t>a</w:t>
      </w:r>
      <w:r w:rsidRPr="005A6EBA">
        <w:rPr>
          <w:spacing w:val="26"/>
          <w:lang w:eastAsia="sk-SK"/>
        </w:rPr>
        <w:t> </w:t>
      </w:r>
      <w:r w:rsidRPr="005A6EBA">
        <w:rPr>
          <w:lang w:eastAsia="sk-SK"/>
        </w:rPr>
        <w:t>podľa rozhodnutia</w:t>
      </w:r>
      <w:r w:rsidRPr="005A6EBA">
        <w:rPr>
          <w:spacing w:val="62"/>
          <w:lang w:eastAsia="sk-SK"/>
        </w:rPr>
        <w:t xml:space="preserve"> </w:t>
      </w:r>
      <w:r w:rsidRPr="005A6EBA">
        <w:rPr>
          <w:lang w:eastAsia="sk-SK"/>
        </w:rPr>
        <w:t>Rady</w:t>
      </w:r>
      <w:r w:rsidR="0049783B" w:rsidRPr="005A6EBA">
        <w:rPr>
          <w:lang w:eastAsia="sk-SK"/>
        </w:rPr>
        <w:t xml:space="preserve"> z 29. júna 1998 o</w:t>
      </w:r>
      <w:r w:rsidRPr="005A6EBA">
        <w:rPr>
          <w:spacing w:val="62"/>
          <w:lang w:eastAsia="sk-SK"/>
        </w:rPr>
        <w:t> </w:t>
      </w:r>
      <w:r w:rsidRPr="005A6EBA">
        <w:rPr>
          <w:lang w:eastAsia="sk-SK"/>
        </w:rPr>
        <w:t>poradení sa</w:t>
      </w:r>
      <w:r w:rsidRPr="005A6EBA">
        <w:rPr>
          <w:spacing w:val="62"/>
          <w:lang w:eastAsia="sk-SK"/>
        </w:rPr>
        <w:t xml:space="preserve"> </w:t>
      </w:r>
      <w:r w:rsidRPr="005A6EBA">
        <w:rPr>
          <w:lang w:eastAsia="sk-SK"/>
        </w:rPr>
        <w:t>s</w:t>
      </w:r>
      <w:r w:rsidRPr="005A6EBA">
        <w:rPr>
          <w:spacing w:val="62"/>
          <w:lang w:eastAsia="sk-SK"/>
        </w:rPr>
        <w:t> </w:t>
      </w:r>
      <w:r w:rsidRPr="005A6EBA">
        <w:rPr>
          <w:lang w:eastAsia="sk-SK"/>
        </w:rPr>
        <w:t>Európskou centrálnou</w:t>
      </w:r>
      <w:r w:rsidRPr="005A6EBA">
        <w:rPr>
          <w:spacing w:val="62"/>
          <w:lang w:eastAsia="sk-SK"/>
        </w:rPr>
        <w:t xml:space="preserve"> </w:t>
      </w:r>
      <w:r w:rsidRPr="005A6EBA">
        <w:rPr>
          <w:lang w:eastAsia="sk-SK"/>
        </w:rPr>
        <w:t>bankou</w:t>
      </w:r>
      <w:r w:rsidRPr="005A6EBA">
        <w:rPr>
          <w:spacing w:val="62"/>
          <w:lang w:eastAsia="sk-SK"/>
        </w:rPr>
        <w:t xml:space="preserve"> </w:t>
      </w:r>
      <w:r w:rsidR="003B2FCB" w:rsidRPr="005A6EBA">
        <w:rPr>
          <w:lang w:eastAsia="sk-SK"/>
        </w:rPr>
        <w:t>národnými</w:t>
      </w:r>
      <w:r w:rsidRPr="005A6EBA">
        <w:rPr>
          <w:lang w:eastAsia="sk-SK"/>
        </w:rPr>
        <w:t xml:space="preserve"> orgánmi </w:t>
      </w:r>
      <w:r w:rsidR="003B2FCB" w:rsidRPr="005A6EBA">
        <w:rPr>
          <w:lang w:eastAsia="sk-SK"/>
        </w:rPr>
        <w:t xml:space="preserve">ohľadom návrhu </w:t>
      </w:r>
      <w:r w:rsidRPr="005A6EBA">
        <w:rPr>
          <w:lang w:eastAsia="sk-SK"/>
        </w:rPr>
        <w:t>právnych predpisov</w:t>
      </w:r>
      <w:r w:rsidR="0049783B" w:rsidRPr="005A6EBA">
        <w:rPr>
          <w:lang w:eastAsia="sk-SK"/>
        </w:rPr>
        <w:t xml:space="preserve"> (98/415/ES)</w:t>
      </w:r>
      <w:r w:rsidRPr="005A6EBA">
        <w:rPr>
          <w:lang w:eastAsia="sk-SK"/>
        </w:rPr>
        <w:t xml:space="preserve">, keďže sa ním </w:t>
      </w:r>
      <w:r w:rsidR="0049783B" w:rsidRPr="005A6EBA">
        <w:rPr>
          <w:lang w:eastAsia="sk-SK"/>
        </w:rPr>
        <w:t>preberajú</w:t>
      </w:r>
      <w:r w:rsidRPr="005A6EBA">
        <w:rPr>
          <w:lang w:eastAsia="sk-SK"/>
        </w:rPr>
        <w:t xml:space="preserve"> právne predpisy Európskej únie.</w:t>
      </w:r>
    </w:p>
    <w:p w:rsidR="007D4A94" w:rsidRPr="005A6EBA" w:rsidRDefault="005D1D48" w:rsidP="00A200DF">
      <w:pPr>
        <w:spacing w:after="60"/>
        <w:jc w:val="both"/>
      </w:pPr>
      <w:r w:rsidRPr="005A6EBA">
        <w:tab/>
      </w:r>
      <w:r w:rsidR="00F01722" w:rsidRPr="005A6EBA">
        <w:t xml:space="preserve">Účinnosť </w:t>
      </w:r>
      <w:r w:rsidR="00D90A0F" w:rsidRPr="005A6EBA">
        <w:t>sa navrhuje dňom vyhlásenia z dôvodu dodržania lehoty transpozície čl. 62 bodu 6</w:t>
      </w:r>
      <w:r w:rsidR="00C50F6B" w:rsidRPr="005A6EBA">
        <w:t xml:space="preserve"> a čl. 64 bod</w:t>
      </w:r>
      <w:r w:rsidR="00C80589" w:rsidRPr="005A6EBA">
        <w:t>u</w:t>
      </w:r>
      <w:r w:rsidR="00C50F6B" w:rsidRPr="005A6EBA">
        <w:t xml:space="preserve"> 5</w:t>
      </w:r>
      <w:r w:rsidR="00D90A0F" w:rsidRPr="005A6EBA">
        <w:t xml:space="preserve"> smernice</w:t>
      </w:r>
      <w:r w:rsidR="00C63A45" w:rsidRPr="005A6EBA">
        <w:t xml:space="preserve"> (EÚ)</w:t>
      </w:r>
      <w:r w:rsidR="00D90A0F" w:rsidRPr="005A6EBA">
        <w:t xml:space="preserve"> 2019/</w:t>
      </w:r>
      <w:r w:rsidR="00C63A45" w:rsidRPr="005A6EBA">
        <w:t>20</w:t>
      </w:r>
      <w:r w:rsidR="00D90A0F" w:rsidRPr="005A6EBA">
        <w:t>34</w:t>
      </w:r>
      <w:r w:rsidR="00C50F6B" w:rsidRPr="005A6EBA">
        <w:t xml:space="preserve"> a čl. 2 bod 1 smernice </w:t>
      </w:r>
      <w:r w:rsidR="00C63A45" w:rsidRPr="005A6EBA">
        <w:t xml:space="preserve">(EÚ) </w:t>
      </w:r>
      <w:r w:rsidR="00C50F6B" w:rsidRPr="005A6EBA">
        <w:t>2019/21</w:t>
      </w:r>
      <w:r w:rsidR="00C63A45" w:rsidRPr="005A6EBA">
        <w:t>7</w:t>
      </w:r>
      <w:r w:rsidR="00C50F6B" w:rsidRPr="005A6EBA">
        <w:t>7</w:t>
      </w:r>
      <w:r w:rsidR="00D90A0F" w:rsidRPr="005A6EBA">
        <w:t xml:space="preserve">, pričom účinnosť dňom vyhlásenia sa vzťahuje len na </w:t>
      </w:r>
      <w:r w:rsidR="00C50F6B" w:rsidRPr="005A6EBA">
        <w:t xml:space="preserve">čl. I </w:t>
      </w:r>
      <w:r w:rsidR="00D90A0F" w:rsidRPr="005A6EBA">
        <w:t>bod 1</w:t>
      </w:r>
      <w:r w:rsidR="00080949" w:rsidRPr="005A6EBA">
        <w:t>1</w:t>
      </w:r>
      <w:r w:rsidR="00177963">
        <w:t>7</w:t>
      </w:r>
      <w:r w:rsidR="00C50F6B" w:rsidRPr="005A6EBA">
        <w:t xml:space="preserve"> (len</w:t>
      </w:r>
      <w:r w:rsidR="00D90A0F" w:rsidRPr="005A6EBA">
        <w:t xml:space="preserve"> § 122yc</w:t>
      </w:r>
      <w:r w:rsidR="00C50F6B" w:rsidRPr="005A6EBA">
        <w:t>) a na čl. III a V</w:t>
      </w:r>
      <w:r w:rsidR="00D90A0F" w:rsidRPr="005A6EBA">
        <w:t xml:space="preserve">. Pri väčšine ustanovení sa účinnosť navrhuje </w:t>
      </w:r>
      <w:r w:rsidR="007D4A94" w:rsidRPr="005A6EBA">
        <w:t>v súlade s lehotou transpozície CRD</w:t>
      </w:r>
      <w:r w:rsidR="00C70CF8" w:rsidRPr="005A6EBA">
        <w:t> </w:t>
      </w:r>
      <w:r w:rsidR="00067F37" w:rsidRPr="005A6EBA">
        <w:t xml:space="preserve">V </w:t>
      </w:r>
      <w:r w:rsidR="007D4A94" w:rsidRPr="005A6EBA">
        <w:t>do národnej legislatívy a je stanovená na 29. decembra 2020</w:t>
      </w:r>
      <w:r w:rsidR="00D90A0F" w:rsidRPr="005A6EBA">
        <w:t xml:space="preserve">. </w:t>
      </w:r>
      <w:r w:rsidR="00067F37" w:rsidRPr="005A6EBA">
        <w:t>P</w:t>
      </w:r>
      <w:r w:rsidR="007D4A94" w:rsidRPr="005A6EBA">
        <w:t>ri niektorých ustanoveniach v súlade s dátumami uplatňovania ustanovení smernice CRD</w:t>
      </w:r>
      <w:r w:rsidR="00067F37" w:rsidRPr="005A6EBA">
        <w:t xml:space="preserve"> V</w:t>
      </w:r>
      <w:r w:rsidR="007D4A94" w:rsidRPr="005A6EBA">
        <w:t xml:space="preserve"> sa odkladá nadobudnutie účinnosti na 28. júna 2021, resp. na 1. januára 2022. </w:t>
      </w:r>
      <w:r w:rsidR="00E071E3" w:rsidRPr="005A6EBA">
        <w:t xml:space="preserve">Účinnosť predkladaného zákona sa navrhuje s dostatočne dlhou </w:t>
      </w:r>
      <w:proofErr w:type="spellStart"/>
      <w:r w:rsidR="00E071E3" w:rsidRPr="005A6EBA">
        <w:t>legisvakan</w:t>
      </w:r>
      <w:r w:rsidR="0049783B" w:rsidRPr="005A6EBA">
        <w:t>čnou</w:t>
      </w:r>
      <w:proofErr w:type="spellEnd"/>
      <w:r w:rsidR="0049783B" w:rsidRPr="005A6EBA">
        <w:t xml:space="preserve"> lehotou</w:t>
      </w:r>
      <w:r w:rsidR="00E071E3" w:rsidRPr="005A6EBA">
        <w:t>.</w:t>
      </w:r>
    </w:p>
    <w:p w:rsidR="00CD4219" w:rsidRPr="005A6EBA" w:rsidRDefault="00CD4219" w:rsidP="00A200DF">
      <w:pPr>
        <w:pStyle w:val="Default"/>
        <w:spacing w:after="60"/>
        <w:jc w:val="both"/>
      </w:pPr>
      <w:r w:rsidRPr="005A6EBA">
        <w:rPr>
          <w:color w:val="auto"/>
        </w:rPr>
        <w:tab/>
        <w:t>Návrh zákona bol predmetom pripomienkového konania a</w:t>
      </w:r>
      <w:r w:rsidR="004708ED">
        <w:rPr>
          <w:color w:val="auto"/>
        </w:rPr>
        <w:t> </w:t>
      </w:r>
      <w:r w:rsidRPr="005A6EBA">
        <w:rPr>
          <w:color w:val="auto"/>
        </w:rPr>
        <w:t>do ďalšieho legislatívneho procesu sa predkladá bez rozporov.</w:t>
      </w:r>
    </w:p>
    <w:sectPr w:rsidR="00CD4219" w:rsidRPr="005A6EBA" w:rsidSect="00A200DF">
      <w:footerReference w:type="default" r:id="rId8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5E" w:rsidRDefault="00E8465E" w:rsidP="00B81523">
      <w:r>
        <w:separator/>
      </w:r>
    </w:p>
  </w:endnote>
  <w:endnote w:type="continuationSeparator" w:id="0">
    <w:p w:rsidR="00E8465E" w:rsidRDefault="00E8465E" w:rsidP="00B8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9648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81523" w:rsidRPr="00B81523" w:rsidRDefault="00B81523">
        <w:pPr>
          <w:pStyle w:val="Pta"/>
          <w:jc w:val="right"/>
          <w:rPr>
            <w:sz w:val="22"/>
            <w:szCs w:val="22"/>
          </w:rPr>
        </w:pPr>
        <w:r w:rsidRPr="00B81523">
          <w:rPr>
            <w:sz w:val="22"/>
            <w:szCs w:val="22"/>
          </w:rPr>
          <w:fldChar w:fldCharType="begin"/>
        </w:r>
        <w:r w:rsidRPr="00B81523">
          <w:rPr>
            <w:sz w:val="22"/>
            <w:szCs w:val="22"/>
          </w:rPr>
          <w:instrText>PAGE   \* MERGEFORMAT</w:instrText>
        </w:r>
        <w:r w:rsidRPr="00B81523">
          <w:rPr>
            <w:sz w:val="22"/>
            <w:szCs w:val="22"/>
          </w:rPr>
          <w:fldChar w:fldCharType="separate"/>
        </w:r>
        <w:r w:rsidR="00A200DF">
          <w:rPr>
            <w:noProof/>
            <w:sz w:val="22"/>
            <w:szCs w:val="22"/>
          </w:rPr>
          <w:t>2</w:t>
        </w:r>
        <w:r w:rsidRPr="00B8152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5E" w:rsidRDefault="00E8465E" w:rsidP="00B81523">
      <w:r>
        <w:separator/>
      </w:r>
    </w:p>
  </w:footnote>
  <w:footnote w:type="continuationSeparator" w:id="0">
    <w:p w:rsidR="00E8465E" w:rsidRDefault="00E8465E" w:rsidP="00B81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640"/>
    <w:multiLevelType w:val="hybridMultilevel"/>
    <w:tmpl w:val="84BA5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43BA"/>
    <w:multiLevelType w:val="hybridMultilevel"/>
    <w:tmpl w:val="052A6E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2AC8"/>
    <w:multiLevelType w:val="hybridMultilevel"/>
    <w:tmpl w:val="0944B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32EC"/>
    <w:multiLevelType w:val="hybridMultilevel"/>
    <w:tmpl w:val="81B452CC"/>
    <w:lvl w:ilvl="0" w:tplc="DBE8CE1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7D40"/>
    <w:multiLevelType w:val="hybridMultilevel"/>
    <w:tmpl w:val="A808CD78"/>
    <w:lvl w:ilvl="0" w:tplc="C0DC552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E48"/>
    <w:multiLevelType w:val="hybridMultilevel"/>
    <w:tmpl w:val="68B8B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4"/>
    <w:rsid w:val="00001DA4"/>
    <w:rsid w:val="00017160"/>
    <w:rsid w:val="000219FC"/>
    <w:rsid w:val="00034478"/>
    <w:rsid w:val="000520C1"/>
    <w:rsid w:val="00064312"/>
    <w:rsid w:val="00067F37"/>
    <w:rsid w:val="00080949"/>
    <w:rsid w:val="000A13CD"/>
    <w:rsid w:val="00113F03"/>
    <w:rsid w:val="00173857"/>
    <w:rsid w:val="00175C32"/>
    <w:rsid w:val="00177963"/>
    <w:rsid w:val="001A3DE7"/>
    <w:rsid w:val="001C680A"/>
    <w:rsid w:val="001D7558"/>
    <w:rsid w:val="00206816"/>
    <w:rsid w:val="00231B51"/>
    <w:rsid w:val="00245859"/>
    <w:rsid w:val="002819E5"/>
    <w:rsid w:val="002873AC"/>
    <w:rsid w:val="0029443F"/>
    <w:rsid w:val="002C1477"/>
    <w:rsid w:val="002E59A1"/>
    <w:rsid w:val="002F5D28"/>
    <w:rsid w:val="002F7B77"/>
    <w:rsid w:val="00345D3E"/>
    <w:rsid w:val="003558AF"/>
    <w:rsid w:val="003B181D"/>
    <w:rsid w:val="003B2FCB"/>
    <w:rsid w:val="004156C2"/>
    <w:rsid w:val="00460D0D"/>
    <w:rsid w:val="004708ED"/>
    <w:rsid w:val="00494441"/>
    <w:rsid w:val="0049783B"/>
    <w:rsid w:val="004A0A5A"/>
    <w:rsid w:val="004E5047"/>
    <w:rsid w:val="004F34A3"/>
    <w:rsid w:val="004F3E68"/>
    <w:rsid w:val="00510E9A"/>
    <w:rsid w:val="00574912"/>
    <w:rsid w:val="00575EE4"/>
    <w:rsid w:val="005A6EBA"/>
    <w:rsid w:val="005C4EB8"/>
    <w:rsid w:val="005D1D48"/>
    <w:rsid w:val="005E09BD"/>
    <w:rsid w:val="006422D7"/>
    <w:rsid w:val="0064248E"/>
    <w:rsid w:val="006A4102"/>
    <w:rsid w:val="006A6F29"/>
    <w:rsid w:val="006F3606"/>
    <w:rsid w:val="007028AA"/>
    <w:rsid w:val="007234AA"/>
    <w:rsid w:val="007444A3"/>
    <w:rsid w:val="007471DF"/>
    <w:rsid w:val="00772ADF"/>
    <w:rsid w:val="007A3AC1"/>
    <w:rsid w:val="007A5676"/>
    <w:rsid w:val="007D4A94"/>
    <w:rsid w:val="0081385A"/>
    <w:rsid w:val="00820C20"/>
    <w:rsid w:val="00844448"/>
    <w:rsid w:val="00867BC8"/>
    <w:rsid w:val="008733A7"/>
    <w:rsid w:val="008B170E"/>
    <w:rsid w:val="00924CB7"/>
    <w:rsid w:val="00946FD9"/>
    <w:rsid w:val="00966633"/>
    <w:rsid w:val="009C22F7"/>
    <w:rsid w:val="009C6E43"/>
    <w:rsid w:val="00A200DF"/>
    <w:rsid w:val="00A40185"/>
    <w:rsid w:val="00A73789"/>
    <w:rsid w:val="00AB07CD"/>
    <w:rsid w:val="00AB6F6E"/>
    <w:rsid w:val="00B07816"/>
    <w:rsid w:val="00B347C8"/>
    <w:rsid w:val="00B53DDF"/>
    <w:rsid w:val="00B5749C"/>
    <w:rsid w:val="00B65412"/>
    <w:rsid w:val="00B655B0"/>
    <w:rsid w:val="00B81523"/>
    <w:rsid w:val="00BC66AC"/>
    <w:rsid w:val="00C50F6B"/>
    <w:rsid w:val="00C63A45"/>
    <w:rsid w:val="00C70CF8"/>
    <w:rsid w:val="00C80589"/>
    <w:rsid w:val="00CB1559"/>
    <w:rsid w:val="00CD4219"/>
    <w:rsid w:val="00D038D5"/>
    <w:rsid w:val="00D60CAF"/>
    <w:rsid w:val="00D713C1"/>
    <w:rsid w:val="00D805AE"/>
    <w:rsid w:val="00D90A0F"/>
    <w:rsid w:val="00DB725D"/>
    <w:rsid w:val="00DE45F6"/>
    <w:rsid w:val="00DF5004"/>
    <w:rsid w:val="00E071E3"/>
    <w:rsid w:val="00E154C1"/>
    <w:rsid w:val="00E51502"/>
    <w:rsid w:val="00E56339"/>
    <w:rsid w:val="00E8465E"/>
    <w:rsid w:val="00E85D53"/>
    <w:rsid w:val="00E95E5A"/>
    <w:rsid w:val="00F01722"/>
    <w:rsid w:val="00F75E0E"/>
    <w:rsid w:val="00F96F84"/>
    <w:rsid w:val="00FB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DBBD-E769-4966-B52D-5163D6B6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575E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Odstavec cíl se seznamem,Odstavec se seznamem1"/>
    <w:basedOn w:val="Normlny"/>
    <w:link w:val="OdsekzoznamuChar"/>
    <w:uiPriority w:val="34"/>
    <w:qFormat/>
    <w:rsid w:val="00575EE4"/>
    <w:pPr>
      <w:ind w:left="720"/>
      <w:contextualSpacing/>
    </w:pPr>
  </w:style>
  <w:style w:type="character" w:customStyle="1" w:styleId="OdsekzoznamuChar">
    <w:name w:val="Odsek zoznamu Char"/>
    <w:aliases w:val="Odstavec cíl se seznamem Char,Odstavec se seznamem1 Char"/>
    <w:basedOn w:val="Predvolenpsmoodseku"/>
    <w:link w:val="Odsekzoznamu"/>
    <w:uiPriority w:val="34"/>
    <w:locked/>
    <w:rsid w:val="00575EE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B8152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15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riadkovania">
    <w:name w:val="No Spacing"/>
    <w:aliases w:val="Hlavní písmo"/>
    <w:basedOn w:val="Normlny"/>
    <w:link w:val="BezriadkovaniaChar"/>
    <w:uiPriority w:val="1"/>
    <w:qFormat/>
    <w:rsid w:val="00D805AE"/>
    <w:pPr>
      <w:suppressAutoHyphens/>
      <w:spacing w:before="80" w:after="200" w:line="276" w:lineRule="auto"/>
      <w:jc w:val="both"/>
    </w:pPr>
    <w:rPr>
      <w:rFonts w:ascii="Calibri" w:eastAsia="Droid Sans Fallback" w:hAnsi="Calibri"/>
      <w:sz w:val="22"/>
      <w:szCs w:val="22"/>
      <w:lang w:val="cs-CZ" w:eastAsia="en-US"/>
    </w:rPr>
  </w:style>
  <w:style w:type="character" w:customStyle="1" w:styleId="BezriadkovaniaChar">
    <w:name w:val="Bez riadkovania Char"/>
    <w:aliases w:val="Hlavní písmo Char"/>
    <w:link w:val="Bezriadkovania"/>
    <w:uiPriority w:val="1"/>
    <w:rsid w:val="00D805AE"/>
    <w:rPr>
      <w:rFonts w:ascii="Calibri" w:eastAsia="Droid Sans Fallback" w:hAnsi="Calibri" w:cs="Times New Roman"/>
      <w:lang w:val="cs-CZ"/>
    </w:rPr>
  </w:style>
  <w:style w:type="character" w:styleId="Siln">
    <w:name w:val="Strong"/>
    <w:basedOn w:val="Predvolenpsmoodseku"/>
    <w:uiPriority w:val="99"/>
    <w:qFormat/>
    <w:rsid w:val="00C50F6B"/>
    <w:rPr>
      <w:rFonts w:cs="Times New Roman"/>
      <w:b/>
      <w:bCs/>
    </w:rPr>
  </w:style>
  <w:style w:type="paragraph" w:customStyle="1" w:styleId="Default">
    <w:name w:val="Default"/>
    <w:rsid w:val="00CD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7C223-A84E-4671-AD39-3F649765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worknbde</dc:creator>
  <cp:lastModifiedBy>Bartikova Anna</cp:lastModifiedBy>
  <cp:revision>2</cp:revision>
  <cp:lastPrinted>2020-06-09T04:24:00Z</cp:lastPrinted>
  <dcterms:created xsi:type="dcterms:W3CDTF">2020-08-12T09:39:00Z</dcterms:created>
  <dcterms:modified xsi:type="dcterms:W3CDTF">2020-08-12T09:39:00Z</dcterms:modified>
</cp:coreProperties>
</file>