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8A1252" w:rsidP="007B71A4">
            <w:pPr>
              <w:jc w:val="center"/>
              <w:rPr>
                <w:b/>
                <w:sz w:val="24"/>
              </w:rPr>
            </w:pPr>
            <w:r w:rsidRPr="00864DE4">
              <w:rPr>
                <w:b/>
                <w:sz w:val="28"/>
              </w:rPr>
              <w:t>Analýza v</w:t>
            </w:r>
            <w:r w:rsidR="009F2DFA" w:rsidRPr="00864DE4">
              <w:rPr>
                <w:b/>
                <w:sz w:val="28"/>
              </w:rPr>
              <w:t>plyv</w:t>
            </w:r>
            <w:r w:rsidRPr="00864DE4">
              <w:rPr>
                <w:b/>
                <w:sz w:val="28"/>
              </w:rPr>
              <w:t>ov</w:t>
            </w:r>
            <w:r w:rsidR="00947757">
              <w:rPr>
                <w:b/>
                <w:sz w:val="28"/>
              </w:rPr>
              <w:t xml:space="preserve"> na podnikateľské prostredie</w:t>
            </w:r>
            <w:bookmarkStart w:id="0" w:name="_GoBack"/>
            <w:bookmarkEnd w:id="0"/>
          </w:p>
          <w:p w:rsidR="009F2DFA" w:rsidRPr="00864DE4" w:rsidRDefault="009F2DFA" w:rsidP="00780BA6">
            <w:pPr>
              <w:jc w:val="center"/>
              <w:rPr>
                <w:b/>
              </w:rPr>
            </w:pPr>
            <w:r w:rsidRPr="00864DE4">
              <w:rPr>
                <w:b/>
                <w:sz w:val="24"/>
              </w:rPr>
              <w:t xml:space="preserve">(vrátane </w:t>
            </w:r>
            <w:r w:rsidR="00780BA6" w:rsidRPr="00864DE4">
              <w:rPr>
                <w:b/>
                <w:sz w:val="24"/>
              </w:rPr>
              <w:t xml:space="preserve">testu </w:t>
            </w:r>
            <w:r w:rsidRPr="00864DE4">
              <w:rPr>
                <w:b/>
                <w:sz w:val="24"/>
              </w:rPr>
              <w:t>MSP)</w:t>
            </w: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9F2DFA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AC14B6" w:rsidP="007B71A4">
                  <w:pPr>
                    <w:jc w:val="center"/>
                  </w:pPr>
                  <w:r w:rsidRPr="00864DE4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r w:rsidRPr="00864DE4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864DE4" w:rsidRDefault="009F2DFA" w:rsidP="007B71A4">
            <w:pPr>
              <w:rPr>
                <w:b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.1 Dotknuté podnikateľské subjekty</w:t>
            </w:r>
          </w:p>
          <w:p w:rsidR="009F2DFA" w:rsidRPr="00864DE4" w:rsidRDefault="009F2DFA" w:rsidP="007B71A4">
            <w:pPr>
              <w:ind w:left="284"/>
              <w:rPr>
                <w:b/>
              </w:rPr>
            </w:pPr>
            <w:r w:rsidRPr="00864DE4">
              <w:rPr>
                <w:sz w:val="24"/>
              </w:rPr>
              <w:t xml:space="preserve">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aké podnikateľské subjekty budú predkladaným návrhom ovplyvnené.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Aký je ich počet?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703EF7" w:rsidRPr="003E09E2" w:rsidRDefault="00733646" w:rsidP="00AB6D14">
            <w:pPr>
              <w:jc w:val="both"/>
              <w:rPr>
                <w:i/>
              </w:rPr>
            </w:pPr>
            <w:r w:rsidRPr="003E09E2">
              <w:rPr>
                <w:i/>
              </w:rPr>
              <w:t xml:space="preserve">Navrhovaná právna úprava sa môže dotknúť podnikateľských subjektov, ktoré </w:t>
            </w:r>
            <w:r w:rsidR="0047571B" w:rsidRPr="003E09E2">
              <w:rPr>
                <w:i/>
              </w:rPr>
              <w:t xml:space="preserve">zamestnávajú zamestnancov na úrovni minimálnej mzdy, resp. na úrovni minimálnych mzdových nárokov, prípadne subjekty, ktoré zvyknúť dať príležitosť aj dlhodobo nezamestnaným zamestnancom. </w:t>
            </w:r>
          </w:p>
          <w:p w:rsidR="001C281B" w:rsidRPr="003E09E2" w:rsidRDefault="001C281B" w:rsidP="00AB6D14">
            <w:pPr>
              <w:jc w:val="both"/>
              <w:rPr>
                <w:i/>
              </w:rPr>
            </w:pPr>
          </w:p>
          <w:p w:rsidR="0047571B" w:rsidRPr="003E09E2" w:rsidRDefault="001C281B" w:rsidP="00AB6D14">
            <w:pPr>
              <w:jc w:val="both"/>
              <w:rPr>
                <w:i/>
              </w:rPr>
            </w:pPr>
            <w:r w:rsidRPr="003E09E2">
              <w:rPr>
                <w:i/>
              </w:rPr>
              <w:t>Pri vplyvoch na podnikateľské prostredie je nevyhnutné vychádzať z toho, že podľa právnej úpravy účinnej od 1.1.2020 by sa na základe automatu upraveného zákonom ustanovila na rok</w:t>
            </w:r>
            <w:r w:rsidR="001A59B0">
              <w:rPr>
                <w:i/>
              </w:rPr>
              <w:t xml:space="preserve"> 2021 suma minimálnej mzdy 656</w:t>
            </w:r>
            <w:r w:rsidRPr="003E09E2">
              <w:rPr>
                <w:i/>
              </w:rPr>
              <w:t xml:space="preserve"> eur. Z tohto hľadiska ak by predkladateľ nenavrhol zmenu právnej úpravy</w:t>
            </w:r>
            <w:r w:rsidR="00206904">
              <w:rPr>
                <w:i/>
              </w:rPr>
              <w:t xml:space="preserve">, </w:t>
            </w:r>
            <w:r w:rsidRPr="003E09E2">
              <w:rPr>
                <w:i/>
              </w:rPr>
              <w:t>nárast minimálnej mzdy zo zákona by b</w:t>
            </w:r>
            <w:r w:rsidR="001A59B0">
              <w:rPr>
                <w:i/>
              </w:rPr>
              <w:t xml:space="preserve">ol zo sumy 580  eur na 656 </w:t>
            </w:r>
            <w:r w:rsidRPr="003E09E2">
              <w:rPr>
                <w:i/>
              </w:rPr>
              <w:t xml:space="preserve"> eur.</w:t>
            </w:r>
            <w:r w:rsidR="00206904">
              <w:rPr>
                <w:i/>
              </w:rPr>
              <w:t xml:space="preserve"> </w:t>
            </w:r>
            <w:r w:rsidRPr="003E09E2">
              <w:rPr>
                <w:i/>
              </w:rPr>
              <w:t>Z tohto hľadiska zásah zákonodarcu znamená, že zákonný</w:t>
            </w:r>
            <w:r w:rsidR="001A59B0">
              <w:rPr>
                <w:i/>
              </w:rPr>
              <w:t xml:space="preserve"> nárast bude zredukovaný  o 36</w:t>
            </w:r>
            <w:r w:rsidRPr="003E09E2">
              <w:rPr>
                <w:i/>
              </w:rPr>
              <w:t xml:space="preserve"> eur oproti sume</w:t>
            </w:r>
            <w:r w:rsidR="0078135D">
              <w:rPr>
                <w:i/>
              </w:rPr>
              <w:t xml:space="preserve"> určenej automatom</w:t>
            </w:r>
            <w:r w:rsidRPr="003E09E2">
              <w:rPr>
                <w:i/>
              </w:rPr>
              <w:t xml:space="preserve">. V porovnaní so stavom nula teda návrh má pozitívne vplyvy na podnikateľské prostredie, hoci medzi rokmi 2020 a 2021 </w:t>
            </w:r>
            <w:r w:rsidR="00206904">
              <w:rPr>
                <w:i/>
              </w:rPr>
              <w:t xml:space="preserve">ide </w:t>
            </w:r>
            <w:r w:rsidR="001A59B0">
              <w:rPr>
                <w:i/>
              </w:rPr>
              <w:t xml:space="preserve">o nárast </w:t>
            </w:r>
            <w:r w:rsidR="0078135D">
              <w:rPr>
                <w:i/>
              </w:rPr>
              <w:t xml:space="preserve">mesačnej </w:t>
            </w:r>
            <w:r w:rsidR="001A59B0">
              <w:rPr>
                <w:i/>
              </w:rPr>
              <w:t xml:space="preserve">minimálnej mzdy o 40 </w:t>
            </w:r>
            <w:r w:rsidR="00206904">
              <w:rPr>
                <w:i/>
              </w:rPr>
              <w:t>eur. T</w:t>
            </w:r>
            <w:r w:rsidRPr="003E09E2">
              <w:rPr>
                <w:i/>
              </w:rPr>
              <w:t xml:space="preserve">ento nárast </w:t>
            </w:r>
            <w:r w:rsidR="00D27533" w:rsidRPr="003E09E2">
              <w:rPr>
                <w:i/>
              </w:rPr>
              <w:t>nie je vyvolaný touto novelou, ale novelou účinnou od 1.1.2020, pričom zhodnotenie dopadov zavedenia tzv. automatu je prílohou daného materiálu.</w:t>
            </w:r>
          </w:p>
          <w:p w:rsidR="001C281B" w:rsidRPr="003E09E2" w:rsidRDefault="001C281B" w:rsidP="00AB6D14">
            <w:pPr>
              <w:jc w:val="both"/>
              <w:rPr>
                <w:i/>
              </w:rPr>
            </w:pPr>
          </w:p>
          <w:p w:rsidR="0047571B" w:rsidRDefault="00703EF7" w:rsidP="00703EF7">
            <w:pPr>
              <w:jc w:val="both"/>
              <w:rPr>
                <w:i/>
              </w:rPr>
            </w:pPr>
            <w:r w:rsidRPr="003E09E2">
              <w:rPr>
                <w:i/>
              </w:rPr>
              <w:t xml:space="preserve">Počet udržaných miest </w:t>
            </w:r>
            <w:r w:rsidR="0047571B" w:rsidRPr="003E09E2">
              <w:rPr>
                <w:i/>
              </w:rPr>
              <w:t xml:space="preserve">(z dôvodu nezvýšenia minimálnej mzdy v plnom rozsahu), resp. počet vytvorených miest (v prípade štartovacej </w:t>
            </w:r>
            <w:r w:rsidR="00065566" w:rsidRPr="003E09E2">
              <w:rPr>
                <w:i/>
              </w:rPr>
              <w:t xml:space="preserve">minimálnej </w:t>
            </w:r>
            <w:r w:rsidR="0047571B" w:rsidRPr="003E09E2">
              <w:rPr>
                <w:i/>
              </w:rPr>
              <w:t>mzdy) nie je možné v súčasnosti vzhľadom na dynamicky sa meniacu situáciu kvantifikovať. Možno však predpokladať, že</w:t>
            </w:r>
            <w:r w:rsidR="00065566" w:rsidRPr="003E09E2">
              <w:rPr>
                <w:i/>
              </w:rPr>
              <w:t xml:space="preserve"> </w:t>
            </w:r>
            <w:r w:rsidR="0078135D">
              <w:rPr>
                <w:i/>
              </w:rPr>
              <w:t>nižší než očakávaný</w:t>
            </w:r>
            <w:r w:rsidR="0047571B" w:rsidRPr="003E09E2">
              <w:rPr>
                <w:i/>
              </w:rPr>
              <w:t xml:space="preserve"> nárast minimálnej mzdy bude mať </w:t>
            </w:r>
            <w:r w:rsidR="00065566" w:rsidRPr="003E09E2">
              <w:rPr>
                <w:i/>
              </w:rPr>
              <w:t>vplyv</w:t>
            </w:r>
            <w:r w:rsidR="0047571B" w:rsidRPr="003E09E2">
              <w:rPr>
                <w:i/>
              </w:rPr>
              <w:t xml:space="preserve"> na úvahy zamestnávateľov </w:t>
            </w:r>
            <w:r w:rsidR="00065566" w:rsidRPr="003E09E2">
              <w:rPr>
                <w:i/>
              </w:rPr>
              <w:t xml:space="preserve">ohľadom zamestnávania </w:t>
            </w:r>
            <w:r w:rsidR="0047571B" w:rsidRPr="003E09E2">
              <w:rPr>
                <w:i/>
              </w:rPr>
              <w:t xml:space="preserve">a zavedenie štartovacej </w:t>
            </w:r>
            <w:r w:rsidR="00065566" w:rsidRPr="003E09E2">
              <w:rPr>
                <w:i/>
              </w:rPr>
              <w:t xml:space="preserve">minimálnej </w:t>
            </w:r>
            <w:r w:rsidR="0047571B" w:rsidRPr="003E09E2">
              <w:rPr>
                <w:i/>
              </w:rPr>
              <w:t>mzdy môže mať pozitívny vplyv na zamestnávateľov pri rozhodovaní sa o zamestnávaní zamestnancov. Zároveň popri otázke minimálnej mzdy do úvahy pripadajú aj ďalšie nástroje v oblasti služieb zamestnan</w:t>
            </w:r>
            <w:r w:rsidR="00596D73" w:rsidRPr="003E09E2">
              <w:rPr>
                <w:i/>
              </w:rPr>
              <w:t>osti</w:t>
            </w:r>
            <w:r w:rsidR="0047571B" w:rsidRPr="003E09E2">
              <w:rPr>
                <w:i/>
              </w:rPr>
              <w:t xml:space="preserve"> s cieľom podporiť udržanie a tvorbu pracovných miest.</w:t>
            </w:r>
          </w:p>
          <w:p w:rsidR="001A74D1" w:rsidRDefault="001A74D1" w:rsidP="001A74D1">
            <w:pPr>
              <w:jc w:val="both"/>
              <w:rPr>
                <w:i/>
              </w:rPr>
            </w:pPr>
          </w:p>
          <w:p w:rsidR="008277E0" w:rsidRPr="001A74D1" w:rsidRDefault="001A74D1" w:rsidP="00CB0938">
            <w:pPr>
              <w:jc w:val="both"/>
              <w:rPr>
                <w:i/>
              </w:rPr>
            </w:pPr>
            <w:r w:rsidRPr="001A74D1">
              <w:rPr>
                <w:i/>
              </w:rPr>
              <w:t>Vzhľadom na zmeny v oblasti zisťovania údajov disponuje predkladateľ len obmedzeným rozsahom údajov, ktoré vie z hľadiska doložky vplyvov na rozpočet verejnej správy spracovať.</w:t>
            </w:r>
          </w:p>
        </w:tc>
      </w:tr>
      <w:tr w:rsidR="009F2DFA" w:rsidRPr="00864DE4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.2 Vyhodnotenie konzultácií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rPr>
          <w:trHeight w:val="557"/>
        </w:trPr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Ako dlho trvali konzultácie?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4B6339" w:rsidRPr="00864DE4" w:rsidRDefault="008F41F4" w:rsidP="008F41F4">
            <w:pPr>
              <w:jc w:val="both"/>
              <w:rPr>
                <w:color w:val="000000"/>
              </w:rPr>
            </w:pPr>
            <w:r w:rsidRPr="00065566">
              <w:rPr>
                <w:i/>
              </w:rPr>
              <w:t xml:space="preserve"> </w:t>
            </w:r>
            <w:r w:rsidR="0047571B" w:rsidRPr="00065566">
              <w:rPr>
                <w:i/>
              </w:rPr>
              <w:t>Vzhľadom na to, že do 15.7.2020 mali sociálni partneri oznámiť MPSVR SR, či sa nedohodli alebo dohodli na sume minimálnej mzdy ako aj na časové rámce zákona o minimálnej mzdy a účinnosť nove</w:t>
            </w:r>
            <w:r w:rsidR="00596D73" w:rsidRPr="00065566">
              <w:rPr>
                <w:i/>
              </w:rPr>
              <w:t>j</w:t>
            </w:r>
            <w:r w:rsidR="0047571B" w:rsidRPr="00065566">
              <w:rPr>
                <w:i/>
              </w:rPr>
              <w:t xml:space="preserve"> legislatívy, nebolo objektívne možné takéto konzultácie vykonať.</w:t>
            </w: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.3 Náklady regulácie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.3.1 Priame finančné náklady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64DE4" w:rsidTr="007B71A4">
        <w:tc>
          <w:tcPr>
            <w:tcW w:w="9212" w:type="dxa"/>
          </w:tcPr>
          <w:p w:rsidR="00D71B03" w:rsidRDefault="00D71B03" w:rsidP="005E721A">
            <w:pPr>
              <w:jc w:val="both"/>
              <w:rPr>
                <w:i/>
              </w:rPr>
            </w:pPr>
          </w:p>
          <w:p w:rsidR="00D71B03" w:rsidRPr="00AB6D14" w:rsidRDefault="00703EF7" w:rsidP="00703EF7">
            <w:pPr>
              <w:jc w:val="both"/>
              <w:rPr>
                <w:i/>
              </w:rPr>
            </w:pPr>
            <w:r>
              <w:rPr>
                <w:i/>
              </w:rPr>
              <w:t xml:space="preserve">Bez vplyvu. 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.3.2 Nepriame finančné náklady</w:t>
            </w:r>
          </w:p>
          <w:p w:rsidR="009F2DFA" w:rsidRPr="00864DE4" w:rsidRDefault="009F2DFA" w:rsidP="00B31A8E">
            <w:pPr>
              <w:rPr>
                <w:i/>
              </w:rPr>
            </w:pPr>
            <w:r w:rsidRPr="00864DE4">
              <w:rPr>
                <w:i/>
              </w:rPr>
              <w:t xml:space="preserve">Vyžaduje si predkladaný návrh dodatočné náklady na nákup tovarov alebo služieb? </w:t>
            </w:r>
            <w:r w:rsidR="00B31A8E" w:rsidRPr="00864DE4">
              <w:rPr>
                <w:i/>
              </w:rPr>
              <w:t xml:space="preserve">Zvyšuje predkladaný návrh náklady súvisiace so zamestnávaním? </w:t>
            </w:r>
            <w:r w:rsidRPr="00864DE4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F77CC0" w:rsidRDefault="00F77CC0" w:rsidP="00F77CC0">
            <w:pPr>
              <w:jc w:val="both"/>
            </w:pPr>
            <w:r w:rsidRPr="00F77CC0">
              <w:t xml:space="preserve">Bez vplyvu. 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.3.3 Administratívne náklady</w:t>
            </w:r>
          </w:p>
          <w:p w:rsidR="009F2DFA" w:rsidRPr="00864DE4" w:rsidRDefault="009F2DFA" w:rsidP="00C93673">
            <w:pPr>
              <w:jc w:val="both"/>
              <w:rPr>
                <w:i/>
              </w:rPr>
            </w:pPr>
            <w:r w:rsidRPr="00864DE4">
              <w:rPr>
                <w:i/>
              </w:rPr>
              <w:lastRenderedPageBreak/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33CD6" w:rsidP="00A15AA2">
            <w:pPr>
              <w:jc w:val="both"/>
              <w:rPr>
                <w:b/>
                <w:i/>
              </w:rPr>
            </w:pPr>
            <w:r w:rsidRPr="00864DE4">
              <w:lastRenderedPageBreak/>
              <w:t xml:space="preserve"> </w:t>
            </w:r>
            <w:r w:rsidR="00F77CC0">
              <w:t>Bez vplyvu.</w:t>
            </w:r>
          </w:p>
        </w:tc>
      </w:tr>
      <w:tr w:rsidR="009F2DFA" w:rsidRPr="00864DE4" w:rsidTr="007B71A4">
        <w:trPr>
          <w:trHeight w:val="2318"/>
        </w:trPr>
        <w:tc>
          <w:tcPr>
            <w:tcW w:w="9212" w:type="dxa"/>
          </w:tcPr>
          <w:p w:rsidR="00BC6A49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.3.4 Sú</w:t>
            </w:r>
            <w:r w:rsidR="007A3F7E" w:rsidRPr="00864DE4">
              <w:rPr>
                <w:b/>
                <w:i/>
              </w:rPr>
              <w:t>hrnná tabuľka nákladov reguláci</w:t>
            </w:r>
            <w:r w:rsidR="00AE5B5F" w:rsidRPr="00864DE4">
              <w:rPr>
                <w:b/>
                <w:i/>
              </w:rPr>
              <w:t>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BC6A49" w:rsidRPr="00864DE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BC6A49" w:rsidP="00B470A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AE5B5F" w:rsidP="00B470AA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</w:t>
                  </w:r>
                  <w:r w:rsidR="00BC6A49" w:rsidRPr="00864DE4">
                    <w:rPr>
                      <w:i/>
                    </w:rPr>
                    <w:t>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BC6A49" w:rsidP="00B470AA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437B21" w:rsidRDefault="00BC6A49" w:rsidP="00B470AA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CF057F" w:rsidP="00B470AA">
                  <w:pPr>
                    <w:jc w:val="center"/>
                    <w:rPr>
                      <w:i/>
                    </w:rPr>
                  </w:pPr>
                  <w:r w:rsidRPr="00D75D01"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7F665C" w:rsidP="00B470A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5E721A" w:rsidP="00B470A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D76BC2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b/>
                      <w:i/>
                    </w:rPr>
                  </w:pPr>
                  <w:r w:rsidRPr="00AB409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C93673" w:rsidP="00B470A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7F665C" w:rsidP="00B470A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</w:t>
                  </w:r>
                </w:p>
              </w:tc>
            </w:tr>
          </w:tbl>
          <w:p w:rsidR="00C93673" w:rsidRDefault="00C93673" w:rsidP="00A36C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*momentálne nie je možné identifikovať dotknutých zamestnávateľov </w:t>
            </w:r>
          </w:p>
          <w:p w:rsidR="00C93673" w:rsidRDefault="00C93673" w:rsidP="00A36C26">
            <w:pPr>
              <w:rPr>
                <w:i/>
                <w:sz w:val="18"/>
                <w:szCs w:val="18"/>
              </w:rPr>
            </w:pPr>
          </w:p>
          <w:p w:rsidR="00C93673" w:rsidRDefault="00C93673" w:rsidP="00A36C26">
            <w:pPr>
              <w:rPr>
                <w:i/>
                <w:sz w:val="18"/>
                <w:szCs w:val="18"/>
              </w:rPr>
            </w:pPr>
          </w:p>
          <w:p w:rsidR="00C93673" w:rsidRPr="00A36C26" w:rsidRDefault="00C93673" w:rsidP="00A36C26">
            <w:pPr>
              <w:rPr>
                <w:i/>
                <w:sz w:val="18"/>
                <w:szCs w:val="18"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.4 Konkurencieschopnosť a správanie sa podnikov na trhu</w:t>
            </w:r>
          </w:p>
          <w:p w:rsidR="009F2DFA" w:rsidRPr="00864DE4" w:rsidRDefault="009F2DFA" w:rsidP="007B71A4">
            <w:r w:rsidRPr="00864DE4">
              <w:rPr>
                <w:b/>
                <w:sz w:val="24"/>
              </w:rPr>
              <w:t xml:space="preserve">       </w:t>
            </w:r>
            <w:r w:rsidRPr="00864DE4">
              <w:rPr>
                <w:sz w:val="24"/>
              </w:rPr>
              <w:t xml:space="preserve">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64DE4">
              <w:rPr>
                <w:i/>
              </w:rPr>
              <w:t>mikro</w:t>
            </w:r>
            <w:proofErr w:type="spellEnd"/>
            <w:r w:rsidRPr="00864DE4">
              <w:rPr>
                <w:i/>
              </w:rPr>
              <w:t>, malé a stredné podniky tzv. MSP)?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Ovplyvňuje prístup k financiám? Ak áno, ako?</w:t>
            </w:r>
          </w:p>
        </w:tc>
      </w:tr>
      <w:tr w:rsidR="009F2DFA" w:rsidRPr="00864DE4" w:rsidTr="001310FC">
        <w:trPr>
          <w:trHeight w:val="427"/>
        </w:trPr>
        <w:tc>
          <w:tcPr>
            <w:tcW w:w="9212" w:type="dxa"/>
          </w:tcPr>
          <w:p w:rsidR="00A15AA2" w:rsidRDefault="00A258B2" w:rsidP="00A15AA2">
            <w:r w:rsidRPr="00864DE4">
              <w:t xml:space="preserve">Nedochádza  k vplyvu na konkurencieschopnosť a správanie sa podnikov na trhu.  </w:t>
            </w:r>
          </w:p>
          <w:p w:rsidR="004B23A0" w:rsidRPr="00864DE4" w:rsidRDefault="004B23A0" w:rsidP="00A15AA2">
            <w:pPr>
              <w:rPr>
                <w:i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 xml:space="preserve">.5 Inovácie 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 podporuje navrhovaná zmena inovácie.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Uveďte, ako vplýva navrhovaná zmena na </w:t>
            </w:r>
            <w:r w:rsidR="00904C9B" w:rsidRPr="00864DE4">
              <w:rPr>
                <w:i/>
              </w:rPr>
              <w:t xml:space="preserve">jednotlivé </w:t>
            </w:r>
            <w:r w:rsidRPr="00864DE4">
              <w:rPr>
                <w:i/>
              </w:rPr>
              <w:t>práva duševného vlastníctva (</w:t>
            </w:r>
            <w:r w:rsidR="00904C9B" w:rsidRPr="00864DE4">
              <w:rPr>
                <w:i/>
              </w:rPr>
              <w:t xml:space="preserve">napr. </w:t>
            </w:r>
            <w:r w:rsidRPr="00864DE4">
              <w:rPr>
                <w:i/>
              </w:rPr>
              <w:t xml:space="preserve">patenty, ochranné známky, </w:t>
            </w:r>
            <w:r w:rsidR="00904C9B" w:rsidRPr="00864DE4">
              <w:rPr>
                <w:i/>
              </w:rPr>
              <w:t>autorské práva</w:t>
            </w:r>
            <w:r w:rsidRPr="00864DE4">
              <w:rPr>
                <w:i/>
              </w:rPr>
              <w:t xml:space="preserve">, vlastníctvo </w:t>
            </w:r>
            <w:proofErr w:type="spellStart"/>
            <w:r w:rsidRPr="00864DE4">
              <w:rPr>
                <w:i/>
              </w:rPr>
              <w:t>know-how</w:t>
            </w:r>
            <w:proofErr w:type="spellEnd"/>
            <w:r w:rsidRPr="00864DE4">
              <w:rPr>
                <w:i/>
              </w:rPr>
              <w:t>).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Podporuje vyššiu efektivitu výroby/využívania zdrojov? Ak áno, ako?</w:t>
            </w:r>
          </w:p>
          <w:p w:rsidR="00837639" w:rsidRPr="00864DE4" w:rsidRDefault="00837639" w:rsidP="007B71A4">
            <w:r w:rsidRPr="00864DE4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:rsidTr="001310FC">
        <w:trPr>
          <w:trHeight w:val="70"/>
        </w:trPr>
        <w:tc>
          <w:tcPr>
            <w:tcW w:w="9212" w:type="dxa"/>
          </w:tcPr>
          <w:p w:rsidR="009F2DFA" w:rsidRPr="00F04CCD" w:rsidRDefault="00A258B2" w:rsidP="007B71A4">
            <w:pPr>
              <w:rPr>
                <w:i/>
              </w:rPr>
            </w:pPr>
            <w:r w:rsidRPr="00864DE4">
              <w:t>Nedochádza k vplyvu na inovácie.</w:t>
            </w:r>
            <w:r w:rsidRPr="0051340B">
              <w:t xml:space="preserve">  </w:t>
            </w:r>
          </w:p>
        </w:tc>
      </w:tr>
    </w:tbl>
    <w:p w:rsidR="009F2DFA" w:rsidRDefault="009F2DFA" w:rsidP="009F2DFA">
      <w:pPr>
        <w:rPr>
          <w:b/>
          <w:sz w:val="24"/>
        </w:rPr>
      </w:pPr>
    </w:p>
    <w:p w:rsidR="00D27533" w:rsidRDefault="00D27533" w:rsidP="009F2DFA">
      <w:pPr>
        <w:rPr>
          <w:b/>
          <w:sz w:val="24"/>
        </w:rPr>
      </w:pPr>
    </w:p>
    <w:p w:rsidR="00D27533" w:rsidRDefault="00D27533" w:rsidP="009F2DFA">
      <w:pPr>
        <w:rPr>
          <w:b/>
          <w:sz w:val="24"/>
        </w:rPr>
      </w:pPr>
    </w:p>
    <w:p w:rsidR="003E09E2" w:rsidRDefault="003E09E2" w:rsidP="009F2DFA">
      <w:pPr>
        <w:rPr>
          <w:b/>
          <w:sz w:val="24"/>
        </w:rPr>
        <w:sectPr w:rsidR="003E09E2" w:rsidSect="0022044A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27533" w:rsidRDefault="00D27533" w:rsidP="009F2DFA">
      <w:pPr>
        <w:rPr>
          <w:b/>
          <w:sz w:val="24"/>
        </w:rPr>
      </w:pPr>
    </w:p>
    <w:p w:rsidR="00D27533" w:rsidRDefault="00D27533" w:rsidP="009F2DFA">
      <w:pPr>
        <w:rPr>
          <w:b/>
          <w:sz w:val="24"/>
        </w:rPr>
      </w:pPr>
    </w:p>
    <w:p w:rsidR="00D27533" w:rsidRDefault="00D27533" w:rsidP="003E09E2">
      <w:pPr>
        <w:jc w:val="center"/>
        <w:rPr>
          <w:b/>
          <w:sz w:val="24"/>
        </w:rPr>
      </w:pPr>
    </w:p>
    <w:p w:rsidR="00D27533" w:rsidRPr="007038A6" w:rsidRDefault="00D27533" w:rsidP="003E09E2">
      <w:pPr>
        <w:jc w:val="center"/>
        <w:rPr>
          <w:b/>
          <w:i/>
          <w:sz w:val="28"/>
          <w:szCs w:val="28"/>
        </w:rPr>
      </w:pPr>
      <w:r w:rsidRPr="003E09E2">
        <w:rPr>
          <w:b/>
          <w:sz w:val="28"/>
          <w:szCs w:val="28"/>
        </w:rPr>
        <w:t xml:space="preserve">Komentár v kontexte </w:t>
      </w:r>
      <w:r w:rsidR="007038A6">
        <w:rPr>
          <w:b/>
          <w:sz w:val="28"/>
          <w:szCs w:val="28"/>
        </w:rPr>
        <w:t>zmeny</w:t>
      </w:r>
      <w:r w:rsidRPr="003E09E2">
        <w:rPr>
          <w:b/>
          <w:sz w:val="28"/>
          <w:szCs w:val="28"/>
        </w:rPr>
        <w:t xml:space="preserve"> minimálnej mzdy </w:t>
      </w:r>
      <w:r w:rsidR="007038A6">
        <w:rPr>
          <w:b/>
          <w:sz w:val="28"/>
          <w:szCs w:val="28"/>
        </w:rPr>
        <w:t xml:space="preserve">na rok 2021 </w:t>
      </w:r>
      <w:r w:rsidRPr="003E09E2">
        <w:rPr>
          <w:b/>
          <w:sz w:val="28"/>
          <w:szCs w:val="28"/>
        </w:rPr>
        <w:t xml:space="preserve">oproti roku 2020 </w:t>
      </w:r>
      <w:r w:rsidRPr="007038A6">
        <w:rPr>
          <w:b/>
          <w:i/>
          <w:sz w:val="28"/>
          <w:szCs w:val="28"/>
        </w:rPr>
        <w:t>(</w:t>
      </w:r>
      <w:r w:rsidR="007038A6">
        <w:rPr>
          <w:b/>
          <w:i/>
          <w:sz w:val="28"/>
          <w:szCs w:val="28"/>
        </w:rPr>
        <w:t xml:space="preserve">abstrahujúc </w:t>
      </w:r>
      <w:r w:rsidR="00FD2D0C">
        <w:rPr>
          <w:b/>
          <w:i/>
          <w:sz w:val="28"/>
          <w:szCs w:val="28"/>
        </w:rPr>
        <w:t xml:space="preserve">od </w:t>
      </w:r>
      <w:r w:rsidR="007323FE" w:rsidRPr="007038A6">
        <w:rPr>
          <w:b/>
          <w:i/>
          <w:sz w:val="28"/>
          <w:szCs w:val="28"/>
        </w:rPr>
        <w:t>sumy</w:t>
      </w:r>
      <w:r w:rsidRPr="007038A6">
        <w:rPr>
          <w:b/>
          <w:i/>
          <w:sz w:val="28"/>
          <w:szCs w:val="28"/>
        </w:rPr>
        <w:t xml:space="preserve"> minimálnej mzdy predvídanej automatom na rok 2021)</w:t>
      </w:r>
    </w:p>
    <w:p w:rsidR="00D27533" w:rsidRPr="003E09E2" w:rsidRDefault="00D27533" w:rsidP="009F2DFA">
      <w:pPr>
        <w:rPr>
          <w:b/>
          <w:sz w:val="24"/>
          <w:szCs w:val="24"/>
        </w:rPr>
      </w:pPr>
    </w:p>
    <w:p w:rsidR="0022044A" w:rsidRDefault="007323FE" w:rsidP="00C67219">
      <w:pPr>
        <w:jc w:val="both"/>
        <w:rPr>
          <w:sz w:val="24"/>
          <w:szCs w:val="24"/>
        </w:rPr>
      </w:pPr>
      <w:r w:rsidRPr="00C67219">
        <w:rPr>
          <w:sz w:val="24"/>
          <w:szCs w:val="24"/>
        </w:rPr>
        <w:t>Z hľadiska počtu zamestnancov pod sum</w:t>
      </w:r>
      <w:r w:rsidR="00206904">
        <w:rPr>
          <w:sz w:val="24"/>
          <w:szCs w:val="24"/>
        </w:rPr>
        <w:t>o</w:t>
      </w:r>
      <w:r w:rsidRPr="00C67219">
        <w:rPr>
          <w:sz w:val="24"/>
          <w:szCs w:val="24"/>
        </w:rPr>
        <w:t>u minimálnej mzdy možno tento počet odhadovať na 85 </w:t>
      </w:r>
      <w:r w:rsidR="001A59B0">
        <w:rPr>
          <w:sz w:val="24"/>
          <w:szCs w:val="24"/>
        </w:rPr>
        <w:t>626</w:t>
      </w:r>
      <w:r w:rsidRPr="00C67219">
        <w:rPr>
          <w:sz w:val="24"/>
          <w:szCs w:val="24"/>
        </w:rPr>
        <w:t>,</w:t>
      </w:r>
      <w:r w:rsidR="001A59B0">
        <w:rPr>
          <w:sz w:val="24"/>
          <w:szCs w:val="24"/>
        </w:rPr>
        <w:t>15</w:t>
      </w:r>
      <w:r w:rsidR="00C67219">
        <w:rPr>
          <w:sz w:val="24"/>
          <w:szCs w:val="24"/>
        </w:rPr>
        <w:t xml:space="preserve"> osôb a výdavky na doplatky v porovnaní s rokom 2020 na </w:t>
      </w:r>
      <w:r w:rsidR="001A59B0">
        <w:rPr>
          <w:sz w:val="24"/>
          <w:szCs w:val="24"/>
        </w:rPr>
        <w:t>14 390 320,01 eura</w:t>
      </w:r>
      <w:r w:rsidR="00C67219">
        <w:rPr>
          <w:sz w:val="24"/>
          <w:szCs w:val="24"/>
        </w:rPr>
        <w:t>. Ďalšími nákladmi sú dopady vyvolané nárastom mzdových zvýhodnení</w:t>
      </w:r>
      <w:r w:rsidR="00206904">
        <w:rPr>
          <w:sz w:val="24"/>
          <w:szCs w:val="24"/>
        </w:rPr>
        <w:t xml:space="preserve"> (za nočnú prácu, sobotu, nedeľu a mzdovú kompenzáciu za sťažený výkon práce)</w:t>
      </w:r>
      <w:r w:rsidR="00C67219">
        <w:rPr>
          <w:sz w:val="24"/>
          <w:szCs w:val="24"/>
        </w:rPr>
        <w:t>, ktoré sú určené ako % z minimálnej mzdy, ak ich zamestnávateľ v roku 2020 poskytuje na úrovni minimálnej hodnoty predvídanej</w:t>
      </w:r>
      <w:r w:rsidR="00206904">
        <w:rPr>
          <w:sz w:val="24"/>
          <w:szCs w:val="24"/>
        </w:rPr>
        <w:t xml:space="preserve"> Zákonníkom práce</w:t>
      </w:r>
      <w:r w:rsidR="00C67219">
        <w:rPr>
          <w:sz w:val="24"/>
          <w:szCs w:val="24"/>
        </w:rPr>
        <w:t xml:space="preserve">. Odhadovaná zmena je </w:t>
      </w:r>
      <w:r w:rsidR="001A59B0">
        <w:rPr>
          <w:sz w:val="24"/>
          <w:szCs w:val="24"/>
        </w:rPr>
        <w:t xml:space="preserve">20 633 533,81 </w:t>
      </w:r>
      <w:r w:rsidR="00C67219">
        <w:rPr>
          <w:sz w:val="24"/>
          <w:szCs w:val="24"/>
        </w:rPr>
        <w:t xml:space="preserve">eura. Celkový dopad je </w:t>
      </w:r>
      <w:r w:rsidR="001A59B0">
        <w:rPr>
          <w:sz w:val="24"/>
          <w:szCs w:val="24"/>
        </w:rPr>
        <w:t xml:space="preserve">35 023 853,82 </w:t>
      </w:r>
      <w:r w:rsidR="00C67219">
        <w:rPr>
          <w:sz w:val="24"/>
          <w:szCs w:val="24"/>
        </w:rPr>
        <w:t>eur</w:t>
      </w:r>
      <w:r w:rsidR="001A59B0">
        <w:rPr>
          <w:sz w:val="24"/>
          <w:szCs w:val="24"/>
        </w:rPr>
        <w:t>a</w:t>
      </w:r>
      <w:r w:rsidR="00C67219">
        <w:rPr>
          <w:sz w:val="24"/>
          <w:szCs w:val="24"/>
        </w:rPr>
        <w:t>.</w:t>
      </w:r>
      <w:r w:rsidR="0022044A">
        <w:rPr>
          <w:sz w:val="24"/>
          <w:szCs w:val="24"/>
        </w:rPr>
        <w:t xml:space="preserve"> V prípade zamestnancov zamestnávaných SZČO ide o odhadovaný počet 4712 osôb s výdavkami na doplatky 2 158 209,60 eur</w:t>
      </w:r>
      <w:r w:rsidR="001A59B0">
        <w:rPr>
          <w:sz w:val="24"/>
          <w:szCs w:val="24"/>
        </w:rPr>
        <w:t>a</w:t>
      </w:r>
      <w:r w:rsidR="0022044A">
        <w:rPr>
          <w:sz w:val="24"/>
          <w:szCs w:val="24"/>
        </w:rPr>
        <w:t>.</w:t>
      </w:r>
    </w:p>
    <w:p w:rsidR="001A59B0" w:rsidRDefault="001A59B0" w:rsidP="00C67219">
      <w:pPr>
        <w:jc w:val="both"/>
        <w:rPr>
          <w:sz w:val="24"/>
          <w:szCs w:val="24"/>
        </w:rPr>
      </w:pPr>
    </w:p>
    <w:p w:rsidR="00D27533" w:rsidRPr="00C67219" w:rsidRDefault="00C67219" w:rsidP="00C67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kontexte je potrebné uviesť, že nejde o dopady vyvolané </w:t>
      </w:r>
      <w:r w:rsidR="007038A6">
        <w:rPr>
          <w:sz w:val="24"/>
          <w:szCs w:val="24"/>
        </w:rPr>
        <w:t xml:space="preserve">navrhovanou </w:t>
      </w:r>
      <w:r>
        <w:rPr>
          <w:sz w:val="24"/>
          <w:szCs w:val="24"/>
        </w:rPr>
        <w:t xml:space="preserve">novelou zákona, ale ide o zmenu oproti stavu roku 2020 pričom bez predloženia </w:t>
      </w:r>
      <w:r w:rsidR="007038A6">
        <w:rPr>
          <w:sz w:val="24"/>
          <w:szCs w:val="24"/>
        </w:rPr>
        <w:t xml:space="preserve">navrhovanej </w:t>
      </w:r>
      <w:r>
        <w:rPr>
          <w:sz w:val="24"/>
          <w:szCs w:val="24"/>
        </w:rPr>
        <w:t xml:space="preserve">novely </w:t>
      </w:r>
      <w:r w:rsidR="007038A6">
        <w:rPr>
          <w:sz w:val="24"/>
          <w:szCs w:val="24"/>
        </w:rPr>
        <w:t xml:space="preserve">zákona </w:t>
      </w:r>
      <w:r>
        <w:rPr>
          <w:sz w:val="24"/>
          <w:szCs w:val="24"/>
        </w:rPr>
        <w:t>by celkové dopady boli</w:t>
      </w:r>
      <w:r w:rsidR="007038A6">
        <w:rPr>
          <w:sz w:val="24"/>
          <w:szCs w:val="24"/>
        </w:rPr>
        <w:t xml:space="preserve"> vzhľadom na automatom určenú sumu 656,- eur</w:t>
      </w:r>
      <w:r>
        <w:rPr>
          <w:sz w:val="24"/>
          <w:szCs w:val="24"/>
        </w:rPr>
        <w:t xml:space="preserve"> podstatne väčšie (minimálne dvojnásobné).</w:t>
      </w:r>
    </w:p>
    <w:p w:rsidR="003E09E2" w:rsidRPr="003E09E2" w:rsidRDefault="003E09E2" w:rsidP="009F2DFA">
      <w:pPr>
        <w:rPr>
          <w:b/>
        </w:rPr>
      </w:pPr>
    </w:p>
    <w:p w:rsidR="0022044A" w:rsidRPr="0022044A" w:rsidRDefault="0022044A" w:rsidP="0022044A"/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25"/>
        <w:gridCol w:w="3260"/>
        <w:gridCol w:w="2835"/>
        <w:gridCol w:w="2977"/>
        <w:gridCol w:w="2410"/>
      </w:tblGrid>
      <w:tr w:rsidR="001A59B0" w:rsidRPr="0022044A" w:rsidTr="002E20AB">
        <w:trPr>
          <w:trHeight w:val="300"/>
        </w:trPr>
        <w:tc>
          <w:tcPr>
            <w:tcW w:w="2425" w:type="dxa"/>
            <w:shd w:val="clear" w:color="auto" w:fill="FFFFFF" w:themeFill="background1"/>
            <w:noWrap/>
            <w:vAlign w:val="bottom"/>
            <w:hideMark/>
          </w:tcPr>
          <w:p w:rsidR="001A59B0" w:rsidRPr="001A59B0" w:rsidRDefault="001A59B0" w:rsidP="002E20AB">
            <w:pPr>
              <w:rPr>
                <w:b/>
                <w:bCs/>
                <w:lang w:eastAsia="en-US"/>
              </w:rPr>
            </w:pPr>
            <w:r w:rsidRPr="001A59B0">
              <w:rPr>
                <w:b/>
                <w:bCs/>
                <w:lang w:eastAsia="en-US"/>
              </w:rPr>
              <w:t>Súkromný sektor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1A59B0" w:rsidRPr="001A59B0" w:rsidRDefault="001A59B0">
            <w:r w:rsidRPr="001A59B0">
              <w:t>Odhadovaný počet pod MM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1A59B0" w:rsidRPr="001A59B0" w:rsidRDefault="001A59B0">
            <w:r w:rsidRPr="001A59B0">
              <w:t>Výdavky na doplatky (D)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1A59B0" w:rsidRPr="001A59B0" w:rsidRDefault="001A59B0">
            <w:r w:rsidRPr="001A59B0">
              <w:t>Výdavky na príplatky (D)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1A59B0" w:rsidRPr="001A59B0" w:rsidRDefault="001A59B0">
            <w:r w:rsidRPr="001A59B0">
              <w:t>SUM</w:t>
            </w:r>
          </w:p>
        </w:tc>
      </w:tr>
      <w:tr w:rsidR="001A59B0" w:rsidRPr="0022044A" w:rsidTr="002E20AB">
        <w:trPr>
          <w:trHeight w:val="300"/>
        </w:trPr>
        <w:tc>
          <w:tcPr>
            <w:tcW w:w="2425" w:type="dxa"/>
            <w:shd w:val="clear" w:color="auto" w:fill="FFFFFF" w:themeFill="background1"/>
            <w:noWrap/>
            <w:vAlign w:val="bottom"/>
            <w:hideMark/>
          </w:tcPr>
          <w:p w:rsidR="001A59B0" w:rsidRPr="001A59B0" w:rsidRDefault="001A59B0" w:rsidP="002E20AB">
            <w:pPr>
              <w:rPr>
                <w:b/>
                <w:bCs/>
                <w:lang w:eastAsia="en-US"/>
              </w:rPr>
            </w:pPr>
            <w:r w:rsidRPr="001A59B0">
              <w:rPr>
                <w:b/>
                <w:bCs/>
                <w:lang w:eastAsia="en-US"/>
              </w:rPr>
              <w:t>Zamestnanci práv. osôb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1A59B0" w:rsidRPr="001A59B0" w:rsidRDefault="001A59B0">
            <w:pPr>
              <w:jc w:val="right"/>
            </w:pPr>
            <w:r w:rsidRPr="001A59B0">
              <w:t>85626,14768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1A59B0" w:rsidRPr="001A59B0" w:rsidRDefault="001A59B0">
            <w:r w:rsidRPr="001A59B0">
              <w:t xml:space="preserve">                     14 390 320,01 € 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1A59B0" w:rsidRPr="001A59B0" w:rsidRDefault="001A59B0">
            <w:r w:rsidRPr="001A59B0">
              <w:t xml:space="preserve">                     20 633 533,81 € 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1A59B0" w:rsidRPr="001A59B0" w:rsidRDefault="001A59B0">
            <w:r w:rsidRPr="001A59B0">
              <w:t xml:space="preserve">   35 023 853,82 € </w:t>
            </w:r>
          </w:p>
        </w:tc>
      </w:tr>
      <w:tr w:rsidR="001A59B0" w:rsidRPr="0022044A" w:rsidTr="002E20AB">
        <w:trPr>
          <w:trHeight w:val="300"/>
        </w:trPr>
        <w:tc>
          <w:tcPr>
            <w:tcW w:w="2425" w:type="dxa"/>
            <w:shd w:val="clear" w:color="auto" w:fill="FFFFFF" w:themeFill="background1"/>
            <w:noWrap/>
            <w:vAlign w:val="bottom"/>
            <w:hideMark/>
          </w:tcPr>
          <w:p w:rsidR="001A59B0" w:rsidRPr="001A59B0" w:rsidRDefault="001A59B0" w:rsidP="002E20AB">
            <w:pPr>
              <w:rPr>
                <w:b/>
                <w:bCs/>
                <w:lang w:eastAsia="en-US"/>
              </w:rPr>
            </w:pPr>
            <w:r w:rsidRPr="001A59B0">
              <w:rPr>
                <w:b/>
                <w:bCs/>
                <w:lang w:eastAsia="en-US"/>
              </w:rPr>
              <w:t>Zamestnanci SZČO*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1A59B0" w:rsidRPr="001A59B0" w:rsidRDefault="001A59B0">
            <w:pPr>
              <w:jc w:val="right"/>
            </w:pPr>
            <w:r w:rsidRPr="001A59B0">
              <w:t>4712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1A59B0" w:rsidRPr="001A59B0" w:rsidRDefault="001A59B0">
            <w:r w:rsidRPr="001A59B0">
              <w:t xml:space="preserve">                      2 158 209,60 € 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1A59B0" w:rsidRPr="001A59B0" w:rsidRDefault="001A59B0">
            <w:r w:rsidRPr="001A59B0">
              <w:t xml:space="preserve"> N/A 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1A59B0" w:rsidRPr="001A59B0" w:rsidRDefault="001A59B0">
            <w:r w:rsidRPr="001A59B0">
              <w:t xml:space="preserve">     2 158 209,60 € </w:t>
            </w:r>
          </w:p>
        </w:tc>
      </w:tr>
    </w:tbl>
    <w:p w:rsidR="0022044A" w:rsidRDefault="0022044A" w:rsidP="009F2DFA">
      <w:pPr>
        <w:rPr>
          <w:sz w:val="24"/>
        </w:rPr>
      </w:pPr>
    </w:p>
    <w:p w:rsidR="0022044A" w:rsidRPr="00C67219" w:rsidRDefault="0022044A" w:rsidP="009F2DFA">
      <w:pPr>
        <w:rPr>
          <w:sz w:val="24"/>
        </w:rPr>
      </w:pPr>
      <w:r w:rsidRPr="0022044A">
        <w:rPr>
          <w:sz w:val="24"/>
        </w:rPr>
        <w:t>*Zamestnanci SZČO dopočítaní z dát Sociálnej poisťovne. Prezentovaný je dolný odhad počtu dotknutých zamestnancov a nadväzujúcich súm.</w:t>
      </w:r>
    </w:p>
    <w:sectPr w:rsidR="0022044A" w:rsidRPr="00C67219" w:rsidSect="0022044A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31" w:rsidRDefault="00D87531" w:rsidP="009F2DFA">
      <w:r>
        <w:separator/>
      </w:r>
    </w:p>
  </w:endnote>
  <w:endnote w:type="continuationSeparator" w:id="0">
    <w:p w:rsidR="00D87531" w:rsidRDefault="00D87531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15" w:rsidRPr="00010615" w:rsidRDefault="00010615">
    <w:pPr>
      <w:pStyle w:val="Pta"/>
      <w:jc w:val="center"/>
      <w:rPr>
        <w:sz w:val="24"/>
        <w:szCs w:val="24"/>
      </w:rPr>
    </w:pPr>
    <w:r w:rsidRPr="00010615">
      <w:rPr>
        <w:sz w:val="24"/>
        <w:szCs w:val="24"/>
      </w:rPr>
      <w:fldChar w:fldCharType="begin"/>
    </w:r>
    <w:r w:rsidRPr="00010615">
      <w:rPr>
        <w:sz w:val="24"/>
        <w:szCs w:val="24"/>
      </w:rPr>
      <w:instrText>PAGE   \* MERGEFORMAT</w:instrText>
    </w:r>
    <w:r w:rsidRPr="00010615">
      <w:rPr>
        <w:sz w:val="24"/>
        <w:szCs w:val="24"/>
      </w:rPr>
      <w:fldChar w:fldCharType="separate"/>
    </w:r>
    <w:r w:rsidR="00947757">
      <w:rPr>
        <w:noProof/>
        <w:sz w:val="24"/>
        <w:szCs w:val="24"/>
      </w:rPr>
      <w:t>2</w:t>
    </w:r>
    <w:r w:rsidRPr="00010615">
      <w:rPr>
        <w:sz w:val="24"/>
        <w:szCs w:val="24"/>
      </w:rPr>
      <w:fldChar w:fldCharType="end"/>
    </w:r>
  </w:p>
  <w:p w:rsidR="00010615" w:rsidRPr="00010615" w:rsidRDefault="00010615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31" w:rsidRDefault="00D87531" w:rsidP="009F2DFA">
      <w:r>
        <w:separator/>
      </w:r>
    </w:p>
  </w:footnote>
  <w:footnote w:type="continuationSeparator" w:id="0">
    <w:p w:rsidR="00D87531" w:rsidRDefault="00D87531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55DA"/>
    <w:rsid w:val="00010615"/>
    <w:rsid w:val="00013156"/>
    <w:rsid w:val="00034CDC"/>
    <w:rsid w:val="00042C66"/>
    <w:rsid w:val="0004470A"/>
    <w:rsid w:val="00046F61"/>
    <w:rsid w:val="000476AD"/>
    <w:rsid w:val="0005303A"/>
    <w:rsid w:val="00061B2C"/>
    <w:rsid w:val="000632F4"/>
    <w:rsid w:val="00065566"/>
    <w:rsid w:val="0007726B"/>
    <w:rsid w:val="00081E89"/>
    <w:rsid w:val="000837DD"/>
    <w:rsid w:val="00090726"/>
    <w:rsid w:val="00094B4F"/>
    <w:rsid w:val="000B187B"/>
    <w:rsid w:val="000D2622"/>
    <w:rsid w:val="000E5E65"/>
    <w:rsid w:val="0010106D"/>
    <w:rsid w:val="00110D2E"/>
    <w:rsid w:val="00126556"/>
    <w:rsid w:val="00127795"/>
    <w:rsid w:val="001310FC"/>
    <w:rsid w:val="00132E59"/>
    <w:rsid w:val="00153569"/>
    <w:rsid w:val="00154881"/>
    <w:rsid w:val="001564A4"/>
    <w:rsid w:val="001720C6"/>
    <w:rsid w:val="00175268"/>
    <w:rsid w:val="00175A58"/>
    <w:rsid w:val="001862EB"/>
    <w:rsid w:val="00186D0D"/>
    <w:rsid w:val="00190FF9"/>
    <w:rsid w:val="001A12AD"/>
    <w:rsid w:val="001A59B0"/>
    <w:rsid w:val="001A7475"/>
    <w:rsid w:val="001A74D1"/>
    <w:rsid w:val="001B5B42"/>
    <w:rsid w:val="001C0F95"/>
    <w:rsid w:val="001C281B"/>
    <w:rsid w:val="001C6AC1"/>
    <w:rsid w:val="001E7CEB"/>
    <w:rsid w:val="001F6DD4"/>
    <w:rsid w:val="00206904"/>
    <w:rsid w:val="00207E2C"/>
    <w:rsid w:val="0022044A"/>
    <w:rsid w:val="00226F6D"/>
    <w:rsid w:val="00231ED3"/>
    <w:rsid w:val="00240E2A"/>
    <w:rsid w:val="002473EB"/>
    <w:rsid w:val="00265D45"/>
    <w:rsid w:val="00266005"/>
    <w:rsid w:val="00270039"/>
    <w:rsid w:val="00274280"/>
    <w:rsid w:val="00274BAE"/>
    <w:rsid w:val="0028562A"/>
    <w:rsid w:val="00285D81"/>
    <w:rsid w:val="002865F6"/>
    <w:rsid w:val="00292F88"/>
    <w:rsid w:val="002A6AC9"/>
    <w:rsid w:val="002B1108"/>
    <w:rsid w:val="002B295C"/>
    <w:rsid w:val="002B5520"/>
    <w:rsid w:val="002D2791"/>
    <w:rsid w:val="002D5A3A"/>
    <w:rsid w:val="002E2738"/>
    <w:rsid w:val="002E3314"/>
    <w:rsid w:val="002F6744"/>
    <w:rsid w:val="002F6CB5"/>
    <w:rsid w:val="002F702C"/>
    <w:rsid w:val="003049F9"/>
    <w:rsid w:val="00314578"/>
    <w:rsid w:val="00315666"/>
    <w:rsid w:val="00321333"/>
    <w:rsid w:val="00327786"/>
    <w:rsid w:val="00330381"/>
    <w:rsid w:val="00336F5E"/>
    <w:rsid w:val="003431F2"/>
    <w:rsid w:val="0034673C"/>
    <w:rsid w:val="00347F2C"/>
    <w:rsid w:val="003531B1"/>
    <w:rsid w:val="003533B1"/>
    <w:rsid w:val="003737EE"/>
    <w:rsid w:val="00380A70"/>
    <w:rsid w:val="00394FEA"/>
    <w:rsid w:val="00395559"/>
    <w:rsid w:val="003A5C12"/>
    <w:rsid w:val="003C0811"/>
    <w:rsid w:val="003C3F89"/>
    <w:rsid w:val="003E09E2"/>
    <w:rsid w:val="003E6175"/>
    <w:rsid w:val="003F1D59"/>
    <w:rsid w:val="003F4F15"/>
    <w:rsid w:val="003F66FF"/>
    <w:rsid w:val="004047E5"/>
    <w:rsid w:val="004100A9"/>
    <w:rsid w:val="00411BD1"/>
    <w:rsid w:val="004338B6"/>
    <w:rsid w:val="00437B21"/>
    <w:rsid w:val="00450A0C"/>
    <w:rsid w:val="00452F25"/>
    <w:rsid w:val="0047571B"/>
    <w:rsid w:val="00477BCF"/>
    <w:rsid w:val="00481A92"/>
    <w:rsid w:val="00482A7E"/>
    <w:rsid w:val="00497D70"/>
    <w:rsid w:val="004A4B3B"/>
    <w:rsid w:val="004B124E"/>
    <w:rsid w:val="004B1B25"/>
    <w:rsid w:val="004B23A0"/>
    <w:rsid w:val="004B26F6"/>
    <w:rsid w:val="004B6339"/>
    <w:rsid w:val="004C4F30"/>
    <w:rsid w:val="004C65A5"/>
    <w:rsid w:val="004D0ACD"/>
    <w:rsid w:val="004D5FB1"/>
    <w:rsid w:val="004F7E8E"/>
    <w:rsid w:val="00503151"/>
    <w:rsid w:val="00506BB4"/>
    <w:rsid w:val="0051340B"/>
    <w:rsid w:val="0051741B"/>
    <w:rsid w:val="0052297F"/>
    <w:rsid w:val="00540C93"/>
    <w:rsid w:val="0054105B"/>
    <w:rsid w:val="00545EB8"/>
    <w:rsid w:val="00575E10"/>
    <w:rsid w:val="00592E05"/>
    <w:rsid w:val="00596D73"/>
    <w:rsid w:val="005A01C6"/>
    <w:rsid w:val="005A0D1B"/>
    <w:rsid w:val="005A0E4F"/>
    <w:rsid w:val="005A45D3"/>
    <w:rsid w:val="005B099D"/>
    <w:rsid w:val="005B77D1"/>
    <w:rsid w:val="005D7D66"/>
    <w:rsid w:val="005E6DB0"/>
    <w:rsid w:val="005E721A"/>
    <w:rsid w:val="005F02C5"/>
    <w:rsid w:val="006063DB"/>
    <w:rsid w:val="00622108"/>
    <w:rsid w:val="00626CE4"/>
    <w:rsid w:val="00627C27"/>
    <w:rsid w:val="00632DB0"/>
    <w:rsid w:val="0063352D"/>
    <w:rsid w:val="006358D5"/>
    <w:rsid w:val="00644573"/>
    <w:rsid w:val="006461C4"/>
    <w:rsid w:val="006502A7"/>
    <w:rsid w:val="00651ADE"/>
    <w:rsid w:val="0065419B"/>
    <w:rsid w:val="0067638D"/>
    <w:rsid w:val="006A16A8"/>
    <w:rsid w:val="006A361E"/>
    <w:rsid w:val="006A367F"/>
    <w:rsid w:val="006B2634"/>
    <w:rsid w:val="006D02BF"/>
    <w:rsid w:val="006D3CCE"/>
    <w:rsid w:val="006F1759"/>
    <w:rsid w:val="006F3DED"/>
    <w:rsid w:val="007038A6"/>
    <w:rsid w:val="00703EF7"/>
    <w:rsid w:val="00704CCD"/>
    <w:rsid w:val="0071067F"/>
    <w:rsid w:val="00725779"/>
    <w:rsid w:val="007323FE"/>
    <w:rsid w:val="00733646"/>
    <w:rsid w:val="00736241"/>
    <w:rsid w:val="00740BB6"/>
    <w:rsid w:val="00752503"/>
    <w:rsid w:val="007530F3"/>
    <w:rsid w:val="00764FD4"/>
    <w:rsid w:val="007670EC"/>
    <w:rsid w:val="007703A6"/>
    <w:rsid w:val="00777AF4"/>
    <w:rsid w:val="00780BA6"/>
    <w:rsid w:val="0078135D"/>
    <w:rsid w:val="00787153"/>
    <w:rsid w:val="007922DE"/>
    <w:rsid w:val="00797253"/>
    <w:rsid w:val="00797415"/>
    <w:rsid w:val="007A1C48"/>
    <w:rsid w:val="007A3F7E"/>
    <w:rsid w:val="007A4160"/>
    <w:rsid w:val="007A624D"/>
    <w:rsid w:val="007B50D6"/>
    <w:rsid w:val="007B58A9"/>
    <w:rsid w:val="007B71A4"/>
    <w:rsid w:val="007C2190"/>
    <w:rsid w:val="007C32AF"/>
    <w:rsid w:val="007D643A"/>
    <w:rsid w:val="007E0400"/>
    <w:rsid w:val="007E3616"/>
    <w:rsid w:val="007F0FBF"/>
    <w:rsid w:val="007F665C"/>
    <w:rsid w:val="00805BC1"/>
    <w:rsid w:val="008277E0"/>
    <w:rsid w:val="00837639"/>
    <w:rsid w:val="0084578A"/>
    <w:rsid w:val="00864CF0"/>
    <w:rsid w:val="00864DE4"/>
    <w:rsid w:val="00873EC1"/>
    <w:rsid w:val="008845C7"/>
    <w:rsid w:val="0088583C"/>
    <w:rsid w:val="00890AB2"/>
    <w:rsid w:val="00891038"/>
    <w:rsid w:val="008A1252"/>
    <w:rsid w:val="008A7657"/>
    <w:rsid w:val="008A7E20"/>
    <w:rsid w:val="008B0CAB"/>
    <w:rsid w:val="008B0F16"/>
    <w:rsid w:val="008B6134"/>
    <w:rsid w:val="008D1B15"/>
    <w:rsid w:val="008D2160"/>
    <w:rsid w:val="008D5F20"/>
    <w:rsid w:val="008E061C"/>
    <w:rsid w:val="008E6AA6"/>
    <w:rsid w:val="008F41F4"/>
    <w:rsid w:val="00904C9B"/>
    <w:rsid w:val="00913F1D"/>
    <w:rsid w:val="00933CD6"/>
    <w:rsid w:val="0094272A"/>
    <w:rsid w:val="00943B27"/>
    <w:rsid w:val="00947757"/>
    <w:rsid w:val="00954D60"/>
    <w:rsid w:val="00972066"/>
    <w:rsid w:val="00972902"/>
    <w:rsid w:val="00981994"/>
    <w:rsid w:val="00987532"/>
    <w:rsid w:val="009A1C54"/>
    <w:rsid w:val="009B649C"/>
    <w:rsid w:val="009E6289"/>
    <w:rsid w:val="009F2DFA"/>
    <w:rsid w:val="00A012E9"/>
    <w:rsid w:val="00A04432"/>
    <w:rsid w:val="00A15AA2"/>
    <w:rsid w:val="00A23B80"/>
    <w:rsid w:val="00A258B2"/>
    <w:rsid w:val="00A36C26"/>
    <w:rsid w:val="00A4753B"/>
    <w:rsid w:val="00A6041E"/>
    <w:rsid w:val="00A75004"/>
    <w:rsid w:val="00A852D4"/>
    <w:rsid w:val="00A90AEE"/>
    <w:rsid w:val="00A91B57"/>
    <w:rsid w:val="00A91E2C"/>
    <w:rsid w:val="00A9327B"/>
    <w:rsid w:val="00AB16C3"/>
    <w:rsid w:val="00AB4094"/>
    <w:rsid w:val="00AB6D14"/>
    <w:rsid w:val="00AC0CBF"/>
    <w:rsid w:val="00AC14B6"/>
    <w:rsid w:val="00AD0AB6"/>
    <w:rsid w:val="00AD0F0F"/>
    <w:rsid w:val="00AD4B40"/>
    <w:rsid w:val="00AE3D8D"/>
    <w:rsid w:val="00AE4F07"/>
    <w:rsid w:val="00AE54C7"/>
    <w:rsid w:val="00AE5B5F"/>
    <w:rsid w:val="00AE6633"/>
    <w:rsid w:val="00AF2ABD"/>
    <w:rsid w:val="00B23958"/>
    <w:rsid w:val="00B24DD2"/>
    <w:rsid w:val="00B31A8E"/>
    <w:rsid w:val="00B36451"/>
    <w:rsid w:val="00B366B1"/>
    <w:rsid w:val="00B470AA"/>
    <w:rsid w:val="00B57021"/>
    <w:rsid w:val="00B617CC"/>
    <w:rsid w:val="00B84BB3"/>
    <w:rsid w:val="00B930BE"/>
    <w:rsid w:val="00B94836"/>
    <w:rsid w:val="00BA073A"/>
    <w:rsid w:val="00BA713F"/>
    <w:rsid w:val="00BB5C76"/>
    <w:rsid w:val="00BC2211"/>
    <w:rsid w:val="00BC6A49"/>
    <w:rsid w:val="00BD7321"/>
    <w:rsid w:val="00BE4FB8"/>
    <w:rsid w:val="00BF0381"/>
    <w:rsid w:val="00BF646E"/>
    <w:rsid w:val="00C01F24"/>
    <w:rsid w:val="00C17BD8"/>
    <w:rsid w:val="00C31E5F"/>
    <w:rsid w:val="00C359B9"/>
    <w:rsid w:val="00C37924"/>
    <w:rsid w:val="00C41152"/>
    <w:rsid w:val="00C5114B"/>
    <w:rsid w:val="00C51AD6"/>
    <w:rsid w:val="00C575FF"/>
    <w:rsid w:val="00C67219"/>
    <w:rsid w:val="00C72124"/>
    <w:rsid w:val="00C741B1"/>
    <w:rsid w:val="00C8286A"/>
    <w:rsid w:val="00C8443B"/>
    <w:rsid w:val="00C87362"/>
    <w:rsid w:val="00C93673"/>
    <w:rsid w:val="00C9485A"/>
    <w:rsid w:val="00CB0938"/>
    <w:rsid w:val="00CB0AB0"/>
    <w:rsid w:val="00CB1CBB"/>
    <w:rsid w:val="00CB3623"/>
    <w:rsid w:val="00CC70FF"/>
    <w:rsid w:val="00CD13D3"/>
    <w:rsid w:val="00CD45CA"/>
    <w:rsid w:val="00CD5B16"/>
    <w:rsid w:val="00CE4897"/>
    <w:rsid w:val="00CF057F"/>
    <w:rsid w:val="00CF1EB0"/>
    <w:rsid w:val="00CF4449"/>
    <w:rsid w:val="00D01BB0"/>
    <w:rsid w:val="00D10942"/>
    <w:rsid w:val="00D11AAD"/>
    <w:rsid w:val="00D11E71"/>
    <w:rsid w:val="00D22906"/>
    <w:rsid w:val="00D25A70"/>
    <w:rsid w:val="00D27533"/>
    <w:rsid w:val="00D37640"/>
    <w:rsid w:val="00D37D37"/>
    <w:rsid w:val="00D44342"/>
    <w:rsid w:val="00D51666"/>
    <w:rsid w:val="00D52DA5"/>
    <w:rsid w:val="00D60318"/>
    <w:rsid w:val="00D60356"/>
    <w:rsid w:val="00D65027"/>
    <w:rsid w:val="00D71B03"/>
    <w:rsid w:val="00D75D01"/>
    <w:rsid w:val="00D76BC2"/>
    <w:rsid w:val="00D83756"/>
    <w:rsid w:val="00D87531"/>
    <w:rsid w:val="00D92EB2"/>
    <w:rsid w:val="00D933A7"/>
    <w:rsid w:val="00D9741C"/>
    <w:rsid w:val="00DA0C62"/>
    <w:rsid w:val="00DA322C"/>
    <w:rsid w:val="00DA6291"/>
    <w:rsid w:val="00DB20B6"/>
    <w:rsid w:val="00DB4C7B"/>
    <w:rsid w:val="00DB666F"/>
    <w:rsid w:val="00DC05A5"/>
    <w:rsid w:val="00DC4715"/>
    <w:rsid w:val="00DD2454"/>
    <w:rsid w:val="00DE702A"/>
    <w:rsid w:val="00E11615"/>
    <w:rsid w:val="00E1266D"/>
    <w:rsid w:val="00E1696C"/>
    <w:rsid w:val="00E20F6A"/>
    <w:rsid w:val="00E26542"/>
    <w:rsid w:val="00E65BFA"/>
    <w:rsid w:val="00E678CB"/>
    <w:rsid w:val="00E74B56"/>
    <w:rsid w:val="00E85F2F"/>
    <w:rsid w:val="00E86AD1"/>
    <w:rsid w:val="00E969E2"/>
    <w:rsid w:val="00EA388D"/>
    <w:rsid w:val="00EA3FEB"/>
    <w:rsid w:val="00EA45B0"/>
    <w:rsid w:val="00EB29C7"/>
    <w:rsid w:val="00EC6BC4"/>
    <w:rsid w:val="00ED38A6"/>
    <w:rsid w:val="00ED4E83"/>
    <w:rsid w:val="00EE222C"/>
    <w:rsid w:val="00EE39AF"/>
    <w:rsid w:val="00EE50A2"/>
    <w:rsid w:val="00F04CCD"/>
    <w:rsid w:val="00F10268"/>
    <w:rsid w:val="00F35EC5"/>
    <w:rsid w:val="00F37E0C"/>
    <w:rsid w:val="00F41620"/>
    <w:rsid w:val="00F54126"/>
    <w:rsid w:val="00F70845"/>
    <w:rsid w:val="00F75442"/>
    <w:rsid w:val="00F763E5"/>
    <w:rsid w:val="00F77CC0"/>
    <w:rsid w:val="00F80680"/>
    <w:rsid w:val="00F81727"/>
    <w:rsid w:val="00F90E6E"/>
    <w:rsid w:val="00FA2133"/>
    <w:rsid w:val="00FA393E"/>
    <w:rsid w:val="00FA4FB8"/>
    <w:rsid w:val="00FA712A"/>
    <w:rsid w:val="00FA7DCD"/>
    <w:rsid w:val="00FB5BFD"/>
    <w:rsid w:val="00FB5C13"/>
    <w:rsid w:val="00FC184B"/>
    <w:rsid w:val="00FC75C8"/>
    <w:rsid w:val="00FD2D0C"/>
    <w:rsid w:val="00FD58A2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EF59-0CEC-4076-826B-C7BC7907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Varos Juraj</cp:lastModifiedBy>
  <cp:revision>14</cp:revision>
  <cp:lastPrinted>2020-08-04T07:50:00Z</cp:lastPrinted>
  <dcterms:created xsi:type="dcterms:W3CDTF">2020-08-04T06:39:00Z</dcterms:created>
  <dcterms:modified xsi:type="dcterms:W3CDTF">2020-08-05T12:27:00Z</dcterms:modified>
</cp:coreProperties>
</file>