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77"/>
        <w:gridCol w:w="567"/>
        <w:gridCol w:w="1960"/>
        <w:gridCol w:w="865"/>
        <w:gridCol w:w="4097"/>
        <w:gridCol w:w="425"/>
        <w:gridCol w:w="2410"/>
      </w:tblGrid>
      <w:tr w:rsidR="001B11F8" w:rsidRPr="001B11F8" w:rsidTr="002829E8">
        <w:trPr>
          <w:trHeight w:val="969"/>
        </w:trPr>
        <w:tc>
          <w:tcPr>
            <w:tcW w:w="1531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D2D97" w:rsidRPr="001B11F8" w:rsidRDefault="004D2D97" w:rsidP="00B8470E">
            <w:pPr>
              <w:pStyle w:val="Nadpis1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1B11F8">
              <w:rPr>
                <w:rFonts w:ascii="Times New Roman" w:hAnsi="Times New Roman"/>
                <w:kern w:val="0"/>
                <w:sz w:val="24"/>
                <w:szCs w:val="20"/>
              </w:rPr>
              <w:t>TABUĽKA  ZHODY</w:t>
            </w:r>
          </w:p>
          <w:p w:rsidR="004D2D97" w:rsidRPr="001B11F8" w:rsidRDefault="004D2D97" w:rsidP="00B8470E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F8">
              <w:rPr>
                <w:b/>
                <w:szCs w:val="20"/>
              </w:rPr>
              <w:t>právneho predpisu s právom Európskej únie</w:t>
            </w:r>
          </w:p>
        </w:tc>
      </w:tr>
      <w:tr w:rsidR="001B11F8" w:rsidRPr="001B11F8" w:rsidTr="002829E8">
        <w:trPr>
          <w:trHeight w:val="969"/>
        </w:trPr>
        <w:tc>
          <w:tcPr>
            <w:tcW w:w="5553" w:type="dxa"/>
            <w:gridSpan w:val="3"/>
            <w:vAlign w:val="center"/>
          </w:tcPr>
          <w:p w:rsidR="004D2D97" w:rsidRPr="001B11F8" w:rsidRDefault="004D2D97" w:rsidP="007878D4">
            <w:pPr>
              <w:jc w:val="both"/>
              <w:rPr>
                <w:b/>
                <w:bCs/>
                <w:sz w:val="20"/>
                <w:szCs w:val="20"/>
              </w:rPr>
            </w:pPr>
            <w:r w:rsidRPr="001B11F8">
              <w:rPr>
                <w:b/>
                <w:bCs/>
                <w:sz w:val="20"/>
                <w:szCs w:val="20"/>
              </w:rPr>
              <w:t>Smernica Európskeho parlamentu a Rady 2011/36/EÚ z  5. apríla 2011 o prevencii obchodovania s ľuďmi a boji proti nemu a o ochrane obetí obchodovania, ktorou sa nahrádza rámcové rozhodnutie Rady 2002/629/SVV</w:t>
            </w:r>
          </w:p>
        </w:tc>
        <w:tc>
          <w:tcPr>
            <w:tcW w:w="9757" w:type="dxa"/>
            <w:gridSpan w:val="5"/>
            <w:vAlign w:val="center"/>
          </w:tcPr>
          <w:p w:rsidR="004D2D97" w:rsidRPr="001B11F8" w:rsidRDefault="000A08D6" w:rsidP="000A08D6">
            <w:pPr>
              <w:ind w:right="3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Návrh zákona </w:t>
            </w:r>
            <w:r w:rsidRPr="000A08D6">
              <w:rPr>
                <w:b/>
                <w:bCs/>
                <w:sz w:val="20"/>
                <w:szCs w:val="20"/>
              </w:rPr>
              <w:t>o výkone rozhodnutia a zaistení majetku a správe zaisteného majetku a o zmene a doplnení niektorých zákonov</w:t>
            </w:r>
          </w:p>
        </w:tc>
      </w:tr>
      <w:tr w:rsidR="001B11F8" w:rsidRPr="001B11F8" w:rsidTr="002829E8">
        <w:trPr>
          <w:trHeight w:val="259"/>
        </w:trPr>
        <w:tc>
          <w:tcPr>
            <w:tcW w:w="709" w:type="dxa"/>
            <w:vAlign w:val="center"/>
          </w:tcPr>
          <w:p w:rsidR="004D2D97" w:rsidRPr="001B11F8" w:rsidRDefault="004D2D97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1</w:t>
            </w:r>
          </w:p>
        </w:tc>
        <w:tc>
          <w:tcPr>
            <w:tcW w:w="4277" w:type="dxa"/>
          </w:tcPr>
          <w:p w:rsidR="004D2D97" w:rsidRPr="001B11F8" w:rsidRDefault="004D2D97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2D97" w:rsidRPr="001B11F8" w:rsidRDefault="004D2D97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3</w:t>
            </w:r>
          </w:p>
        </w:tc>
        <w:tc>
          <w:tcPr>
            <w:tcW w:w="1960" w:type="dxa"/>
            <w:vAlign w:val="center"/>
          </w:tcPr>
          <w:p w:rsidR="004D2D97" w:rsidRPr="001B11F8" w:rsidRDefault="004D2D97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  <w:vAlign w:val="center"/>
          </w:tcPr>
          <w:p w:rsidR="004D2D97" w:rsidRPr="001B11F8" w:rsidRDefault="004D2D97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5</w:t>
            </w:r>
          </w:p>
        </w:tc>
        <w:tc>
          <w:tcPr>
            <w:tcW w:w="4097" w:type="dxa"/>
            <w:vAlign w:val="center"/>
          </w:tcPr>
          <w:p w:rsidR="004D2D97" w:rsidRPr="001B11F8" w:rsidRDefault="004D2D97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D2D97" w:rsidRPr="001B11F8" w:rsidRDefault="004D2D97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4D2D97" w:rsidRPr="001B11F8" w:rsidRDefault="004D2D97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8</w:t>
            </w:r>
          </w:p>
        </w:tc>
      </w:tr>
      <w:tr w:rsidR="001B11F8" w:rsidRPr="001B11F8" w:rsidTr="002829E8">
        <w:trPr>
          <w:trHeight w:val="259"/>
        </w:trPr>
        <w:tc>
          <w:tcPr>
            <w:tcW w:w="709" w:type="dxa"/>
          </w:tcPr>
          <w:p w:rsidR="005434F0" w:rsidRPr="001B11F8" w:rsidRDefault="005434F0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Č: 1</w:t>
            </w:r>
          </w:p>
        </w:tc>
        <w:tc>
          <w:tcPr>
            <w:tcW w:w="4277" w:type="dxa"/>
          </w:tcPr>
          <w:p w:rsidR="005434F0" w:rsidRPr="001B11F8" w:rsidRDefault="005434F0" w:rsidP="002E1609">
            <w:pPr>
              <w:pStyle w:val="CM4"/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11F8">
              <w:rPr>
                <w:rFonts w:ascii="Times New Roman" w:hAnsi="Times New Roman"/>
                <w:b/>
                <w:sz w:val="20"/>
                <w:szCs w:val="20"/>
              </w:rPr>
              <w:t>Predmet úpravy</w:t>
            </w:r>
          </w:p>
          <w:p w:rsidR="005434F0" w:rsidRPr="001B11F8" w:rsidRDefault="005434F0" w:rsidP="005434F0">
            <w:pPr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Táto smernica stanovuje minimálne pravidlá týkajúce sa vymedzenia trestných činov a trestov v oblasti obchodovania s ľuďmi. Zavádza takisto spoločné ustanovenia na posilnenie prevencie tejto trestnej činnosti a ochrany jej obetí, pričom zohľadňuje rodové hľadisko.</w:t>
            </w:r>
          </w:p>
        </w:tc>
        <w:tc>
          <w:tcPr>
            <w:tcW w:w="567" w:type="dxa"/>
          </w:tcPr>
          <w:p w:rsidR="005434F0" w:rsidRPr="001B11F8" w:rsidRDefault="005434F0" w:rsidP="002E1609">
            <w:pPr>
              <w:jc w:val="center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n.a.</w:t>
            </w:r>
          </w:p>
        </w:tc>
        <w:tc>
          <w:tcPr>
            <w:tcW w:w="1960" w:type="dxa"/>
          </w:tcPr>
          <w:p w:rsidR="005434F0" w:rsidRPr="001B11F8" w:rsidRDefault="005434F0" w:rsidP="002E16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5434F0" w:rsidRPr="001B11F8" w:rsidRDefault="005434F0" w:rsidP="002E16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5434F0" w:rsidRPr="001B11F8" w:rsidRDefault="005434F0" w:rsidP="002E16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34F0" w:rsidRPr="001B11F8" w:rsidRDefault="005434F0" w:rsidP="001D137D">
            <w:pPr>
              <w:jc w:val="center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Ž</w:t>
            </w:r>
          </w:p>
        </w:tc>
        <w:tc>
          <w:tcPr>
            <w:tcW w:w="2410" w:type="dxa"/>
          </w:tcPr>
          <w:p w:rsidR="005434F0" w:rsidRPr="001B11F8" w:rsidRDefault="005434F0" w:rsidP="002E1609">
            <w:pPr>
              <w:jc w:val="both"/>
              <w:rPr>
                <w:sz w:val="20"/>
                <w:szCs w:val="20"/>
              </w:rPr>
            </w:pPr>
          </w:p>
        </w:tc>
      </w:tr>
      <w:tr w:rsidR="001B11F8" w:rsidRPr="001B11F8" w:rsidTr="002829E8">
        <w:trPr>
          <w:trHeight w:val="4650"/>
        </w:trPr>
        <w:tc>
          <w:tcPr>
            <w:tcW w:w="709" w:type="dxa"/>
          </w:tcPr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Č: 8</w:t>
            </w:r>
          </w:p>
          <w:p w:rsidR="0076243A" w:rsidRPr="001B11F8" w:rsidRDefault="0076243A" w:rsidP="002E1609">
            <w:pPr>
              <w:jc w:val="both"/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2E1609" w:rsidRPr="001B11F8" w:rsidRDefault="002E1609" w:rsidP="0076243A">
            <w:pPr>
              <w:rPr>
                <w:sz w:val="20"/>
                <w:szCs w:val="20"/>
              </w:rPr>
            </w:pPr>
          </w:p>
        </w:tc>
        <w:tc>
          <w:tcPr>
            <w:tcW w:w="4277" w:type="dxa"/>
          </w:tcPr>
          <w:p w:rsidR="002829E8" w:rsidRPr="001B11F8" w:rsidRDefault="002E1609" w:rsidP="002E1609">
            <w:pPr>
              <w:spacing w:before="75" w:after="75"/>
              <w:ind w:right="71"/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Členské štáty v súlade so základnými zásadami svojich právnych poriadkov prijmú potrebné opatrenia na zabezpečenie toho, aby ich príslušné vnútroštátne orgány boli oprávnené trestne nestíhať alebo neukladať obetiam obchodovania s ľuďmi tresty za ich účasť na trestnej činnosti, ak boli k páchaniu tejto trestnej činnosti donútené v priamej súvislosti s tým, že boli vystavené ktorémukoľvek zo skutkov uvedených v článku 2.</w:t>
            </w:r>
          </w:p>
          <w:p w:rsidR="002829E8" w:rsidRPr="001B11F8" w:rsidRDefault="002829E8" w:rsidP="002829E8">
            <w:pPr>
              <w:rPr>
                <w:sz w:val="20"/>
                <w:szCs w:val="20"/>
              </w:rPr>
            </w:pPr>
          </w:p>
          <w:p w:rsidR="002829E8" w:rsidRPr="001B11F8" w:rsidRDefault="002829E8" w:rsidP="002829E8">
            <w:pPr>
              <w:rPr>
                <w:sz w:val="20"/>
                <w:szCs w:val="20"/>
              </w:rPr>
            </w:pPr>
          </w:p>
          <w:p w:rsidR="002829E8" w:rsidRPr="001B11F8" w:rsidRDefault="002829E8" w:rsidP="002829E8">
            <w:pPr>
              <w:rPr>
                <w:sz w:val="20"/>
                <w:szCs w:val="20"/>
              </w:rPr>
            </w:pPr>
          </w:p>
          <w:p w:rsidR="002829E8" w:rsidRPr="001B11F8" w:rsidRDefault="002829E8" w:rsidP="002829E8">
            <w:pPr>
              <w:rPr>
                <w:sz w:val="20"/>
                <w:szCs w:val="20"/>
              </w:rPr>
            </w:pPr>
          </w:p>
          <w:p w:rsidR="002E1609" w:rsidRPr="001B11F8" w:rsidRDefault="002829E8" w:rsidP="002829E8">
            <w:pPr>
              <w:tabs>
                <w:tab w:val="left" w:pos="1305"/>
              </w:tabs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2E1609" w:rsidRPr="001B11F8" w:rsidRDefault="002E1609" w:rsidP="002E1609">
            <w:pPr>
              <w:jc w:val="center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N</w:t>
            </w:r>
          </w:p>
        </w:tc>
        <w:tc>
          <w:tcPr>
            <w:tcW w:w="1960" w:type="dxa"/>
          </w:tcPr>
          <w:p w:rsidR="00FC6BDE" w:rsidRPr="001B11F8" w:rsidRDefault="00856BE8" w:rsidP="00FC6BDE">
            <w:pPr>
              <w:jc w:val="center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 xml:space="preserve">Čl. </w:t>
            </w:r>
            <w:r w:rsidR="003606AF">
              <w:rPr>
                <w:sz w:val="20"/>
                <w:szCs w:val="20"/>
              </w:rPr>
              <w:t>I</w:t>
            </w:r>
            <w:r w:rsidRPr="001B11F8">
              <w:rPr>
                <w:sz w:val="20"/>
                <w:szCs w:val="20"/>
              </w:rPr>
              <w:t>I n</w:t>
            </w:r>
            <w:r w:rsidR="00FC6BDE" w:rsidRPr="001B11F8">
              <w:rPr>
                <w:sz w:val="20"/>
                <w:szCs w:val="20"/>
              </w:rPr>
              <w:t>ávrh</w:t>
            </w:r>
            <w:r w:rsidRPr="001B11F8">
              <w:rPr>
                <w:sz w:val="20"/>
                <w:szCs w:val="20"/>
              </w:rPr>
              <w:t>u</w:t>
            </w:r>
            <w:r w:rsidR="00FC6BDE" w:rsidRPr="001B11F8">
              <w:rPr>
                <w:sz w:val="20"/>
                <w:szCs w:val="20"/>
              </w:rPr>
              <w:t xml:space="preserve"> zákona</w:t>
            </w:r>
          </w:p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FC6BDE" w:rsidRPr="001B11F8" w:rsidRDefault="00FC6BDE" w:rsidP="002E1609">
            <w:pPr>
              <w:jc w:val="both"/>
              <w:rPr>
                <w:sz w:val="20"/>
                <w:szCs w:val="20"/>
              </w:rPr>
            </w:pPr>
          </w:p>
          <w:p w:rsidR="00FC6BDE" w:rsidRPr="001B11F8" w:rsidRDefault="00FC6BDE" w:rsidP="00FC6BDE">
            <w:pPr>
              <w:rPr>
                <w:sz w:val="20"/>
                <w:szCs w:val="20"/>
              </w:rPr>
            </w:pPr>
          </w:p>
          <w:p w:rsidR="00FC6BDE" w:rsidRPr="001B11F8" w:rsidRDefault="00FC6BDE" w:rsidP="00FC6BDE">
            <w:pPr>
              <w:rPr>
                <w:sz w:val="20"/>
                <w:szCs w:val="20"/>
              </w:rPr>
            </w:pPr>
          </w:p>
          <w:p w:rsidR="00FC6BDE" w:rsidRPr="001B11F8" w:rsidRDefault="00FC6BDE" w:rsidP="00FC6BDE">
            <w:pPr>
              <w:rPr>
                <w:sz w:val="20"/>
                <w:szCs w:val="20"/>
              </w:rPr>
            </w:pPr>
          </w:p>
          <w:p w:rsidR="00FC6BDE" w:rsidRPr="001B11F8" w:rsidRDefault="00FC6BDE" w:rsidP="00FC6BDE">
            <w:pPr>
              <w:rPr>
                <w:sz w:val="20"/>
                <w:szCs w:val="20"/>
              </w:rPr>
            </w:pPr>
          </w:p>
          <w:p w:rsidR="00FC6BDE" w:rsidRPr="001B11F8" w:rsidRDefault="00FC6BDE" w:rsidP="00FC6BDE">
            <w:pPr>
              <w:rPr>
                <w:sz w:val="20"/>
                <w:szCs w:val="20"/>
              </w:rPr>
            </w:pPr>
          </w:p>
          <w:p w:rsidR="00FC6BDE" w:rsidRPr="001B11F8" w:rsidRDefault="00FC6BDE" w:rsidP="00FC6BDE">
            <w:pPr>
              <w:rPr>
                <w:sz w:val="20"/>
                <w:szCs w:val="20"/>
              </w:rPr>
            </w:pPr>
          </w:p>
          <w:p w:rsidR="00FC6BDE" w:rsidRPr="001B11F8" w:rsidRDefault="00FC6BDE" w:rsidP="00FC6BDE">
            <w:pPr>
              <w:rPr>
                <w:sz w:val="20"/>
                <w:szCs w:val="20"/>
              </w:rPr>
            </w:pPr>
          </w:p>
          <w:p w:rsidR="004E3DC2" w:rsidRPr="001B11F8" w:rsidRDefault="004E3DC2" w:rsidP="00FC6BDE">
            <w:pPr>
              <w:rPr>
                <w:sz w:val="20"/>
                <w:szCs w:val="20"/>
              </w:rPr>
            </w:pPr>
          </w:p>
          <w:p w:rsidR="00FC6BDE" w:rsidRPr="001B11F8" w:rsidRDefault="00FC6BDE" w:rsidP="00FC6BDE">
            <w:pPr>
              <w:rPr>
                <w:sz w:val="20"/>
                <w:szCs w:val="20"/>
              </w:rPr>
            </w:pPr>
          </w:p>
          <w:p w:rsidR="00FC6BDE" w:rsidRPr="001B11F8" w:rsidRDefault="00856BE8" w:rsidP="00FC6BDE">
            <w:pPr>
              <w:jc w:val="center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Čl. II</w:t>
            </w:r>
            <w:r w:rsidR="003606AF">
              <w:rPr>
                <w:sz w:val="20"/>
                <w:szCs w:val="20"/>
              </w:rPr>
              <w:t>I</w:t>
            </w:r>
            <w:r w:rsidRPr="001B11F8">
              <w:rPr>
                <w:sz w:val="20"/>
                <w:szCs w:val="20"/>
              </w:rPr>
              <w:t xml:space="preserve"> n</w:t>
            </w:r>
            <w:r w:rsidR="00FC6BDE" w:rsidRPr="001B11F8">
              <w:rPr>
                <w:sz w:val="20"/>
                <w:szCs w:val="20"/>
              </w:rPr>
              <w:t>ávrh</w:t>
            </w:r>
            <w:r w:rsidRPr="001B11F8">
              <w:rPr>
                <w:sz w:val="20"/>
                <w:szCs w:val="20"/>
              </w:rPr>
              <w:t>u</w:t>
            </w:r>
            <w:r w:rsidR="00FC6BDE" w:rsidRPr="001B11F8">
              <w:rPr>
                <w:sz w:val="20"/>
                <w:szCs w:val="20"/>
              </w:rPr>
              <w:t xml:space="preserve"> zákona</w:t>
            </w:r>
          </w:p>
          <w:p w:rsidR="002E1609" w:rsidRPr="001B11F8" w:rsidRDefault="002E1609" w:rsidP="00FC6BDE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§ 40</w:t>
            </w:r>
          </w:p>
          <w:p w:rsidR="002E1609" w:rsidRPr="001B11F8" w:rsidRDefault="006E2C7D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O: 2</w:t>
            </w:r>
          </w:p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B77DF9" w:rsidRPr="001B11F8" w:rsidRDefault="00B77DF9" w:rsidP="002E1609">
            <w:pPr>
              <w:jc w:val="both"/>
              <w:rPr>
                <w:sz w:val="20"/>
                <w:szCs w:val="20"/>
              </w:rPr>
            </w:pPr>
          </w:p>
          <w:p w:rsidR="00B77DF9" w:rsidRPr="001B11F8" w:rsidRDefault="00B77DF9" w:rsidP="002E1609">
            <w:pPr>
              <w:jc w:val="both"/>
              <w:rPr>
                <w:sz w:val="20"/>
                <w:szCs w:val="20"/>
              </w:rPr>
            </w:pPr>
          </w:p>
          <w:p w:rsidR="002E1609" w:rsidRPr="001B11F8" w:rsidRDefault="006E2C7D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O: 3</w:t>
            </w:r>
          </w:p>
          <w:p w:rsidR="00DB5F67" w:rsidRPr="001B11F8" w:rsidRDefault="00DB5F67" w:rsidP="002E1609">
            <w:pPr>
              <w:jc w:val="both"/>
              <w:rPr>
                <w:sz w:val="20"/>
                <w:szCs w:val="20"/>
              </w:rPr>
            </w:pPr>
          </w:p>
          <w:p w:rsidR="00DB5F67" w:rsidRPr="001B11F8" w:rsidRDefault="00DB5F67" w:rsidP="002E1609">
            <w:pPr>
              <w:jc w:val="both"/>
              <w:rPr>
                <w:sz w:val="20"/>
                <w:szCs w:val="20"/>
              </w:rPr>
            </w:pPr>
          </w:p>
          <w:p w:rsidR="002829E8" w:rsidRPr="001B11F8" w:rsidRDefault="002829E8" w:rsidP="002E1609">
            <w:pPr>
              <w:jc w:val="both"/>
              <w:rPr>
                <w:sz w:val="20"/>
                <w:szCs w:val="20"/>
              </w:rPr>
            </w:pPr>
          </w:p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§: 215</w:t>
            </w:r>
          </w:p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 xml:space="preserve">O: 2 </w:t>
            </w:r>
          </w:p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P: d)</w:t>
            </w:r>
          </w:p>
        </w:tc>
        <w:tc>
          <w:tcPr>
            <w:tcW w:w="4097" w:type="dxa"/>
          </w:tcPr>
          <w:p w:rsidR="002E1609" w:rsidRPr="001B11F8" w:rsidRDefault="002E1609" w:rsidP="002E1609">
            <w:pPr>
              <w:jc w:val="both"/>
              <w:rPr>
                <w:rStyle w:val="apple-style-span"/>
                <w:sz w:val="20"/>
                <w:szCs w:val="20"/>
              </w:rPr>
            </w:pPr>
            <w:r w:rsidRPr="001B11F8">
              <w:rPr>
                <w:rStyle w:val="apple-style-span"/>
                <w:sz w:val="20"/>
                <w:szCs w:val="20"/>
              </w:rPr>
              <w:t xml:space="preserve">(2) </w:t>
            </w:r>
            <w:r w:rsidRPr="001B11F8">
              <w:rPr>
                <w:rStyle w:val="apple-style-span"/>
                <w:sz w:val="20"/>
                <w:szCs w:val="20"/>
                <w:u w:val="single"/>
              </w:rPr>
              <w:t>Od potrestania páchateľa trestného činu možno upustiť, ak trestný čin spáchala osoba z donútenia v priamej súvislosti s tým, že bol na nej spáchaný trestný čin obchodovania s ľuďmi podľa § 179, trestný čin sexuálneho zneužívania podľa § 201 až 202</w:t>
            </w:r>
            <w:r w:rsidR="00B77DF9" w:rsidRPr="001B11F8">
              <w:rPr>
                <w:rStyle w:val="apple-style-span"/>
                <w:sz w:val="20"/>
                <w:szCs w:val="20"/>
                <w:u w:val="single"/>
              </w:rPr>
              <w:t>,</w:t>
            </w:r>
            <w:r w:rsidRPr="001B11F8">
              <w:rPr>
                <w:rStyle w:val="apple-style-span"/>
                <w:sz w:val="20"/>
                <w:szCs w:val="20"/>
                <w:u w:val="single"/>
              </w:rPr>
              <w:t xml:space="preserve"> </w:t>
            </w:r>
            <w:r w:rsidR="00B77DF9" w:rsidRPr="001B11F8">
              <w:rPr>
                <w:rStyle w:val="apple-style-span"/>
                <w:sz w:val="20"/>
                <w:szCs w:val="20"/>
                <w:u w:val="single"/>
              </w:rPr>
              <w:t xml:space="preserve">trestný čin týrania blízkej osoby a zverenej osoby podľa § 208 </w:t>
            </w:r>
            <w:r w:rsidRPr="001B11F8">
              <w:rPr>
                <w:rStyle w:val="apple-style-span"/>
                <w:sz w:val="20"/>
                <w:szCs w:val="20"/>
                <w:u w:val="single"/>
              </w:rPr>
              <w:t>alebo trestný čin výroby detskej pornografie podľa § 368.</w:t>
            </w:r>
          </w:p>
          <w:p w:rsidR="00DB5F67" w:rsidRPr="001B11F8" w:rsidRDefault="00DB5F67" w:rsidP="00DB5F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B11F8">
              <w:rPr>
                <w:rFonts w:eastAsiaTheme="minorEastAsia"/>
                <w:sz w:val="20"/>
                <w:szCs w:val="20"/>
              </w:rPr>
              <w:t xml:space="preserve">(3) Ak sa upustilo od potrestania páchateľa podľa </w:t>
            </w:r>
            <w:hyperlink r:id="rId7" w:history="1">
              <w:r w:rsidRPr="001B11F8">
                <w:rPr>
                  <w:rFonts w:eastAsiaTheme="minorEastAsia"/>
                  <w:sz w:val="20"/>
                  <w:szCs w:val="20"/>
                  <w:u w:val="single"/>
                </w:rPr>
                <w:t>odseku 1</w:t>
              </w:r>
            </w:hyperlink>
            <w:r w:rsidRPr="001B11F8">
              <w:rPr>
                <w:rFonts w:eastAsiaTheme="minorEastAsia"/>
                <w:sz w:val="20"/>
                <w:szCs w:val="20"/>
                <w:u w:val="single"/>
              </w:rPr>
              <w:t xml:space="preserve"> alebo 2</w:t>
            </w:r>
            <w:r w:rsidRPr="001B11F8">
              <w:rPr>
                <w:rFonts w:eastAsiaTheme="minorEastAsia"/>
                <w:sz w:val="20"/>
                <w:szCs w:val="20"/>
              </w:rPr>
              <w:t xml:space="preserve">, hľadí sa na páchateľa, ako keby nebol odsúdený. </w:t>
            </w:r>
          </w:p>
          <w:p w:rsidR="002E1609" w:rsidRPr="001B11F8" w:rsidRDefault="002E1609" w:rsidP="002E1609">
            <w:pPr>
              <w:jc w:val="both"/>
              <w:rPr>
                <w:rStyle w:val="apple-style-span"/>
                <w:sz w:val="20"/>
                <w:szCs w:val="20"/>
              </w:rPr>
            </w:pPr>
            <w:bookmarkStart w:id="0" w:name="_GoBack"/>
            <w:bookmarkEnd w:id="0"/>
          </w:p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rStyle w:val="apple-style-span"/>
                <w:sz w:val="20"/>
                <w:szCs w:val="20"/>
              </w:rPr>
              <w:t>Prokurátor môže zastaviť trestné stíhanie, ak</w:t>
            </w:r>
          </w:p>
          <w:p w:rsidR="002E1609" w:rsidRPr="001B11F8" w:rsidRDefault="002E1609" w:rsidP="002E1609">
            <w:pPr>
              <w:jc w:val="both"/>
              <w:rPr>
                <w:sz w:val="20"/>
                <w:szCs w:val="20"/>
                <w:u w:val="single"/>
              </w:rPr>
            </w:pPr>
            <w:r w:rsidRPr="001B11F8">
              <w:rPr>
                <w:sz w:val="20"/>
                <w:szCs w:val="20"/>
                <w:u w:val="single"/>
              </w:rPr>
              <w:t xml:space="preserve">d) </w:t>
            </w:r>
            <w:r w:rsidR="00E6677B" w:rsidRPr="001B11F8">
              <w:rPr>
                <w:sz w:val="20"/>
                <w:szCs w:val="20"/>
                <w:u w:val="single"/>
              </w:rPr>
              <w:t>ide o skutok, ktorý spáchala osoba z donútenia v priamej súvislosti s tým, že bol na nej spáchaný trestný čin obchodovania s ľuďmi, trestný čin sexuálneho zneužívania, trestný čin týrania blízkej osoby a zverenej osoby alebo trestný čin výroby detskej pornografie</w:t>
            </w:r>
            <w:r w:rsidRPr="001B11F8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425" w:type="dxa"/>
          </w:tcPr>
          <w:p w:rsidR="002E1609" w:rsidRPr="001B11F8" w:rsidRDefault="002E1609" w:rsidP="002E1609">
            <w:pPr>
              <w:jc w:val="center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Ú</w:t>
            </w:r>
          </w:p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E1609" w:rsidRPr="001B11F8" w:rsidRDefault="002E1609" w:rsidP="002E1609">
            <w:pPr>
              <w:spacing w:before="75" w:after="75"/>
              <w:ind w:right="675"/>
              <w:jc w:val="both"/>
              <w:rPr>
                <w:sz w:val="20"/>
                <w:szCs w:val="20"/>
              </w:rPr>
            </w:pPr>
          </w:p>
        </w:tc>
      </w:tr>
    </w:tbl>
    <w:p w:rsidR="0000447F" w:rsidRPr="001B11F8" w:rsidRDefault="0000447F" w:rsidP="002829E8">
      <w:pPr>
        <w:jc w:val="both"/>
      </w:pPr>
    </w:p>
    <w:sectPr w:rsidR="0000447F" w:rsidRPr="001B11F8" w:rsidSect="002829E8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29" w:rsidRDefault="00410A29" w:rsidP="002829E8">
      <w:r>
        <w:separator/>
      </w:r>
    </w:p>
  </w:endnote>
  <w:endnote w:type="continuationSeparator" w:id="0">
    <w:p w:rsidR="00410A29" w:rsidRDefault="00410A29" w:rsidP="0028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29" w:rsidRDefault="00410A29" w:rsidP="002829E8">
      <w:r>
        <w:separator/>
      </w:r>
    </w:p>
  </w:footnote>
  <w:footnote w:type="continuationSeparator" w:id="0">
    <w:p w:rsidR="00410A29" w:rsidRDefault="00410A29" w:rsidP="00282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78EE"/>
    <w:multiLevelType w:val="hybridMultilevel"/>
    <w:tmpl w:val="B47A4E3C"/>
    <w:lvl w:ilvl="0" w:tplc="04D48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3A8EBDE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820EC2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E9435B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5286BA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A9484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F5A448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6AC07C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B34BFF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97"/>
    <w:rsid w:val="0000447F"/>
    <w:rsid w:val="000A08D6"/>
    <w:rsid w:val="001B11F8"/>
    <w:rsid w:val="001D137D"/>
    <w:rsid w:val="002829E8"/>
    <w:rsid w:val="002E1609"/>
    <w:rsid w:val="002E4886"/>
    <w:rsid w:val="003606AF"/>
    <w:rsid w:val="00410A29"/>
    <w:rsid w:val="00417543"/>
    <w:rsid w:val="00462F36"/>
    <w:rsid w:val="004D2D97"/>
    <w:rsid w:val="004E3C29"/>
    <w:rsid w:val="004E3DC2"/>
    <w:rsid w:val="005434F0"/>
    <w:rsid w:val="00561C65"/>
    <w:rsid w:val="00604A5C"/>
    <w:rsid w:val="006E2C7D"/>
    <w:rsid w:val="006E52CB"/>
    <w:rsid w:val="00724F5C"/>
    <w:rsid w:val="0076243A"/>
    <w:rsid w:val="007878D4"/>
    <w:rsid w:val="007F4BA8"/>
    <w:rsid w:val="00856BE8"/>
    <w:rsid w:val="008C418D"/>
    <w:rsid w:val="008F09EB"/>
    <w:rsid w:val="008F7C71"/>
    <w:rsid w:val="009F5563"/>
    <w:rsid w:val="00A41849"/>
    <w:rsid w:val="00A749CD"/>
    <w:rsid w:val="00AA6D23"/>
    <w:rsid w:val="00B77DF9"/>
    <w:rsid w:val="00B8470E"/>
    <w:rsid w:val="00BA14E7"/>
    <w:rsid w:val="00D47462"/>
    <w:rsid w:val="00DB5F67"/>
    <w:rsid w:val="00E6677B"/>
    <w:rsid w:val="00FC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6032F-051E-4B40-A3E1-A1D9605C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D2D97"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D2D97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customStyle="1" w:styleId="CM4">
    <w:name w:val="CM4"/>
    <w:basedOn w:val="Normlny"/>
    <w:next w:val="Normlny"/>
    <w:uiPriority w:val="99"/>
    <w:rsid w:val="004D2D97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apple-style-span">
    <w:name w:val="apple-style-span"/>
    <w:rsid w:val="002E1609"/>
  </w:style>
  <w:style w:type="paragraph" w:styleId="Hlavika">
    <w:name w:val="header"/>
    <w:basedOn w:val="Normlny"/>
    <w:link w:val="HlavikaChar"/>
    <w:uiPriority w:val="99"/>
    <w:unhideWhenUsed/>
    <w:rsid w:val="002829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29E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829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29E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00/2005%20Z.z.%252340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SCHUSTEROVÁ Ingrida</dc:creator>
  <cp:keywords/>
  <dc:description/>
  <cp:lastModifiedBy>BALESOVA Jana</cp:lastModifiedBy>
  <cp:revision>26</cp:revision>
  <dcterms:created xsi:type="dcterms:W3CDTF">2019-09-12T06:05:00Z</dcterms:created>
  <dcterms:modified xsi:type="dcterms:W3CDTF">2020-06-08T12:03:00Z</dcterms:modified>
</cp:coreProperties>
</file>