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E14F74" w:rsidP="00BC5F8B">
            <w:pPr>
              <w:spacing w:after="60"/>
            </w:pPr>
            <w:r>
              <w:rPr>
                <w:rFonts w:ascii="Times" w:hAnsi="Times" w:cs="Times"/>
              </w:rPr>
              <w:t xml:space="preserve">Nariadenie vlády Slovenskej republiky, ktorým sa vyhlasuje chránený areál </w:t>
            </w:r>
            <w:r w:rsidR="00AD3286">
              <w:rPr>
                <w:rFonts w:ascii="Times" w:hAnsi="Times" w:cs="Times"/>
              </w:rPr>
              <w:t>Marcelovské piesky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926D39" w:rsidP="00926D39">
            <w:pPr>
              <w:spacing w:after="60"/>
            </w:pPr>
            <w:r>
              <w:rPr>
                <w:rFonts w:ascii="Times" w:hAnsi="Times" w:cs="Times"/>
              </w:rPr>
              <w:t>Ministerstvo životného prostredia Slovenskej republiky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E14F74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E14F74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C1030C" w:rsidRDefault="003501A1" w:rsidP="007B71A4">
            <w:pPr>
              <w:rPr>
                <w:i/>
              </w:rPr>
            </w:pPr>
            <w:r w:rsidRPr="00C1030C">
              <w:rPr>
                <w:i/>
              </w:rPr>
              <w:t>V prípade transpozície uveďte zoznam transponovaných predpisov:</w:t>
            </w:r>
          </w:p>
        </w:tc>
      </w:tr>
      <w:tr w:rsidR="007B6A2F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7B6A2F" w:rsidRPr="00A179AE" w:rsidRDefault="007B6A2F" w:rsidP="007B6A2F">
            <w:pPr>
              <w:pStyle w:val="Odsekzoznamu"/>
              <w:spacing w:after="12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2F" w:rsidRPr="00DC3B60" w:rsidRDefault="007B6A2F" w:rsidP="007B6A2F">
            <w:pPr>
              <w:rPr>
                <w:i/>
              </w:rPr>
            </w:pPr>
            <w:r>
              <w:rPr>
                <w:i/>
              </w:rPr>
              <w:t>2. jún - 16.  jún</w:t>
            </w:r>
            <w:r w:rsidRPr="00C57B8E">
              <w:rPr>
                <w:i/>
              </w:rPr>
              <w:t xml:space="preserve"> 20</w:t>
            </w:r>
            <w:r>
              <w:rPr>
                <w:i/>
              </w:rPr>
              <w:t>20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51F45" w:rsidRDefault="003501A1" w:rsidP="00651F45">
            <w:pPr>
              <w:pStyle w:val="Odsekzoznamu"/>
              <w:spacing w:after="120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51F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Predpokladaný termín predloženia na MPK</w:t>
            </w:r>
            <w:r w:rsidR="00F62771" w:rsidRPr="00651F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7B" w:rsidRPr="00E5697B" w:rsidRDefault="00E5697B" w:rsidP="00E5697B">
            <w:pPr>
              <w:jc w:val="both"/>
              <w:rPr>
                <w:i/>
              </w:rPr>
            </w:pPr>
            <w:r w:rsidRPr="00E5697B">
              <w:rPr>
                <w:i/>
              </w:rPr>
              <w:t>Začiatok:    1.7.2020</w:t>
            </w:r>
          </w:p>
          <w:p w:rsidR="003501A1" w:rsidRPr="00DC3B60" w:rsidRDefault="00E5697B" w:rsidP="00E5697B">
            <w:pPr>
              <w:jc w:val="both"/>
              <w:rPr>
                <w:i/>
              </w:rPr>
            </w:pPr>
            <w:r w:rsidRPr="00E5697B">
              <w:rPr>
                <w:i/>
              </w:rPr>
              <w:t>Ukončenie: 21.7.2020</w:t>
            </w:r>
          </w:p>
        </w:tc>
      </w:tr>
      <w:tr w:rsidR="003501A1" w:rsidRPr="00A179AE" w:rsidTr="007F0F79">
        <w:trPr>
          <w:trHeight w:val="545"/>
        </w:trPr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926D39">
            <w:pPr>
              <w:pStyle w:val="Odsekzoznamu"/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DC3B60" w:rsidRDefault="00E5697B" w:rsidP="00E14F74">
            <w:pPr>
              <w:rPr>
                <w:i/>
              </w:rPr>
            </w:pPr>
            <w:r>
              <w:rPr>
                <w:i/>
              </w:rPr>
              <w:t>august 2020</w:t>
            </w:r>
          </w:p>
        </w:tc>
      </w:tr>
      <w:tr w:rsidR="003501A1" w:rsidRPr="00A179AE" w:rsidTr="007F0F79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926D39">
        <w:trPr>
          <w:trHeight w:val="500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E14F74" w:rsidP="0068316C">
            <w:pPr>
              <w:jc w:val="both"/>
              <w:rPr>
                <w:b/>
              </w:rPr>
            </w:pPr>
            <w:r w:rsidRPr="00E14F74">
              <w:rPr>
                <w:rFonts w:ascii="Times" w:hAnsi="Times" w:cs="Times"/>
              </w:rPr>
              <w:t xml:space="preserve">Nedostatočné plnenie záväzkov Slovenskej republiky vyplývajúcich z čl. 4 ods. 4 smernice Rady 92/43/EHS z 21. mája 1992 o ochrane prirodzených biotopov a voľne žijúcich živočíchov a rastlín v platnom znení </w:t>
            </w:r>
            <w:r w:rsidR="0068316C">
              <w:rPr>
                <w:rFonts w:ascii="Times" w:hAnsi="Times" w:cs="Times"/>
              </w:rPr>
              <w:t xml:space="preserve">(ďalej len „smernica o biotopoch“) </w:t>
            </w:r>
            <w:r w:rsidRPr="00E14F74">
              <w:rPr>
                <w:rFonts w:ascii="Times" w:hAnsi="Times" w:cs="Times"/>
              </w:rPr>
              <w:t xml:space="preserve">pokiaľ ide </w:t>
            </w:r>
            <w:r>
              <w:rPr>
                <w:rFonts w:ascii="Times" w:hAnsi="Times" w:cs="Times"/>
              </w:rPr>
              <w:t xml:space="preserve">o </w:t>
            </w:r>
            <w:r w:rsidRPr="00E14F74">
              <w:rPr>
                <w:rFonts w:ascii="Times" w:hAnsi="Times" w:cs="Times"/>
              </w:rPr>
              <w:t xml:space="preserve">vyhlasovanie lokalít zapísaných v zozname lokalít európskeho významu. </w:t>
            </w:r>
            <w:r w:rsidR="0068316C">
              <w:rPr>
                <w:rFonts w:ascii="Times" w:hAnsi="Times" w:cs="Times"/>
              </w:rPr>
              <w:t>Dôvodom vyhlásenia nav</w:t>
            </w:r>
            <w:r w:rsidR="00A227D2">
              <w:rPr>
                <w:rFonts w:ascii="Times" w:hAnsi="Times" w:cs="Times"/>
              </w:rPr>
              <w:t>rhovaného chráneného areálu Marcelovské piesky (ďalej len „CHA Marcelovské piesky</w:t>
            </w:r>
            <w:r w:rsidR="0068316C">
              <w:rPr>
                <w:rFonts w:ascii="Times" w:hAnsi="Times" w:cs="Times"/>
              </w:rPr>
              <w:t>“) je aj formálna výzva Európskej komisie k porušeniu č. 2019/2141, ktorá sa týka nedostatočného vyhlasovania lokalít európskeho významu a schvaľovania programov starostlivosti.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E14F74" w:rsidP="00A227D2">
            <w:pPr>
              <w:jc w:val="both"/>
            </w:pPr>
            <w:r>
              <w:rPr>
                <w:rFonts w:ascii="Times" w:hAnsi="Times" w:cs="Times"/>
              </w:rPr>
              <w:t>Zabezpečenie priaznivého stavu biotopov európskeho významu a biotop</w:t>
            </w:r>
            <w:r w:rsidR="00E17E5F"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 xml:space="preserve"> druh</w:t>
            </w:r>
            <w:r w:rsidR="00E17E5F">
              <w:rPr>
                <w:rFonts w:ascii="Times" w:hAnsi="Times" w:cs="Times"/>
              </w:rPr>
              <w:t>u</w:t>
            </w:r>
            <w:r>
              <w:rPr>
                <w:rFonts w:ascii="Times" w:hAnsi="Times" w:cs="Times"/>
              </w:rPr>
              <w:t xml:space="preserve"> </w:t>
            </w:r>
            <w:r w:rsidR="00E17E5F">
              <w:rPr>
                <w:rFonts w:ascii="Times" w:hAnsi="Times" w:cs="Times"/>
              </w:rPr>
              <w:t xml:space="preserve">národného </w:t>
            </w:r>
            <w:r>
              <w:rPr>
                <w:rFonts w:ascii="Times" w:hAnsi="Times" w:cs="Times"/>
              </w:rPr>
              <w:t xml:space="preserve">významu, ktoré sú predmetom ochrany navrhovaného </w:t>
            </w:r>
            <w:r w:rsidR="00A227D2">
              <w:rPr>
                <w:rFonts w:ascii="Times" w:hAnsi="Times" w:cs="Times"/>
              </w:rPr>
              <w:t>CHA</w:t>
            </w:r>
            <w:r w:rsidR="00E17E5F">
              <w:rPr>
                <w:rFonts w:ascii="Times" w:hAnsi="Times" w:cs="Times"/>
              </w:rPr>
              <w:t xml:space="preserve"> Marcelovské piesky</w:t>
            </w:r>
            <w:r w:rsidR="0068316C">
              <w:rPr>
                <w:rFonts w:ascii="Times" w:hAnsi="Times" w:cs="Times"/>
              </w:rPr>
              <w:t xml:space="preserve"> </w:t>
            </w:r>
            <w:r w:rsidR="00926D39"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 xml:space="preserve">  </w:t>
            </w:r>
            <w:r w:rsidR="00926D39">
              <w:rPr>
                <w:rFonts w:ascii="Times" w:hAnsi="Times" w:cs="Times"/>
              </w:rPr>
              <w:t>zároveň zabezpeč</w:t>
            </w:r>
            <w:r>
              <w:rPr>
                <w:rFonts w:ascii="Times" w:hAnsi="Times" w:cs="Times"/>
              </w:rPr>
              <w:t>enie</w:t>
            </w:r>
            <w:r w:rsidR="00926D39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plnenia </w:t>
            </w:r>
            <w:r w:rsidR="00926D39">
              <w:rPr>
                <w:rFonts w:ascii="Times" w:hAnsi="Times" w:cs="Times"/>
              </w:rPr>
              <w:t>medzinárodn</w:t>
            </w:r>
            <w:r>
              <w:rPr>
                <w:rFonts w:ascii="Times" w:hAnsi="Times" w:cs="Times"/>
              </w:rPr>
              <w:t>ých</w:t>
            </w:r>
            <w:r w:rsidR="00926D39">
              <w:rPr>
                <w:rFonts w:ascii="Times" w:hAnsi="Times" w:cs="Times"/>
              </w:rPr>
              <w:t xml:space="preserve"> záväzk</w:t>
            </w:r>
            <w:r>
              <w:rPr>
                <w:rFonts w:ascii="Times" w:hAnsi="Times" w:cs="Times"/>
              </w:rPr>
              <w:t>ov</w:t>
            </w:r>
            <w:r w:rsidR="00926D39">
              <w:rPr>
                <w:rFonts w:ascii="Times" w:hAnsi="Times" w:cs="Times"/>
              </w:rPr>
              <w:t xml:space="preserve"> ochrany európskej sústavy chránených území Natura 2000.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926D39" w:rsidP="007B71A4">
            <w:pPr>
              <w:rPr>
                <w:i/>
              </w:rPr>
            </w:pPr>
            <w:r>
              <w:rPr>
                <w:rFonts w:ascii="Times" w:hAnsi="Times" w:cs="Times"/>
              </w:rPr>
              <w:t>Vlastníci, správcovia a nájomcovia dotknutých pozemkov, obce, záujmové združenia, dotknuté orgány štátnej správy, vrátene dotknutých organizácií v ich zriaďovacej pôsobnosti, verejnosť.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E14F74">
        <w:trPr>
          <w:trHeight w:val="453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5AD" w:rsidRPr="00C57B8E" w:rsidRDefault="001335AD" w:rsidP="001335AD">
            <w:pPr>
              <w:rPr>
                <w:i/>
              </w:rPr>
            </w:pPr>
            <w:r w:rsidRPr="00B1366E">
              <w:t xml:space="preserve">Alternatívne riešenie sa týka celkovo vyhlásenia/nevyhlásenia </w:t>
            </w:r>
            <w:r w:rsidR="00A227D2">
              <w:t>CHA</w:t>
            </w:r>
            <w:r w:rsidRPr="00B1366E">
              <w:t xml:space="preserve"> </w:t>
            </w:r>
            <w:r>
              <w:t>Marcelovské piesky</w:t>
            </w:r>
            <w:r w:rsidRPr="00B1366E">
              <w:t>.</w:t>
            </w:r>
          </w:p>
          <w:p w:rsidR="003501A1" w:rsidRPr="00E14F74" w:rsidRDefault="0068316C" w:rsidP="00122A3D">
            <w:pPr>
              <w:jc w:val="both"/>
              <w:rPr>
                <w:i/>
              </w:rPr>
            </w:pPr>
            <w:r>
              <w:rPr>
                <w:iCs/>
              </w:rPr>
              <w:t xml:space="preserve">Dôvodom vyhlásenia CHA Marcelovské piesky je splnenie požiadavky vyplývajúcej z článku 4 ods. 4 smernice o biotopoch, podľa ktorého členské štáty určia lokality uvedené v národnom zozname lokalít európskeho významu ako osobitné chránené územia a stanovia priority v oblasti ochrany a potrebné opatrenia, najneskôr do šiestich rokov. </w:t>
            </w:r>
            <w:r w:rsidRPr="00B1366E">
              <w:t xml:space="preserve">V prípade nevyhlásenia </w:t>
            </w:r>
            <w:r>
              <w:t>CHA Marcelovské piesky</w:t>
            </w:r>
            <w:r w:rsidRPr="00B1366E">
              <w:t xml:space="preserve"> nebude splnená požiadavka na vyhlásenie a na stanovenie cieľov ochrany a opatrení na ich dosiahnutie.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68316C" w:rsidRDefault="003501A1" w:rsidP="007B71A4">
            <w:pPr>
              <w:rPr>
                <w:iCs/>
              </w:rPr>
            </w:pPr>
            <w:r w:rsidRPr="0068316C">
              <w:rPr>
                <w:iCs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05387E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05387E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68316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68316C">
        <w:trPr>
          <w:trHeight w:hRule="exact" w:val="316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7F0F79" w:rsidRPr="00A179AE" w:rsidTr="0068316C">
        <w:trPr>
          <w:trHeight w:val="1134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7F0F79" w:rsidRDefault="007F0F79" w:rsidP="00BC7674"/>
          <w:p w:rsidR="007F0F79" w:rsidRDefault="007F0F79" w:rsidP="004C60B8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7F0F79" w:rsidRDefault="007F0F79" w:rsidP="00F22831">
            <w:r>
              <w:t>** nepovinné</w:t>
            </w:r>
          </w:p>
          <w:p w:rsidR="007F0F79" w:rsidRPr="00A179AE" w:rsidRDefault="007F0F79" w:rsidP="00F22831"/>
        </w:tc>
      </w:tr>
      <w:tr w:rsidR="003501A1" w:rsidRPr="00A179AE" w:rsidTr="00E14F74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Cs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F32FCB" w:rsidP="007B71A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rPr>
                <w:bCs/>
              </w:rPr>
            </w:pPr>
            <w:r w:rsidRPr="0068316C">
              <w:rPr>
                <w:bCs/>
              </w:rPr>
              <w:t>Pozitívne</w:t>
            </w:r>
          </w:p>
        </w:tc>
        <w:sdt>
          <w:sdtPr>
            <w:rPr>
              <w:bCs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4B1300" w:rsidP="007B71A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rPr>
                <w:bCs/>
              </w:rPr>
            </w:pPr>
            <w:r w:rsidRPr="0068316C">
              <w:rPr>
                <w:bCs/>
              </w:rPr>
              <w:t>Žiadne</w:t>
            </w:r>
          </w:p>
        </w:tc>
        <w:sdt>
          <w:sdtPr>
            <w:rPr>
              <w:bCs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926D39" w:rsidP="007B71A4">
                <w:pPr>
                  <w:ind w:left="-107" w:right="-108"/>
                  <w:jc w:val="center"/>
                  <w:rPr>
                    <w:bCs/>
                  </w:rPr>
                </w:pPr>
                <w:r w:rsidRPr="0068316C"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34"/>
              <w:rPr>
                <w:bCs/>
              </w:rPr>
            </w:pPr>
            <w:r w:rsidRPr="0068316C">
              <w:rPr>
                <w:bCs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4B1300" w:rsidP="007B71A4">
                <w:pPr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ind w:left="-107" w:right="-108"/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34"/>
            </w:pPr>
            <w:r w:rsidRPr="0068316C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07780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07780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lastRenderedPageBreak/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68316C" w:rsidRDefault="0007780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07780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7F0F7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7F0F7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id w:val="304755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926D3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926D3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ind w:right="-108"/>
              <w:rPr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rPr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8316C" w:rsidRDefault="0045465B" w:rsidP="00B83402">
            <w:pPr>
              <w:ind w:left="54"/>
              <w:rPr>
                <w:bCs/>
              </w:rPr>
            </w:pP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53223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45465B" w:rsidRPr="0068316C" w:rsidRDefault="00631E3A" w:rsidP="00B83402">
                <w:pPr>
                  <w:jc w:val="center"/>
                  <w:rPr>
                    <w:rFonts w:ascii="MS Mincho" w:eastAsia="MS Mincho" w:hAnsi="MS Mincho" w:cs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-359816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5465B" w:rsidRPr="0068316C" w:rsidRDefault="007F0F79" w:rsidP="00B83402">
                <w:pPr>
                  <w:jc w:val="center"/>
                  <w:rPr>
                    <w:rFonts w:ascii="MS Mincho" w:eastAsia="MS Mincho" w:hAnsi="MS Mincho" w:cs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jc w:val="center"/>
              <w:rPr>
                <w:rFonts w:ascii="MS Mincho" w:eastAsia="MS Mincho" w:hAnsi="MS Mincho" w:cs="MS Mincho"/>
                <w:bCs/>
                <w:lang w:eastAsia="en-US"/>
              </w:rPr>
            </w:pPr>
            <w:r w:rsidRPr="0068316C">
              <w:rPr>
                <w:rFonts w:ascii="MS Mincho" w:eastAsia="MS Mincho" w:hAnsi="MS Mincho" w:cs="MS Mincho" w:hint="eastAsia"/>
                <w:bCs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8316C" w:rsidRDefault="0045465B" w:rsidP="00562B10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  <w:tr w:rsidR="0045465B" w:rsidRPr="009634B3" w:rsidTr="00631E3A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528143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465B" w:rsidRPr="0068316C" w:rsidRDefault="00631E3A" w:rsidP="00B83402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-26634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5465B" w:rsidRPr="0068316C" w:rsidRDefault="007F0F79" w:rsidP="00B83402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jc w:val="center"/>
              <w:rPr>
                <w:rFonts w:eastAsia="MS Mincho"/>
                <w:bCs/>
                <w:lang w:eastAsia="en-US"/>
              </w:rPr>
            </w:pPr>
            <w:r w:rsidRPr="0068316C">
              <w:rPr>
                <w:rFonts w:ascii="MS Mincho" w:eastAsia="MS Mincho" w:hAnsi="MS Mincho" w:cs="MS Mincho" w:hint="eastAsia"/>
                <w:bCs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68316C" w:rsidRDefault="0045465B" w:rsidP="00562B10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  <w:tr w:rsidR="00631E3A" w:rsidRPr="009634B3" w:rsidTr="00631E3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631E3A" w:rsidRDefault="00631E3A" w:rsidP="00631E3A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t>Vplyvy na manželstvo, rodičovstvo a rodinu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1283691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1E3A" w:rsidRPr="0068316C" w:rsidRDefault="00631E3A" w:rsidP="00631E3A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-72845507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sdtContent>
          </w:sdt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1E3A" w:rsidRPr="0068316C" w:rsidRDefault="00631E3A" w:rsidP="00631E3A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1012269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3A" w:rsidRPr="0068316C" w:rsidRDefault="00631E3A" w:rsidP="00631E3A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BC767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336FFD">
        <w:trPr>
          <w:trHeight w:val="70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74" w:rsidRDefault="007F0F79" w:rsidP="00336FFD">
            <w:pPr>
              <w:spacing w:after="120"/>
              <w:jc w:val="both"/>
            </w:pPr>
            <w:r w:rsidRPr="00795071">
              <w:t xml:space="preserve">Predkladaným návrhom nariadenia vlády sa za chránené územie vyhlási lokalita európskeho významu, ktorá je súčasťou európskej sústavy chránených území Natura 2000. </w:t>
            </w:r>
            <w:r w:rsidR="003B7DE7" w:rsidRPr="003B7DE7">
              <w:t>Výnosom Ministerstva životného prostredia Slovenskej republiky</w:t>
            </w:r>
            <w:r w:rsidRPr="00795071">
              <w:t xml:space="preserve"> č. 3/2004-5.1 zo 14. júla 2004, ktorým sa vydáva národný zoznam území európskeho významu bol navrhovan</w:t>
            </w:r>
            <w:r w:rsidR="00ED6E8B">
              <w:t>ý</w:t>
            </w:r>
            <w:r w:rsidRPr="00795071">
              <w:t xml:space="preserve"> </w:t>
            </w:r>
            <w:r w:rsidR="00A227D2">
              <w:t>CHA Marcelovské piesky</w:t>
            </w:r>
            <w:r w:rsidRPr="00795071">
              <w:t xml:space="preserve"> zaraden</w:t>
            </w:r>
            <w:r w:rsidR="00ED6E8B">
              <w:t>ý</w:t>
            </w:r>
            <w:r w:rsidRPr="00795071">
              <w:t xml:space="preserve"> do národného zoznamu území európskeho významu pod označením </w:t>
            </w:r>
            <w:r w:rsidR="00BC5F8B">
              <w:rPr>
                <w:iCs/>
              </w:rPr>
              <w:t>SKUEV006</w:t>
            </w:r>
            <w:r w:rsidR="00AD3286">
              <w:rPr>
                <w:iCs/>
              </w:rPr>
              <w:t>5</w:t>
            </w:r>
            <w:r w:rsidRPr="00795071">
              <w:rPr>
                <w:iCs/>
              </w:rPr>
              <w:t xml:space="preserve"> </w:t>
            </w:r>
            <w:r w:rsidR="00AD3286">
              <w:rPr>
                <w:iCs/>
              </w:rPr>
              <w:t>Marcelovské piesky</w:t>
            </w:r>
            <w:r w:rsidRPr="00795071">
              <w:t xml:space="preserve">. </w:t>
            </w:r>
            <w:r w:rsidR="008462BF">
              <w:t xml:space="preserve">Na zabezpečenie priaznivého stavu predmetu ochrany CHA Marcelovské piesky je potrebné obhospodarovanie pozemkov prostredníctvom </w:t>
            </w:r>
            <w:r w:rsidR="00C928A0">
              <w:t xml:space="preserve">extenzívnej </w:t>
            </w:r>
            <w:r w:rsidR="008462BF">
              <w:t xml:space="preserve">pastvy alebo kosením. </w:t>
            </w:r>
          </w:p>
          <w:p w:rsidR="008462BF" w:rsidRDefault="00D60E42" w:rsidP="00336FFD">
            <w:pPr>
              <w:spacing w:after="120"/>
              <w:jc w:val="both"/>
            </w:pPr>
            <w:r>
              <w:t>Zámer vyhlásiť CHA Marcelovské piesky bol v zmysle § 50 zákona č. 543/2002 Z. z. o ochrane prírody a krajiny v znení neskorších predpisov (ďalej len „zákon“) oznámený Okresným úradom Nitra. Zámer bol spracovaný podľa projektu ochrany, ktorý je odborným podkladom na vyhlásenie chráneného územia (§ 54 ods. 13 zákona) a obsahuje ciele ochrany vymedzené pre chránené územie, návrh vhodného manažmentu na dosiahnutie cieľov, ako aj obmedzenia vyplývajúce zo stanoveného stupňa ochrany podľa zákona. Zo strany dotknutých subjektov neboli k zámeru vznesené pripomienky.</w:t>
            </w:r>
          </w:p>
          <w:p w:rsidR="00C62F9E" w:rsidRDefault="00C928A0" w:rsidP="00336FFD">
            <w:pPr>
              <w:spacing w:after="12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Realizácia opatrení na dosiahnutie cieľov ochrany pre CHA Marcelovské piesky </w:t>
            </w:r>
            <w:r w:rsidR="00EE05DA">
              <w:rPr>
                <w:rFonts w:ascii="Times" w:hAnsi="Times" w:cs="Times"/>
              </w:rPr>
              <w:t>neobmedzuje bežné obhospodarovanie</w:t>
            </w:r>
            <w:r>
              <w:rPr>
                <w:rFonts w:ascii="Times" w:hAnsi="Times" w:cs="Times"/>
              </w:rPr>
              <w:t xml:space="preserve"> pozemkov,</w:t>
            </w:r>
            <w:r w:rsidR="00EE05DA">
              <w:rPr>
                <w:rFonts w:ascii="Times" w:hAnsi="Times" w:cs="Times"/>
              </w:rPr>
              <w:t xml:space="preserve"> nakoľko pozemky v CHA Marcelovské piesky </w:t>
            </w:r>
            <w:r w:rsidR="00A04632">
              <w:rPr>
                <w:rFonts w:ascii="Times" w:hAnsi="Times" w:cs="Times"/>
              </w:rPr>
              <w:t>sú</w:t>
            </w:r>
            <w:r w:rsidR="00AE31A4">
              <w:rPr>
                <w:rFonts w:ascii="Times" w:hAnsi="Times" w:cs="Times"/>
              </w:rPr>
              <w:t xml:space="preserve"> sčasti </w:t>
            </w:r>
            <w:r w:rsidR="00A04632">
              <w:rPr>
                <w:rFonts w:ascii="Times" w:hAnsi="Times" w:cs="Times"/>
              </w:rPr>
              <w:t>užívané ako pasienky</w:t>
            </w:r>
            <w:r w:rsidR="00AE31A4">
              <w:rPr>
                <w:rFonts w:ascii="Times" w:hAnsi="Times" w:cs="Times"/>
              </w:rPr>
              <w:t>, preto vyhlásením chráneného územia táto činnosť nebude obmedzovaná, nakoľko je prospešné, aby bola vykonávaná naďalej</w:t>
            </w:r>
            <w:r w:rsidR="00A04632">
              <w:rPr>
                <w:rFonts w:ascii="Times" w:hAnsi="Times" w:cs="Times"/>
              </w:rPr>
              <w:t xml:space="preserve">. </w:t>
            </w:r>
            <w:r>
              <w:rPr>
                <w:rFonts w:ascii="Times" w:hAnsi="Times" w:cs="Times"/>
              </w:rPr>
              <w:t>Štátna ochrana prírody Slovenskej republiky (ŠOP SR)</w:t>
            </w:r>
            <w:r w:rsidRPr="00EC0E71">
              <w:rPr>
                <w:rFonts w:ascii="Times" w:hAnsi="Times" w:cs="Times"/>
              </w:rPr>
              <w:t xml:space="preserve"> a jej organizačná zložka Správa Chránenej krajinnej oblasti Ponitrie a Chránenej krajinnej oblasti Dunajské luhy bude zodpovedná za vykonanie ďalších potrebných opatrení v oblasti monitori</w:t>
            </w:r>
            <w:r>
              <w:rPr>
                <w:rFonts w:ascii="Times" w:hAnsi="Times" w:cs="Times"/>
              </w:rPr>
              <w:t>n</w:t>
            </w:r>
            <w:r w:rsidR="00C62F9E">
              <w:rPr>
                <w:rFonts w:ascii="Times" w:hAnsi="Times" w:cs="Times"/>
              </w:rPr>
              <w:t>gu a komunikácie s</w:t>
            </w:r>
            <w:r w:rsidR="00FC5B4B">
              <w:rPr>
                <w:rFonts w:ascii="Times" w:hAnsi="Times" w:cs="Times"/>
              </w:rPr>
              <w:t> </w:t>
            </w:r>
            <w:r w:rsidR="00C62F9E">
              <w:rPr>
                <w:rFonts w:ascii="Times" w:hAnsi="Times" w:cs="Times"/>
              </w:rPr>
              <w:t>verejnosťou</w:t>
            </w:r>
            <w:r w:rsidR="00FC5B4B">
              <w:rPr>
                <w:rFonts w:ascii="Times" w:hAnsi="Times" w:cs="Times"/>
              </w:rPr>
              <w:t>,</w:t>
            </w:r>
            <w:r w:rsidR="00C62F9E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ktoré budú zamestnanci ŠOP SR vyko</w:t>
            </w:r>
            <w:r w:rsidR="00C62F9E">
              <w:rPr>
                <w:rFonts w:ascii="Times" w:hAnsi="Times" w:cs="Times"/>
              </w:rPr>
              <w:t>návať v rámci pracovnej náplne. ŠOP SR zabezpečí aj kosenie časti CHA Marce</w:t>
            </w:r>
            <w:r w:rsidR="00375884">
              <w:rPr>
                <w:rFonts w:ascii="Times" w:hAnsi="Times" w:cs="Times"/>
              </w:rPr>
              <w:t xml:space="preserve">lovské piesky (lokalitu Mašan) a odstraňovanie nepôvodných druhov drevín na ploche cca 10 ha. </w:t>
            </w:r>
          </w:p>
          <w:p w:rsidR="00375884" w:rsidRDefault="00C62F9E">
            <w:pPr>
              <w:spacing w:after="12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Ak bude v budúcnosti potrebné na dosiahnutie cieľov ochrany CHA Marcelovské piesky vykonať ďalšie opatrenia, ktorými bude obmedzené bežné obhospodarovanie, za ich vykonanie </w:t>
            </w:r>
            <w:r w:rsidRPr="0079757C">
              <w:rPr>
                <w:rFonts w:ascii="Times" w:hAnsi="Times" w:cs="Times"/>
              </w:rPr>
              <w:t xml:space="preserve">bude </w:t>
            </w:r>
            <w:r>
              <w:rPr>
                <w:rFonts w:ascii="Times" w:hAnsi="Times" w:cs="Times"/>
              </w:rPr>
              <w:t xml:space="preserve">zodpovedná ŠOP SR a budú vykonané po dohode s vlastníkom, nájomcom alebo správcom pozemku. V takomto prípade by vznikol nárok na náhradu za obmedzenie bežného obhospodarovania v zmysle § 61 zákona. Ak by v budúcnosti došlo k zmene vlastníka alebo užívateľa dotknutých pozemkov alebo k zmene spôsobu obhospodarovania pozemkov, resp. ak by došlo k obmedzeniu bežného obhospodarovania, vzniká nárok na náhradu za obmedzenie bežného obhospodarovania v zmysle § 61 zákona. </w:t>
            </w:r>
          </w:p>
          <w:p w:rsidR="00C62F9E" w:rsidRDefault="00C62F9E">
            <w:pPr>
              <w:spacing w:after="12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CHA Marcelovské piesky bude po jeho vyhlásení zapísaný v katastri nehnuteľností (§ 51 ods. 5 zákona), v štátnom zozname osobitne chránených častí prírody a krajiny (§ 51 ods. 4) a pre potreby praxe budú na Okresnom úrade Komárno uložené grafické podklady, v ktorých je zakreslená hranica CHA Marcelovské piesky. V prípade zmeny vlastníctva pozemkov v CHA Marcelovské </w:t>
            </w:r>
            <w:r w:rsidR="0049304E">
              <w:rPr>
                <w:rFonts w:ascii="Times" w:hAnsi="Times" w:cs="Times"/>
              </w:rPr>
              <w:t xml:space="preserve">piesky </w:t>
            </w:r>
            <w:r>
              <w:rPr>
                <w:rFonts w:ascii="Times" w:hAnsi="Times" w:cs="Times"/>
              </w:rPr>
              <w:t>tak bude budúci vlastník vopred informovaný o existencii CHA Marcelovské piesky a o obmedzeniach vyplývajúcich zo stanoveného stupňa ochrany a</w:t>
            </w:r>
            <w:r w:rsidR="00375884">
              <w:rPr>
                <w:rFonts w:ascii="Times" w:hAnsi="Times" w:cs="Times"/>
              </w:rPr>
              <w:t xml:space="preserve"> z </w:t>
            </w:r>
            <w:r>
              <w:rPr>
                <w:rFonts w:ascii="Times" w:hAnsi="Times" w:cs="Times"/>
              </w:rPr>
              <w:t>vyme</w:t>
            </w:r>
            <w:r w:rsidR="00375884">
              <w:rPr>
                <w:rFonts w:ascii="Times" w:hAnsi="Times" w:cs="Times"/>
              </w:rPr>
              <w:t>dzených cieľov</w:t>
            </w:r>
            <w:r>
              <w:rPr>
                <w:rFonts w:ascii="Times" w:hAnsi="Times" w:cs="Times"/>
              </w:rPr>
              <w:t xml:space="preserve"> ochrany. </w:t>
            </w:r>
          </w:p>
          <w:p w:rsidR="008E4564" w:rsidRDefault="008E4564" w:rsidP="008E4564">
            <w:pPr>
              <w:jc w:val="both"/>
              <w:rPr>
                <w:rFonts w:ascii="Times" w:hAnsi="Times" w:cs="Times"/>
              </w:rPr>
            </w:pPr>
            <w:r w:rsidRPr="008E4564">
              <w:rPr>
                <w:rFonts w:ascii="Times" w:hAnsi="Times" w:cs="Times"/>
              </w:rPr>
              <w:t>Keďže sa nepredpokladajú výrazné zmeny v hospodárení v</w:t>
            </w:r>
            <w:r w:rsidR="00676D19">
              <w:rPr>
                <w:rFonts w:ascii="Times" w:hAnsi="Times" w:cs="Times"/>
              </w:rPr>
              <w:t> </w:t>
            </w:r>
            <w:r w:rsidRPr="008E4564">
              <w:rPr>
                <w:rFonts w:ascii="Times" w:hAnsi="Times" w:cs="Times"/>
              </w:rPr>
              <w:t>území</w:t>
            </w:r>
            <w:r w:rsidR="00676D19">
              <w:rPr>
                <w:rFonts w:ascii="Times" w:hAnsi="Times" w:cs="Times"/>
              </w:rPr>
              <w:t>,</w:t>
            </w:r>
            <w:r w:rsidRPr="008E4564">
              <w:rPr>
                <w:rFonts w:ascii="Times" w:hAnsi="Times" w:cs="Times"/>
              </w:rPr>
              <w:t xml:space="preserve"> z hodnotenia vplyvov na zamestnanosť vyplýva, že vyhlásenie CHA </w:t>
            </w:r>
            <w:r w:rsidR="0068316C">
              <w:rPr>
                <w:rFonts w:ascii="Times" w:hAnsi="Times" w:cs="Times"/>
              </w:rPr>
              <w:t>Marcelovské piesky</w:t>
            </w:r>
            <w:r w:rsidRPr="008E4564">
              <w:rPr>
                <w:rFonts w:ascii="Times" w:hAnsi="Times" w:cs="Times"/>
              </w:rPr>
              <w:t xml:space="preserve"> nebude mať výrazný vplyv na zamestnanosť v regióne. </w:t>
            </w:r>
            <w:r w:rsidR="00A04632">
              <w:t xml:space="preserve">Nepredpokladá sa výrazné zvýšenie pracovných príležitostí s výnimkou pracovných príležitostí sezónneho charakteru. </w:t>
            </w:r>
            <w:r w:rsidRPr="008E4564">
              <w:rPr>
                <w:rFonts w:ascii="Times" w:hAnsi="Times" w:cs="Times"/>
              </w:rPr>
              <w:t xml:space="preserve">Existencia chráneného územia vytvára priestor pre výrobu produktov s priadnou hodnotou, environmentálnu výchovu alebo riešenie projektov zameraných na udržanie priaznivého stavu biotopov CHÚ. Vyhlásením CHA </w:t>
            </w:r>
            <w:r w:rsidR="00A04632">
              <w:rPr>
                <w:rFonts w:ascii="Times" w:hAnsi="Times" w:cs="Times"/>
              </w:rPr>
              <w:t>Marcelovské piesky</w:t>
            </w:r>
            <w:r w:rsidRPr="008E4564">
              <w:rPr>
                <w:rFonts w:ascii="Times" w:hAnsi="Times" w:cs="Times"/>
              </w:rPr>
              <w:t xml:space="preserve"> sa nepredpokladá zánik pracovných miest, vplyv na fungovanie trhu práce, špecifické negatívne dôsledky na isté skupiny profesií, skupín zamestnancov či živnostníkov ani ovplyvnenie špecifických vekových skupín zamestnancov. Existencia CHA </w:t>
            </w:r>
            <w:r w:rsidR="00C9172E">
              <w:rPr>
                <w:rFonts w:ascii="Times" w:hAnsi="Times" w:cs="Times"/>
              </w:rPr>
              <w:t>Marcelovské piesky</w:t>
            </w:r>
            <w:r w:rsidRPr="008E4564">
              <w:rPr>
                <w:rFonts w:ascii="Times" w:hAnsi="Times" w:cs="Times"/>
              </w:rPr>
              <w:t xml:space="preserve"> nepredpokladá </w:t>
            </w:r>
            <w:r w:rsidR="00C9172E">
              <w:rPr>
                <w:rFonts w:ascii="Times" w:hAnsi="Times" w:cs="Times"/>
              </w:rPr>
              <w:t xml:space="preserve">ďalšie </w:t>
            </w:r>
            <w:r w:rsidRPr="008E4564">
              <w:rPr>
                <w:rFonts w:ascii="Times" w:hAnsi="Times" w:cs="Times"/>
              </w:rPr>
              <w:t xml:space="preserve">oslobodenie pozemkov od daní v zmysle ustanovení </w:t>
            </w:r>
            <w:r w:rsidR="00C9172E">
              <w:rPr>
                <w:rFonts w:ascii="Times" w:hAnsi="Times" w:cs="Times"/>
              </w:rPr>
              <w:t xml:space="preserve">zákona </w:t>
            </w:r>
            <w:r w:rsidRPr="008E4564">
              <w:rPr>
                <w:rFonts w:ascii="Times" w:hAnsi="Times" w:cs="Times"/>
              </w:rPr>
              <w:t>č. 582/2004 Z. z. o miestnych daniach a miestnom poplatku za komunálne odpady a drobné stavebné odpady v znení neskorších predpisov.</w:t>
            </w:r>
            <w:r w:rsidR="00C9172E">
              <w:rPr>
                <w:rFonts w:ascii="Times" w:hAnsi="Times" w:cs="Times"/>
              </w:rPr>
              <w:t xml:space="preserve"> (Zoznam </w:t>
            </w:r>
            <w:r w:rsidR="00C9172E">
              <w:rPr>
                <w:rFonts w:ascii="Times" w:hAnsi="Times" w:cs="Times"/>
              </w:rPr>
              <w:lastRenderedPageBreak/>
              <w:t>pozemkov v súčasnosti oslobodených od daní v zmysle citovaného zákona je uvedený v projekte ochrany CHA Marcelovské piesky.)</w:t>
            </w:r>
            <w:r w:rsidRPr="008E4564">
              <w:rPr>
                <w:rFonts w:ascii="Times" w:hAnsi="Times" w:cs="Times"/>
              </w:rPr>
              <w:t xml:space="preserve"> </w:t>
            </w:r>
          </w:p>
          <w:p w:rsidR="00375884" w:rsidRPr="008E4564" w:rsidRDefault="00375884" w:rsidP="008E4564">
            <w:pPr>
              <w:jc w:val="both"/>
              <w:rPr>
                <w:rFonts w:ascii="Times" w:hAnsi="Times" w:cs="Times"/>
              </w:rPr>
            </w:pPr>
          </w:p>
          <w:p w:rsidR="008E4564" w:rsidRPr="00BC7674" w:rsidRDefault="008E4564" w:rsidP="00C9172E">
            <w:pPr>
              <w:jc w:val="both"/>
              <w:rPr>
                <w:rFonts w:ascii="Times" w:hAnsi="Times" w:cs="Times"/>
              </w:rPr>
            </w:pPr>
            <w:r w:rsidRPr="008E4564">
              <w:rPr>
                <w:rFonts w:ascii="Times" w:hAnsi="Times" w:cs="Times"/>
              </w:rPr>
              <w:t xml:space="preserve">Na základe  uvedených skutočností Ministerstvo životného prostredia Slovenskej republiky </w:t>
            </w:r>
            <w:r w:rsidR="00AD2034">
              <w:rPr>
                <w:rFonts w:ascii="Times" w:hAnsi="Times" w:cs="Times"/>
              </w:rPr>
              <w:t xml:space="preserve">(MŽP SR) </w:t>
            </w:r>
            <w:r w:rsidRPr="008E4564">
              <w:rPr>
                <w:rFonts w:ascii="Times" w:hAnsi="Times" w:cs="Times"/>
              </w:rPr>
              <w:t xml:space="preserve">vyhodnotilo, že vyhlásenie CHA </w:t>
            </w:r>
            <w:r w:rsidR="00C9172E">
              <w:rPr>
                <w:rFonts w:ascii="Times" w:hAnsi="Times" w:cs="Times"/>
              </w:rPr>
              <w:t>Marcelovské piesky</w:t>
            </w:r>
            <w:r w:rsidRPr="008E4564">
              <w:rPr>
                <w:rFonts w:ascii="Times" w:hAnsi="Times" w:cs="Times"/>
              </w:rPr>
              <w:t xml:space="preserve"> nebude mať výrazný vplyv na podnikateľské prostredie.</w:t>
            </w:r>
          </w:p>
        </w:tc>
      </w:tr>
      <w:tr w:rsidR="003501A1" w:rsidRPr="00A179AE" w:rsidTr="00BC767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Kontakt na spracovateľa</w:t>
            </w:r>
          </w:p>
        </w:tc>
      </w:tr>
      <w:tr w:rsidR="003501A1" w:rsidRPr="00A179AE" w:rsidTr="00336FFD">
        <w:trPr>
          <w:trHeight w:val="288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A8B" w:rsidRPr="00702A8B" w:rsidRDefault="00A227D2" w:rsidP="00336FFD">
            <w:pPr>
              <w:jc w:val="both"/>
            </w:pPr>
            <w:r>
              <w:t>Ing. Janka Guzmová</w:t>
            </w:r>
            <w:r w:rsidR="0083656C">
              <w:t xml:space="preserve">, sekcia ochrany prírody, biodiverzity a krajiny </w:t>
            </w:r>
            <w:r w:rsidR="004B1300">
              <w:t>MŽP SR</w:t>
            </w:r>
            <w:r w:rsidR="0083656C">
              <w:t xml:space="preserve"> (</w:t>
            </w:r>
            <w:r>
              <w:t>janka.guzmova</w:t>
            </w:r>
            <w:r w:rsidR="00702A8B" w:rsidRPr="0083656C">
              <w:t>@enviro.gov.sk</w:t>
            </w:r>
            <w:r w:rsidR="0083656C">
              <w:t>)</w:t>
            </w:r>
            <w:r w:rsidR="00702A8B">
              <w:t xml:space="preserve">. 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8430C9" w:rsidRDefault="007F0F79" w:rsidP="007B71A4">
            <w:pPr>
              <w:rPr>
                <w:b/>
              </w:rPr>
            </w:pPr>
            <w:r w:rsidRPr="0057537F">
              <w:t xml:space="preserve">Doložka vplyvov bola vypracovaná v spolupráci so Štátnou ochranou prírody Slovenskej republiky (marta.mutnanova@sopsr.sk). 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F32FCB" w:rsidP="00336FFD">
            <w:pPr>
              <w:jc w:val="both"/>
            </w:pPr>
            <w:r w:rsidRPr="00336FFD">
              <w:t xml:space="preserve">Komisia </w:t>
            </w:r>
            <w:r>
              <w:t xml:space="preserve">v stanovisku č. 048/2020 zo dňa 16.06.2020 uplatnila k materiálu nasledovné zásadné pripomienky a odporúčania: </w:t>
            </w:r>
          </w:p>
          <w:p w:rsidR="00515FEC" w:rsidRDefault="00515FEC" w:rsidP="00336FFD">
            <w:pPr>
              <w:jc w:val="both"/>
            </w:pPr>
          </w:p>
          <w:p w:rsidR="00515FEC" w:rsidRDefault="00515FEC" w:rsidP="00336FFD">
            <w:pPr>
              <w:jc w:val="both"/>
              <w:rPr>
                <w:b/>
              </w:rPr>
            </w:pPr>
            <w:r w:rsidRPr="00336FFD">
              <w:rPr>
                <w:b/>
              </w:rPr>
              <w:t>K doložke vybraných vplyvov</w:t>
            </w:r>
          </w:p>
          <w:p w:rsidR="00515FEC" w:rsidRPr="001E28DC" w:rsidRDefault="00515FEC" w:rsidP="00336FFD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Komisia berie </w:t>
            </w:r>
            <w:r w:rsidRPr="001E28DC">
              <w:rPr>
                <w:rFonts w:cs="Arial"/>
                <w:szCs w:val="24"/>
              </w:rPr>
              <w:t>na vedomie konštatovanie predkladateľa uvedené v analýze vplyvov na rozpočet verejnej správy, že výdavky súvisiace s vyhlásením chráneného areálu Marcelovské piesky budú financované z rozpočtu kapitoly MŽP SR, a to z rozpočtu Štátnej ochrany prírody Slovenskej republiky, príspevkovej organizácie v zriaďovateľskej pôsobnosti MŽP SR.</w:t>
            </w:r>
          </w:p>
          <w:p w:rsidR="00515FEC" w:rsidRDefault="00515FEC" w:rsidP="00336FFD">
            <w:pPr>
              <w:jc w:val="both"/>
              <w:rPr>
                <w:rFonts w:cs="Arial"/>
                <w:szCs w:val="24"/>
              </w:rPr>
            </w:pPr>
            <w:r w:rsidRPr="001E28DC">
              <w:rPr>
                <w:rFonts w:cs="Arial"/>
                <w:szCs w:val="24"/>
              </w:rPr>
              <w:t xml:space="preserve">Doložka vybraných vplyvov je však vypracovaná v rozpore s uvedenou analýzou vplyvov na rozpočet verejnej správy, ako aj so samotným obsahom materiálu, keďže v časti 9. Vplyvy navrhovaného materiálu sa vplyvy materiálu na rozpočet verejnej správy uvádzajú ako pozitívne a negatívne bez označenia ich rozpočtovej zabezpečenosti. </w:t>
            </w:r>
            <w:r w:rsidRPr="001859EE">
              <w:rPr>
                <w:rFonts w:cs="Arial"/>
                <w:szCs w:val="24"/>
              </w:rPr>
              <w:t xml:space="preserve">Z obsahu materiálu ako aj z jeho predkladacej správy však vyplýva, že materiál zakladá len negatívny, rozpočtovo zabezpečený vplyv. </w:t>
            </w:r>
            <w:r w:rsidRPr="001E28DC">
              <w:rPr>
                <w:rFonts w:cs="Arial"/>
                <w:szCs w:val="24"/>
              </w:rPr>
              <w:t>Z uvedeného dôvodu zásadne žiadame prepracovať doložku vybraných vplyvov a vplyvy materiálu označiť iba ako neg</w:t>
            </w:r>
            <w:r>
              <w:rPr>
                <w:rFonts w:cs="Arial"/>
                <w:szCs w:val="24"/>
              </w:rPr>
              <w:t>atívne a rozpočtovo zabezpečené.</w:t>
            </w:r>
          </w:p>
          <w:p w:rsidR="004B1300" w:rsidRDefault="004B1300" w:rsidP="00336FFD">
            <w:pPr>
              <w:jc w:val="both"/>
              <w:rPr>
                <w:rFonts w:cs="Arial"/>
                <w:szCs w:val="24"/>
              </w:rPr>
            </w:pPr>
          </w:p>
          <w:p w:rsidR="004B1300" w:rsidRDefault="004B1300" w:rsidP="00336FFD">
            <w:pPr>
              <w:jc w:val="both"/>
              <w:rPr>
                <w:rFonts w:cs="Arial"/>
                <w:szCs w:val="24"/>
              </w:rPr>
            </w:pPr>
            <w:r w:rsidRPr="00336FFD">
              <w:rPr>
                <w:rFonts w:cs="Arial"/>
                <w:b/>
                <w:szCs w:val="24"/>
              </w:rPr>
              <w:t>Stanovisko MŽP SR – MŽP SR akceptovalo</w:t>
            </w:r>
            <w:r>
              <w:rPr>
                <w:rFonts w:cs="Arial"/>
                <w:szCs w:val="24"/>
              </w:rPr>
              <w:t xml:space="preserve"> </w:t>
            </w:r>
            <w:r w:rsidRPr="00336FFD">
              <w:rPr>
                <w:rFonts w:cs="Arial"/>
                <w:b/>
                <w:szCs w:val="24"/>
              </w:rPr>
              <w:t>pripomienku</w:t>
            </w:r>
            <w:r>
              <w:rPr>
                <w:rFonts w:cs="Arial"/>
                <w:szCs w:val="24"/>
              </w:rPr>
              <w:t xml:space="preserve"> tak, že prepracovalo doložku vybraných vplyvov a označilo iba negatívne, rozpočtovo zabezpečené vplyvy materiálu. </w:t>
            </w:r>
          </w:p>
          <w:p w:rsidR="00515FEC" w:rsidRDefault="00515FEC" w:rsidP="00336FFD">
            <w:pPr>
              <w:jc w:val="both"/>
              <w:rPr>
                <w:b/>
              </w:rPr>
            </w:pPr>
          </w:p>
          <w:p w:rsidR="00EA275D" w:rsidRDefault="00EA275D" w:rsidP="00336FFD">
            <w:pPr>
              <w:jc w:val="both"/>
              <w:rPr>
                <w:b/>
              </w:rPr>
            </w:pPr>
            <w:r>
              <w:rPr>
                <w:b/>
              </w:rPr>
              <w:t>K vplyvom na podnikateľské prostredie</w:t>
            </w:r>
          </w:p>
          <w:p w:rsidR="00EA275D" w:rsidRPr="00336FFD" w:rsidRDefault="00EA275D" w:rsidP="00336FFD">
            <w:pPr>
              <w:jc w:val="both"/>
              <w:rPr>
                <w:color w:val="000000"/>
              </w:rPr>
            </w:pPr>
            <w:r w:rsidRPr="001859EE">
              <w:rPr>
                <w:color w:val="000000"/>
              </w:rPr>
              <w:t>Komisia k danému materiálu, ktorý má pozitívne vplyvy na životné prostredie a zároveň uvádza, že je bez vplyvov na podnikateľské prostredie, uplatňuje obyčajné pripomienky k vyznačeniu negatívnych vplyvov na podnikateľské prostredie a dopracovaniu analýzy vplyvov na podnikateľské prostredie.</w:t>
            </w:r>
            <w:r>
              <w:rPr>
                <w:color w:val="000000"/>
              </w:rPr>
              <w:t xml:space="preserve"> </w:t>
            </w:r>
            <w:r w:rsidRPr="001859EE">
              <w:rPr>
                <w:color w:val="000000"/>
              </w:rPr>
              <w:t>Dotknutými subjektmi sú vlastníci, správcovia a nájomcovia dotknutých pozemkov, obce, záujmové združenia atď. Dôvodom zabezpečenia ochrany územia je aj nedostatočné plnenie záväzkov SR a  výzva Európskej komisie k porušeniu č. 2019/2141, ktorá sa týka nedostatočného vyhlasovania lokalít európskeho významu a schvaľovania programov starostlivosti. Účelom vyhlásenia chráneného areálu je zabezpečenie priaznivého stavu predmetu ochrany chráneného areálu, pričom na území chráneného areálu p</w:t>
            </w:r>
            <w:r>
              <w:rPr>
                <w:color w:val="000000"/>
              </w:rPr>
              <w:t xml:space="preserve">latí stanovený stupeň ochrany. </w:t>
            </w:r>
            <w:r w:rsidRPr="001859EE">
              <w:rPr>
                <w:color w:val="000000"/>
              </w:rPr>
              <w:t>Pokiaľ sa vyžaduje  vyššia právna ochrana územia zabezpečená cez nariadenie vlády, čím sa očakáva „významné zlepšenie stavu organizmov - rastlín, živočíchov, najmä biotopov, ktoré tvoria predmet ochrany“, musíme na druhej strane predpokladať možné negatívne vplyvy na podnikateľské prostredie vyplývajúce z povinnosti rešpektovania obmedzení, ktoré vyplývajú z vyhlásenia záujmového územia za c</w:t>
            </w:r>
            <w:r>
              <w:rPr>
                <w:color w:val="000000"/>
              </w:rPr>
              <w:t xml:space="preserve">hránený areál nariadením vlády. </w:t>
            </w:r>
            <w:r w:rsidRPr="001859EE">
              <w:rPr>
                <w:color w:val="000000"/>
              </w:rPr>
              <w:t>V Analýze je možné vyhodnotiť a popísať, ako sa zmení súčasný stav z pohľadu nastavených podmienok ochrany prírody vo vzťahu k podnikateľskému prostrediu. Tiež je potrebné uviesť konzultácie, ktoré predloženiu tohto materiálu predchádzali.</w:t>
            </w:r>
          </w:p>
          <w:p w:rsidR="00EA275D" w:rsidRPr="00336FFD" w:rsidRDefault="00EA275D" w:rsidP="00336FFD">
            <w:pPr>
              <w:jc w:val="both"/>
              <w:rPr>
                <w:b/>
              </w:rPr>
            </w:pPr>
          </w:p>
          <w:p w:rsidR="008462BF" w:rsidRDefault="008462BF" w:rsidP="008462BF">
            <w:pPr>
              <w:jc w:val="both"/>
            </w:pPr>
            <w:r w:rsidRPr="005B1465">
              <w:rPr>
                <w:b/>
              </w:rPr>
              <w:t>Stanovisko MŽP SR</w:t>
            </w:r>
            <w:r>
              <w:t xml:space="preserve"> – </w:t>
            </w:r>
            <w:r w:rsidRPr="005B1465">
              <w:rPr>
                <w:b/>
              </w:rPr>
              <w:t>MŽP SR čiastočne akceptovalo pripomienku</w:t>
            </w:r>
            <w:r>
              <w:t xml:space="preserve"> tak, že do doložky vybraných vplyvov do bodu „10 Poznámky“ doplnilo </w:t>
            </w:r>
            <w:r w:rsidR="00F33439">
              <w:t xml:space="preserve">tieto </w:t>
            </w:r>
            <w:r>
              <w:t>ďalšie informácie, na základe ktorých MŽP SR vyhodnotilo, že materiál nebude mať významný vplyv na podnikateľské prostredie:</w:t>
            </w:r>
          </w:p>
          <w:p w:rsidR="008462BF" w:rsidRDefault="008462BF" w:rsidP="008462BF">
            <w:pPr>
              <w:jc w:val="both"/>
            </w:pPr>
          </w:p>
          <w:p w:rsidR="008462BF" w:rsidRDefault="008462BF" w:rsidP="00336FFD">
            <w:pPr>
              <w:spacing w:after="120"/>
              <w:jc w:val="both"/>
            </w:pPr>
            <w:r>
              <w:t>„</w:t>
            </w:r>
            <w:r w:rsidRPr="00336FFD">
              <w:rPr>
                <w:i/>
              </w:rPr>
              <w:t>Na zabezpečenie priaznivého stavu predmetu ochrany CHA Marcelovské piesky je potrebné obhospodarovanie pozemkov prostredníctvom pastvy alebo kosením.</w:t>
            </w:r>
            <w:r>
              <w:t xml:space="preserve">“ </w:t>
            </w:r>
          </w:p>
          <w:p w:rsidR="00AF4FB6" w:rsidRDefault="00AF4FB6" w:rsidP="00336FFD">
            <w:pPr>
              <w:jc w:val="both"/>
              <w:rPr>
                <w:i/>
              </w:rPr>
            </w:pPr>
            <w:r>
              <w:t>„</w:t>
            </w:r>
            <w:r w:rsidRPr="00336FFD">
              <w:rPr>
                <w:i/>
              </w:rPr>
              <w:t>Zámer vyhlásiť CHA Marcelovské piesky bol v zmysle § 50 zákona č. 543/2002 Z. z. o ochrane prírody a krajiny v znení neskorších predpisov (ďalej len „zákon“) oznámený Okresným úradom Nitra. Zámer bol spracovaný podľa projektu ochrany, ktorý je odborným podkladom na vyhlásenie chráneného územia (§ 54 ods. 13 zákona) a obsahuje ciele ochrany vymedzené pre chránené územie, návrh vhodného manažmentu na dosiahnutie cieľov, ako aj obmedzenia vyplývajúce zo stanoveného stupňa ochrany podľa zákona. Zo strany dotknutých subjektov neboli k zámeru vznesené pripomienky.“</w:t>
            </w:r>
          </w:p>
          <w:p w:rsidR="00AD2034" w:rsidRDefault="00AD2034" w:rsidP="00336FFD">
            <w:pPr>
              <w:jc w:val="both"/>
              <w:rPr>
                <w:i/>
              </w:rPr>
            </w:pPr>
          </w:p>
          <w:p w:rsidR="001E392B" w:rsidRDefault="00AD2034" w:rsidP="00336FFD">
            <w:pPr>
              <w:jc w:val="both"/>
              <w:rPr>
                <w:rFonts w:ascii="Times" w:hAnsi="Times" w:cs="Times"/>
                <w:i/>
              </w:rPr>
            </w:pPr>
            <w:r>
              <w:rPr>
                <w:rFonts w:ascii="Times" w:hAnsi="Times" w:cs="Times"/>
              </w:rPr>
              <w:lastRenderedPageBreak/>
              <w:t>„</w:t>
            </w:r>
            <w:r w:rsidRPr="00336FFD">
              <w:rPr>
                <w:rFonts w:ascii="Times" w:hAnsi="Times" w:cs="Times"/>
                <w:i/>
              </w:rPr>
              <w:t xml:space="preserve">Ak bude v budúcnosti potrebné na dosiahnutie cieľov ochrany CHA Marcelovské piesky vykonať ďalšie opatrenia, ktorými bude obmedzené bežné obhospodarovanie, za ich vykonanie bude zodpovedná ŠOP SR a budú vykonané po dohode s vlastníkom, nájomcom alebo správcom pozemku. V takomto prípade by vznikol nárok na náhradu za obmedzenie bežného obhospodarovania v zmysle § 61 zákona. Ak by v budúcnosti došlo k zmene vlastníka alebo užívateľa dotknutých pozemkov alebo k zmene spôsobu obhospodarovania pozemkov, resp. ak by došlo k obmedzeniu bežného obhospodarovania, vzniká nárok na náhradu za obmedzenie bežného obhospodarovania v zmysle § 61 zákona. </w:t>
            </w:r>
          </w:p>
          <w:p w:rsidR="00AD2034" w:rsidRDefault="00AD2034" w:rsidP="00336FFD">
            <w:pPr>
              <w:jc w:val="both"/>
              <w:rPr>
                <w:i/>
              </w:rPr>
            </w:pPr>
            <w:r w:rsidRPr="00336FFD">
              <w:rPr>
                <w:rFonts w:ascii="Times" w:hAnsi="Times" w:cs="Times"/>
                <w:i/>
              </w:rPr>
              <w:t xml:space="preserve">CHA </w:t>
            </w:r>
            <w:proofErr w:type="spellStart"/>
            <w:r w:rsidRPr="00336FFD">
              <w:rPr>
                <w:rFonts w:ascii="Times" w:hAnsi="Times" w:cs="Times"/>
                <w:i/>
              </w:rPr>
              <w:t>Marcelovské</w:t>
            </w:r>
            <w:proofErr w:type="spellEnd"/>
            <w:r w:rsidRPr="00336FFD">
              <w:rPr>
                <w:rFonts w:ascii="Times" w:hAnsi="Times" w:cs="Times"/>
                <w:i/>
              </w:rPr>
              <w:t xml:space="preserve"> piesky bude po jeho vyhlásení zapísaný v katastri nehnuteľností (§ 51 ods. 5 zákona), v štátnom zozname osobitne chránených častí prírody a krajiny (§ 51 ods. 4) a pre potreby praxe budú na Okresnom úrade Komárno uložené grafické podklady, v ktorých je zakreslená hranica CHA Marcelovské piesky. V prípade zmeny vlastníctva pozemkov v CHA Marcelovské tak bude budúci vlastník vopred informovaný o existencii CHA Marcelovské piesky a o obmedzeniach vyplývajúcich zo stanoveného stupňa ochrany a</w:t>
            </w:r>
            <w:r w:rsidR="00375884">
              <w:rPr>
                <w:rFonts w:ascii="Times" w:hAnsi="Times" w:cs="Times"/>
                <w:i/>
              </w:rPr>
              <w:t> z vymedzených cieľov</w:t>
            </w:r>
            <w:r w:rsidRPr="00336FFD">
              <w:rPr>
                <w:rFonts w:ascii="Times" w:hAnsi="Times" w:cs="Times"/>
                <w:i/>
              </w:rPr>
              <w:t xml:space="preserve"> ochrany.</w:t>
            </w:r>
            <w:r>
              <w:rPr>
                <w:rFonts w:ascii="Times" w:hAnsi="Times" w:cs="Times"/>
              </w:rPr>
              <w:t>“</w:t>
            </w:r>
          </w:p>
          <w:p w:rsidR="00C928A0" w:rsidRDefault="00C928A0" w:rsidP="00336FFD">
            <w:pPr>
              <w:jc w:val="both"/>
            </w:pPr>
          </w:p>
          <w:p w:rsidR="00AF4FB6" w:rsidRDefault="00C928A0">
            <w:pPr>
              <w:jc w:val="both"/>
              <w:rPr>
                <w:rFonts w:ascii="Times" w:hAnsi="Times" w:cs="Times"/>
              </w:rPr>
            </w:pPr>
            <w:r w:rsidRPr="00336FFD">
              <w:rPr>
                <w:b/>
              </w:rPr>
              <w:t>MŽP SR ďalej v doložke vplyvov</w:t>
            </w:r>
            <w:r>
              <w:t xml:space="preserve"> nahradilo formuláciu </w:t>
            </w:r>
            <w:r w:rsidRPr="00336FFD">
              <w:rPr>
                <w:i/>
              </w:rPr>
              <w:t>„</w:t>
            </w:r>
            <w:r w:rsidRPr="00336FFD">
              <w:rPr>
                <w:rFonts w:ascii="Times" w:hAnsi="Times" w:cs="Times"/>
                <w:i/>
              </w:rPr>
              <w:t xml:space="preserve">Za vykovanie ďalších potrebných opatrení bude zodpovedná organizácia ochrany prírody – Štátna ochrana prírody Slovenskej republiky, resp. jej organizačná zložka Správa Chránenej krajinnej oblasti Ponitrie a Chránenej krajinnej oblasti Dunajské luhy. </w:t>
            </w:r>
            <w:r w:rsidRPr="00336FFD">
              <w:rPr>
                <w:rFonts w:ascii="Times" w:hAnsi="Times" w:cs="Times"/>
                <w:i/>
              </w:rPr>
              <w:br/>
              <w:t>Z uvedeného dôvodu sa pri vyhlasovaní CHA Marcelovské piesky neurčuje ani výška predpokladaných finančných prostriedkov potrebných na zabezpečenie náhrady za obmedzenie bežného obhospodarovania podľa § 61 zákona č. 543/2002 Z. z. o ochrane prírody a krajiny v znení neskorších predpisov.“</w:t>
            </w:r>
            <w:r>
              <w:rPr>
                <w:rFonts w:ascii="Times" w:hAnsi="Times" w:cs="Times"/>
                <w:i/>
              </w:rPr>
              <w:t xml:space="preserve"> </w:t>
            </w:r>
            <w:r>
              <w:rPr>
                <w:rFonts w:ascii="Times" w:hAnsi="Times" w:cs="Times"/>
              </w:rPr>
              <w:t xml:space="preserve">nasledovne: </w:t>
            </w:r>
          </w:p>
          <w:p w:rsidR="00C928A0" w:rsidRDefault="00C928A0" w:rsidP="008462BF">
            <w:pPr>
              <w:jc w:val="both"/>
              <w:rPr>
                <w:rFonts w:ascii="Times" w:hAnsi="Times" w:cs="Times"/>
              </w:rPr>
            </w:pPr>
          </w:p>
          <w:p w:rsidR="001E392B" w:rsidRDefault="000E6CB1" w:rsidP="000E6CB1">
            <w:pPr>
              <w:spacing w:after="120"/>
              <w:jc w:val="both"/>
              <w:rPr>
                <w:rFonts w:ascii="Times" w:hAnsi="Times" w:cs="Times"/>
                <w:i/>
              </w:rPr>
            </w:pPr>
            <w:r w:rsidRPr="00336FFD">
              <w:rPr>
                <w:i/>
              </w:rPr>
              <w:t>„</w:t>
            </w:r>
            <w:r w:rsidRPr="00336FFD">
              <w:rPr>
                <w:rFonts w:ascii="Times" w:hAnsi="Times" w:cs="Times"/>
                <w:i/>
              </w:rPr>
              <w:t xml:space="preserve">Ak bude v budúcnosti potrebné na dosiahnutie cieľov ochrany CHA Marcelovské piesky vykonať ďalšie opatrenia, ktorými bude obmedzené bežné obhospodarovanie, za ich vykonanie bude zodpovedná ŠOP SR a budú vykonané po dohode s vlastníkom, nájomcom alebo správcom pozemku. V takomto prípade by vznikol nárok na náhradu za obmedzenie bežného obhospodarovania v zmysle § 61 zákona. Ak by v budúcnosti došlo k zmene vlastníka alebo užívateľa dotknutých pozemkov alebo k zmene spôsobu obhospodarovania pozemkov, resp. ak by došlo k obmedzeniu bežného obhospodarovania, vzniká nárok na náhradu za obmedzenie bežného obhospodarovania v zmysle § 61 zákona. </w:t>
            </w:r>
          </w:p>
          <w:p w:rsidR="000E6CB1" w:rsidRPr="00336FFD" w:rsidRDefault="000E6CB1" w:rsidP="000E6CB1">
            <w:pPr>
              <w:spacing w:after="120"/>
              <w:jc w:val="both"/>
              <w:rPr>
                <w:rFonts w:ascii="Times" w:hAnsi="Times" w:cs="Times"/>
                <w:i/>
              </w:rPr>
            </w:pPr>
            <w:r w:rsidRPr="00336FFD">
              <w:rPr>
                <w:rFonts w:ascii="Times" w:hAnsi="Times" w:cs="Times"/>
                <w:i/>
              </w:rPr>
              <w:t xml:space="preserve">CHA </w:t>
            </w:r>
            <w:proofErr w:type="spellStart"/>
            <w:r w:rsidRPr="00336FFD">
              <w:rPr>
                <w:rFonts w:ascii="Times" w:hAnsi="Times" w:cs="Times"/>
                <w:i/>
              </w:rPr>
              <w:t>Marcelovské</w:t>
            </w:r>
            <w:proofErr w:type="spellEnd"/>
            <w:r w:rsidRPr="00336FFD">
              <w:rPr>
                <w:rFonts w:ascii="Times" w:hAnsi="Times" w:cs="Times"/>
                <w:i/>
              </w:rPr>
              <w:t xml:space="preserve"> piesky bude po jeho vyhlásení zapísaný v katastri nehnuteľností (§ 51 ods. 5 zákona), v štátnom zozname osobitne chránených častí prírody a krajiny (§ 51 ods. 4) a pre potreby praxe budú na Okresnom úrade Komárno uložené grafické podklady, v ktorých je zakreslená hranica CHA Marcelovské piesky. V prípade zmeny vlastníctva pozemkov v CHA Marcelovské tak bude budúci vlastník vopred informovaný o existencii CHA Marcelovské piesky a o obmedzeniach vyplývajúcich zo stanoveného stupňa ochrany a vymedzených cieľoch ochrany.“</w:t>
            </w:r>
          </w:p>
          <w:p w:rsidR="0007786D" w:rsidRDefault="0007786D" w:rsidP="00336FFD">
            <w:pPr>
              <w:spacing w:after="120"/>
              <w:jc w:val="both"/>
            </w:pPr>
            <w:r w:rsidRPr="00336FFD">
              <w:rPr>
                <w:b/>
              </w:rPr>
              <w:t xml:space="preserve">V doložke vplyvov na životné prostredie MŽP SR </w:t>
            </w:r>
            <w:r>
              <w:t>upravilo formuláciu „</w:t>
            </w:r>
            <w:r w:rsidRPr="00336FFD">
              <w:rPr>
                <w:i/>
              </w:rPr>
              <w:t>Predpokladá sa významné zlepšenie stavu organizmov - rastlín, živočíchov, biotopov, najmä však predmetov ochrany CHA Marcelovské piesky.</w:t>
            </w:r>
            <w:r>
              <w:t xml:space="preserve">“ nasledovne: </w:t>
            </w:r>
          </w:p>
          <w:p w:rsidR="00F32FCB" w:rsidRPr="00336FFD" w:rsidRDefault="0007786D" w:rsidP="00336FFD">
            <w:pPr>
              <w:spacing w:after="120"/>
              <w:jc w:val="both"/>
              <w:rPr>
                <w:i/>
              </w:rPr>
            </w:pPr>
            <w:r w:rsidRPr="00336FFD">
              <w:rPr>
                <w:i/>
              </w:rPr>
              <w:t>„</w:t>
            </w:r>
            <w:r w:rsidR="00500DAB" w:rsidRPr="00500DAB">
              <w:rPr>
                <w:i/>
              </w:rPr>
              <w:t xml:space="preserve">Vyhlásením CHA Marcelovské piesky bude zabezpečená </w:t>
            </w:r>
            <w:r w:rsidR="00F155EB">
              <w:rPr>
                <w:i/>
              </w:rPr>
              <w:t xml:space="preserve">plná </w:t>
            </w:r>
            <w:r w:rsidR="00500DAB" w:rsidRPr="00500DAB">
              <w:rPr>
                <w:i/>
              </w:rPr>
              <w:t>právna ochrana územia, stanovia sa ciele ochrany a vhodný typ manažmentu pre územie, čím budú vytvorené podmienky pre obnovenie</w:t>
            </w:r>
            <w:r w:rsidR="004E1017">
              <w:rPr>
                <w:i/>
              </w:rPr>
              <w:t xml:space="preserve"> </w:t>
            </w:r>
            <w:r w:rsidR="00336FFD">
              <w:rPr>
                <w:i/>
              </w:rPr>
              <w:t>priaznivého</w:t>
            </w:r>
            <w:r w:rsidR="00336FFD" w:rsidRPr="00500DAB">
              <w:rPr>
                <w:i/>
              </w:rPr>
              <w:t xml:space="preserve"> </w:t>
            </w:r>
            <w:r w:rsidR="00500DAB" w:rsidRPr="00500DAB">
              <w:rPr>
                <w:i/>
              </w:rPr>
              <w:t xml:space="preserve">stavu prioritného biotopu  Suchomilné travinnobylinné porasty na vápnitých pieskoch (6120*) a pre udržanie stavu prioritného biotopu Panónske travinnobylinné porasty na pieskoch (6260*) v kategórii A – priaznivý výborný, a tým udržanie priaznivého stavu biotopu druhu </w:t>
            </w:r>
            <w:proofErr w:type="spellStart"/>
            <w:r w:rsidR="00500DAB" w:rsidRPr="00500DAB">
              <w:rPr>
                <w:i/>
              </w:rPr>
              <w:t>tarica</w:t>
            </w:r>
            <w:proofErr w:type="spellEnd"/>
            <w:r w:rsidR="00500DAB" w:rsidRPr="00500DAB">
              <w:rPr>
                <w:i/>
              </w:rPr>
              <w:t xml:space="preserve"> </w:t>
            </w:r>
            <w:proofErr w:type="spellStart"/>
            <w:r w:rsidR="00500DAB" w:rsidRPr="00500DAB">
              <w:rPr>
                <w:i/>
              </w:rPr>
              <w:t>krivo</w:t>
            </w:r>
            <w:r w:rsidR="00F0174D">
              <w:rPr>
                <w:i/>
              </w:rPr>
              <w:t>ľ</w:t>
            </w:r>
            <w:r w:rsidR="00500DAB" w:rsidRPr="00500DAB">
              <w:rPr>
                <w:i/>
              </w:rPr>
              <w:t>aká</w:t>
            </w:r>
            <w:proofErr w:type="spellEnd"/>
            <w:r w:rsidR="00500DAB" w:rsidRPr="00500DAB">
              <w:rPr>
                <w:i/>
              </w:rPr>
              <w:t xml:space="preserve"> pravá.</w:t>
            </w:r>
            <w:r w:rsidRPr="00336FFD">
              <w:rPr>
                <w:i/>
              </w:rPr>
              <w:t>“</w:t>
            </w:r>
          </w:p>
          <w:p w:rsidR="0007786D" w:rsidRDefault="0007786D" w:rsidP="00336FFD">
            <w:pPr>
              <w:jc w:val="both"/>
            </w:pPr>
          </w:p>
          <w:p w:rsidR="0007786D" w:rsidRDefault="0007786D" w:rsidP="00336FFD">
            <w:pPr>
              <w:jc w:val="both"/>
            </w:pPr>
            <w:r>
              <w:t xml:space="preserve">Stála pracovná komisia na posudzovanie vybraných vplyvov vyjadruje </w:t>
            </w:r>
          </w:p>
          <w:p w:rsidR="0007786D" w:rsidRDefault="0007786D" w:rsidP="00336FFD">
            <w:pPr>
              <w:jc w:val="both"/>
            </w:pPr>
          </w:p>
          <w:p w:rsidR="0007786D" w:rsidRDefault="0007786D" w:rsidP="00336FFD">
            <w:pPr>
              <w:jc w:val="center"/>
              <w:rPr>
                <w:b/>
              </w:rPr>
            </w:pPr>
            <w:r w:rsidRPr="00336FFD">
              <w:rPr>
                <w:b/>
              </w:rPr>
              <w:t>nesúhlasné stanovisko</w:t>
            </w:r>
          </w:p>
          <w:p w:rsidR="0007786D" w:rsidRDefault="0007786D" w:rsidP="00336FFD">
            <w:pPr>
              <w:jc w:val="center"/>
              <w:rPr>
                <w:b/>
              </w:rPr>
            </w:pPr>
          </w:p>
          <w:p w:rsidR="0007786D" w:rsidRDefault="0007786D">
            <w:r>
              <w:t xml:space="preserve">s materiálom predloženým na predbežné pripomienkové konanie s odporúčaním na jeho dopracovanie podľa pripomienok. </w:t>
            </w:r>
          </w:p>
          <w:p w:rsidR="004748DA" w:rsidRDefault="004748DA"/>
          <w:p w:rsidR="0007786D" w:rsidRPr="00336FFD" w:rsidRDefault="004748DA">
            <w:r w:rsidRPr="00336FFD">
              <w:rPr>
                <w:b/>
              </w:rPr>
              <w:t>Poznámka:</w:t>
            </w:r>
            <w:r>
              <w:t xml:space="preserve"> Predkladateľ zapracuje pripomienky a odporúčania na úpravu a uvedie stanovisko Komisie do doložky vybraných vplyvov spolu s vyhodnotením pripomienok. </w:t>
            </w: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7E" w:rsidRDefault="0005387E" w:rsidP="003501A1">
      <w:r>
        <w:separator/>
      </w:r>
    </w:p>
  </w:endnote>
  <w:endnote w:type="continuationSeparator" w:id="0">
    <w:p w:rsidR="0005387E" w:rsidRDefault="0005387E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471075"/>
      <w:docPartObj>
        <w:docPartGallery w:val="Page Numbers (Bottom of Page)"/>
        <w:docPartUnique/>
      </w:docPartObj>
    </w:sdtPr>
    <w:sdtEndPr/>
    <w:sdtContent>
      <w:p w:rsidR="008A147E" w:rsidRDefault="008A147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A6">
          <w:rPr>
            <w:noProof/>
          </w:rPr>
          <w:t>4</w:t>
        </w:r>
        <w:r>
          <w:fldChar w:fldCharType="end"/>
        </w:r>
      </w:p>
    </w:sdtContent>
  </w:sdt>
  <w:p w:rsidR="008A147E" w:rsidRDefault="008A1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7E" w:rsidRDefault="0005387E" w:rsidP="003501A1">
      <w:r>
        <w:separator/>
      </w:r>
    </w:p>
  </w:footnote>
  <w:footnote w:type="continuationSeparator" w:id="0">
    <w:p w:rsidR="0005387E" w:rsidRDefault="0005387E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EEA22E8"/>
    <w:multiLevelType w:val="hybridMultilevel"/>
    <w:tmpl w:val="7BAAAC1E"/>
    <w:lvl w:ilvl="0" w:tplc="97C60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685E"/>
    <w:rsid w:val="00036A60"/>
    <w:rsid w:val="0005387E"/>
    <w:rsid w:val="00077809"/>
    <w:rsid w:val="0007786D"/>
    <w:rsid w:val="000E6CB1"/>
    <w:rsid w:val="00122A3D"/>
    <w:rsid w:val="001335AD"/>
    <w:rsid w:val="00175FD8"/>
    <w:rsid w:val="00196B61"/>
    <w:rsid w:val="001B6B31"/>
    <w:rsid w:val="001D0FCA"/>
    <w:rsid w:val="001E392B"/>
    <w:rsid w:val="002432D5"/>
    <w:rsid w:val="00255617"/>
    <w:rsid w:val="0032574A"/>
    <w:rsid w:val="00336FFD"/>
    <w:rsid w:val="00344899"/>
    <w:rsid w:val="003501A1"/>
    <w:rsid w:val="00375884"/>
    <w:rsid w:val="00395098"/>
    <w:rsid w:val="003B7DE7"/>
    <w:rsid w:val="004339A8"/>
    <w:rsid w:val="00447F24"/>
    <w:rsid w:val="00452B1E"/>
    <w:rsid w:val="0045465B"/>
    <w:rsid w:val="004748DA"/>
    <w:rsid w:val="0049304E"/>
    <w:rsid w:val="004B1300"/>
    <w:rsid w:val="004C60B8"/>
    <w:rsid w:val="004C794A"/>
    <w:rsid w:val="004E1017"/>
    <w:rsid w:val="004F6F1F"/>
    <w:rsid w:val="004F7D6F"/>
    <w:rsid w:val="00500DAB"/>
    <w:rsid w:val="00515FEC"/>
    <w:rsid w:val="00562B10"/>
    <w:rsid w:val="00570B48"/>
    <w:rsid w:val="0057537F"/>
    <w:rsid w:val="005A6308"/>
    <w:rsid w:val="005B7A8D"/>
    <w:rsid w:val="00631E3A"/>
    <w:rsid w:val="00651F45"/>
    <w:rsid w:val="00676D19"/>
    <w:rsid w:val="0068316C"/>
    <w:rsid w:val="00684CA3"/>
    <w:rsid w:val="00684FD2"/>
    <w:rsid w:val="006C3B7D"/>
    <w:rsid w:val="00702A8B"/>
    <w:rsid w:val="00725D2D"/>
    <w:rsid w:val="007B6A2F"/>
    <w:rsid w:val="007C4FA6"/>
    <w:rsid w:val="007D4F66"/>
    <w:rsid w:val="007F0F79"/>
    <w:rsid w:val="007F69D6"/>
    <w:rsid w:val="0083656C"/>
    <w:rsid w:val="008430C9"/>
    <w:rsid w:val="008462BF"/>
    <w:rsid w:val="00893A9A"/>
    <w:rsid w:val="008A147E"/>
    <w:rsid w:val="008E4564"/>
    <w:rsid w:val="008F171D"/>
    <w:rsid w:val="009055B1"/>
    <w:rsid w:val="00926D39"/>
    <w:rsid w:val="00974EB0"/>
    <w:rsid w:val="009B1D23"/>
    <w:rsid w:val="00A04632"/>
    <w:rsid w:val="00A227D2"/>
    <w:rsid w:val="00A767C1"/>
    <w:rsid w:val="00AA3BEA"/>
    <w:rsid w:val="00AC2477"/>
    <w:rsid w:val="00AD2034"/>
    <w:rsid w:val="00AD3286"/>
    <w:rsid w:val="00AE31A4"/>
    <w:rsid w:val="00AF1FC2"/>
    <w:rsid w:val="00AF4FB6"/>
    <w:rsid w:val="00B65A86"/>
    <w:rsid w:val="00BC5F8B"/>
    <w:rsid w:val="00BC7674"/>
    <w:rsid w:val="00C1030C"/>
    <w:rsid w:val="00C176F9"/>
    <w:rsid w:val="00C474BC"/>
    <w:rsid w:val="00C62F9E"/>
    <w:rsid w:val="00C9172E"/>
    <w:rsid w:val="00C928A0"/>
    <w:rsid w:val="00CB3623"/>
    <w:rsid w:val="00CC7A9D"/>
    <w:rsid w:val="00CE44A8"/>
    <w:rsid w:val="00D13B6F"/>
    <w:rsid w:val="00D60E42"/>
    <w:rsid w:val="00D669AF"/>
    <w:rsid w:val="00D72982"/>
    <w:rsid w:val="00D75D35"/>
    <w:rsid w:val="00DC3B60"/>
    <w:rsid w:val="00DD0D9A"/>
    <w:rsid w:val="00DE2A12"/>
    <w:rsid w:val="00DF3D04"/>
    <w:rsid w:val="00E13854"/>
    <w:rsid w:val="00E14F74"/>
    <w:rsid w:val="00E17E5F"/>
    <w:rsid w:val="00E5697B"/>
    <w:rsid w:val="00EA275D"/>
    <w:rsid w:val="00EB59E3"/>
    <w:rsid w:val="00ED6E8B"/>
    <w:rsid w:val="00EE05DA"/>
    <w:rsid w:val="00EF40EB"/>
    <w:rsid w:val="00F0174D"/>
    <w:rsid w:val="00F155EB"/>
    <w:rsid w:val="00F22831"/>
    <w:rsid w:val="00F32FCB"/>
    <w:rsid w:val="00F33439"/>
    <w:rsid w:val="00F62771"/>
    <w:rsid w:val="00FC2F37"/>
    <w:rsid w:val="00FC5B4B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AA522-6B1E-40FC-BF34-E3C65C3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6D39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B95E-2C75-4DAC-9FF0-AC073328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Kovačovicová Michaela</cp:lastModifiedBy>
  <cp:revision>29</cp:revision>
  <cp:lastPrinted>2020-05-15T15:03:00Z</cp:lastPrinted>
  <dcterms:created xsi:type="dcterms:W3CDTF">2020-05-28T15:33:00Z</dcterms:created>
  <dcterms:modified xsi:type="dcterms:W3CDTF">2020-08-13T11:19:00Z</dcterms:modified>
</cp:coreProperties>
</file>