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993C3" w14:textId="77777777"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14:paraId="2AF66AEB" w14:textId="77777777"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209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1032"/>
        <w:gridCol w:w="254"/>
        <w:gridCol w:w="124"/>
        <w:gridCol w:w="1133"/>
        <w:gridCol w:w="160"/>
        <w:gridCol w:w="387"/>
        <w:gridCol w:w="1173"/>
        <w:gridCol w:w="29"/>
      </w:tblGrid>
      <w:tr w:rsidR="003501A1" w:rsidRPr="00A179AE" w14:paraId="5BD21007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bottom w:val="single" w:sz="4" w:space="0" w:color="FFFFFF" w:themeColor="background1"/>
            </w:tcBorders>
            <w:shd w:val="clear" w:color="auto" w:fill="E2E2E2"/>
          </w:tcPr>
          <w:p w14:paraId="4A70935C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14:paraId="217CEC10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bottom w:val="single" w:sz="4" w:space="0" w:color="FFFFFF" w:themeColor="background1"/>
            </w:tcBorders>
            <w:shd w:val="clear" w:color="auto" w:fill="E2E2E2"/>
          </w:tcPr>
          <w:p w14:paraId="24BDD40E" w14:textId="77777777" w:rsidR="003501A1" w:rsidRPr="00A179AE" w:rsidRDefault="003501A1" w:rsidP="00B7172B">
            <w:pPr>
              <w:pStyle w:val="Odsekzoznamu"/>
              <w:spacing w:after="12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14:paraId="49306BCF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078E685" w14:textId="2C15D8D7" w:rsidR="003501A1" w:rsidRPr="006A1708" w:rsidRDefault="00084E1D" w:rsidP="003A1BA9">
            <w:pPr>
              <w:spacing w:after="120"/>
            </w:pPr>
            <w:r>
              <w:t>Nariadenie vlády Slovenskej republiky, ktorým sa vyhlasuje prírodná rezervácia Rydošová</w:t>
            </w:r>
            <w:r w:rsidR="003A1BA9">
              <w:t xml:space="preserve"> </w:t>
            </w:r>
          </w:p>
        </w:tc>
      </w:tr>
      <w:tr w:rsidR="003501A1" w:rsidRPr="00A179AE" w14:paraId="09B944AF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61A4C8D4" w14:textId="77777777" w:rsidR="003501A1" w:rsidRPr="00A179AE" w:rsidRDefault="003501A1" w:rsidP="00B7172B">
            <w:pPr>
              <w:pStyle w:val="Odsekzoznamu"/>
              <w:spacing w:after="12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14:paraId="7E2FCD76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C0DECB" w14:textId="3A8F9CB3" w:rsidR="006A1708" w:rsidRPr="00A179AE" w:rsidRDefault="00536230" w:rsidP="00084E1D">
            <w:pPr>
              <w:spacing w:after="120"/>
            </w:pPr>
            <w:r>
              <w:t>Ministerstvo životného prostredia Slovenskej republiky</w:t>
            </w:r>
          </w:p>
        </w:tc>
      </w:tr>
      <w:tr w:rsidR="003501A1" w:rsidRPr="00A179AE" w14:paraId="526ACBD2" w14:textId="77777777" w:rsidTr="003A1BA9">
        <w:trPr>
          <w:gridAfter w:val="1"/>
          <w:wAfter w:w="29" w:type="dxa"/>
        </w:trPr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0AEA1F28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52B9FB9A" w14:textId="3F01E5DC" w:rsidR="003501A1" w:rsidRPr="00A179AE" w:rsidRDefault="00084E1D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61405" w14:textId="77777777"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14:paraId="0839A309" w14:textId="77777777" w:rsidTr="003A1BA9">
        <w:trPr>
          <w:gridAfter w:val="1"/>
          <w:wAfter w:w="29" w:type="dxa"/>
        </w:trPr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661A267B" w14:textId="77777777"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14432BCE" w14:textId="1113B652" w:rsidR="003501A1" w:rsidRPr="00A179AE" w:rsidRDefault="00084E1D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FF43F9F" w14:textId="77777777"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14:paraId="329C9767" w14:textId="77777777" w:rsidTr="003A1BA9">
        <w:trPr>
          <w:gridAfter w:val="1"/>
          <w:wAfter w:w="29" w:type="dxa"/>
        </w:trPr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263055E1" w14:textId="77777777"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275B68C3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8CEDA60" w14:textId="77777777"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14:paraId="254DEFEE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3C690E14" w14:textId="77777777" w:rsidR="003501A1" w:rsidRPr="00B7172B" w:rsidRDefault="003501A1" w:rsidP="00B7172B">
            <w:pPr>
              <w:spacing w:after="120"/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</w:tc>
      </w:tr>
      <w:tr w:rsidR="003501A1" w:rsidRPr="00A179AE" w14:paraId="31F1A1CD" w14:textId="77777777" w:rsidTr="00A00AD9">
        <w:trPr>
          <w:gridAfter w:val="1"/>
          <w:wAfter w:w="29" w:type="dxa"/>
        </w:trPr>
        <w:tc>
          <w:tcPr>
            <w:tcW w:w="594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9FA4F0F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C4DF" w14:textId="1907FD55" w:rsidR="003501A1" w:rsidRDefault="000B2A8A" w:rsidP="000B2A8A">
            <w:pPr>
              <w:tabs>
                <w:tab w:val="left" w:pos="1029"/>
              </w:tabs>
            </w:pPr>
            <w:r>
              <w:t xml:space="preserve">Začiatok: </w:t>
            </w:r>
            <w:r w:rsidR="00A00AD9">
              <w:t>-</w:t>
            </w:r>
          </w:p>
          <w:p w14:paraId="6F08715B" w14:textId="0906F53E" w:rsidR="000B2A8A" w:rsidRPr="000B2A8A" w:rsidRDefault="000B2A8A" w:rsidP="00084E1D">
            <w:pPr>
              <w:tabs>
                <w:tab w:val="left" w:pos="1029"/>
              </w:tabs>
            </w:pPr>
            <w:r>
              <w:t>Ukončenie:</w:t>
            </w:r>
            <w:r w:rsidR="00A00AD9">
              <w:t xml:space="preserve"> -</w:t>
            </w:r>
          </w:p>
        </w:tc>
      </w:tr>
      <w:tr w:rsidR="003501A1" w:rsidRPr="00A179AE" w14:paraId="6CD7618E" w14:textId="77777777" w:rsidTr="00A00AD9">
        <w:trPr>
          <w:gridAfter w:val="1"/>
          <w:wAfter w:w="29" w:type="dxa"/>
          <w:trHeight w:val="396"/>
        </w:trPr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DD90520" w14:textId="77777777" w:rsidR="003501A1" w:rsidRPr="00A179AE" w:rsidRDefault="003501A1" w:rsidP="003A1BA9">
            <w:pPr>
              <w:pStyle w:val="Odsekzoznamu"/>
              <w:spacing w:after="12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5353" w14:textId="4010155B" w:rsidR="003501A1" w:rsidRPr="000B2A8A" w:rsidRDefault="00084E1D" w:rsidP="007B71A4">
            <w:r>
              <w:t>február 2020</w:t>
            </w:r>
          </w:p>
        </w:tc>
      </w:tr>
      <w:tr w:rsidR="003501A1" w:rsidRPr="00A179AE" w14:paraId="289A56CB" w14:textId="77777777" w:rsidTr="00A00AD9">
        <w:trPr>
          <w:gridAfter w:val="1"/>
          <w:wAfter w:w="29" w:type="dxa"/>
          <w:trHeight w:val="460"/>
        </w:trPr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DC66C97" w14:textId="77777777" w:rsidR="003501A1" w:rsidRPr="00A179AE" w:rsidRDefault="003501A1" w:rsidP="003A1BA9">
            <w:pPr>
              <w:pStyle w:val="Odsekzoznamu"/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94D3" w14:textId="695FEC1E" w:rsidR="003501A1" w:rsidRPr="000B2A8A" w:rsidRDefault="009370DC" w:rsidP="007B71A4">
            <w:r>
              <w:t>august</w:t>
            </w:r>
            <w:r w:rsidR="004321FA">
              <w:t xml:space="preserve"> 2020</w:t>
            </w:r>
          </w:p>
        </w:tc>
      </w:tr>
      <w:tr w:rsidR="003501A1" w:rsidRPr="00A179AE" w14:paraId="6024416D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00720D" w14:textId="77777777" w:rsidR="003501A1" w:rsidRPr="00A179AE" w:rsidRDefault="003501A1" w:rsidP="007B71A4"/>
        </w:tc>
      </w:tr>
      <w:tr w:rsidR="003501A1" w:rsidRPr="00A179AE" w14:paraId="09DDAE16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9EED13B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14:paraId="4B4232B4" w14:textId="77777777" w:rsidTr="003A1BA9">
        <w:trPr>
          <w:gridAfter w:val="1"/>
          <w:wAfter w:w="29" w:type="dxa"/>
          <w:trHeight w:val="718"/>
        </w:trPr>
        <w:tc>
          <w:tcPr>
            <w:tcW w:w="9180" w:type="dxa"/>
            <w:gridSpan w:val="11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C39D1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14:paraId="17FB4EAC" w14:textId="02E68BD8" w:rsidR="004321FA" w:rsidRDefault="004321FA" w:rsidP="003D1FBF">
            <w:pPr>
              <w:spacing w:after="120"/>
              <w:jc w:val="both"/>
            </w:pPr>
            <w:r>
              <w:t xml:space="preserve">Materiál sa predkladá v nadväznosti na uznesenie vlády Slovenskej republiky č. 508 zo 14. októbra 2019, ktorým bol schválený </w:t>
            </w:r>
            <w:r w:rsidR="003D1FBF">
              <w:t>Návrh na úpravu hraníc slovenských komponentov lokality svetového dedičstva UNESCO Staré bukové lesy a bukové pralesy Karpát a iných regiónov Európy</w:t>
            </w:r>
            <w:r w:rsidR="00997B3E">
              <w:t xml:space="preserve">; konkrétne </w:t>
            </w:r>
            <w:r w:rsidR="008E0C9E">
              <w:t>úlohu B.1</w:t>
            </w:r>
            <w:r w:rsidR="00997B3E">
              <w:t>: „</w:t>
            </w:r>
            <w:r w:rsidR="00997B3E" w:rsidRPr="00997B3E">
              <w:rPr>
                <w:i/>
              </w:rPr>
              <w:t>predložiť vláde SR projekty ochrany pre jednotlivé komponenty lokality UNESCO vrátane ich nárazníkových zón s cieľom zabezpečiť ich dostatočnú právnu ochranu</w:t>
            </w:r>
            <w:r w:rsidR="00997B3E">
              <w:rPr>
                <w:i/>
              </w:rPr>
              <w:t>“</w:t>
            </w:r>
            <w:r w:rsidR="006631DB">
              <w:t xml:space="preserve">. </w:t>
            </w:r>
          </w:p>
          <w:p w14:paraId="5E3CD230" w14:textId="146B8590" w:rsidR="009723AB" w:rsidRDefault="00FD0023" w:rsidP="003D1FBF">
            <w:pPr>
              <w:spacing w:after="120"/>
              <w:jc w:val="both"/>
            </w:pPr>
            <w:r>
              <w:t>Vzhľadom na prítomnosť zachovalých bukových lesov s charakterom pralesa bola lokalita Rydošová zahrnutá do nového návrhu hraníc lokality UNESCO Staré bukové lesy a bukové pralesy Karpát a iných regiónov Európy</w:t>
            </w:r>
            <w:r w:rsidR="001B3B4D">
              <w:t xml:space="preserve"> (ďalej len „lokalita UNESCO“)</w:t>
            </w:r>
            <w:r>
              <w:t>.</w:t>
            </w:r>
            <w:r w:rsidR="00837334">
              <w:t xml:space="preserve"> V území v súčasnosti platí 2. stupeň ochrany (väčšia časť územia, ktorá je súčasťou Chránenej krajinnej oblasti Východné Karpaty) </w:t>
            </w:r>
            <w:r w:rsidR="005A0C31">
              <w:t xml:space="preserve"> </w:t>
            </w:r>
            <w:r w:rsidR="00837334">
              <w:t>alebo 3. stupeň ochrany (menšia časť územia, ktorá je súčasťou Národného parku Poloniny)</w:t>
            </w:r>
            <w:r w:rsidR="009723AB">
              <w:t>, ktoré neposkytujú dostat</w:t>
            </w:r>
            <w:r w:rsidR="00104C7D">
              <w:t xml:space="preserve">očnú legislatívnu ochranu </w:t>
            </w:r>
            <w:r w:rsidR="00104C7D" w:rsidRPr="00104C7D">
              <w:t>prirodzených procesov a neobmedzeného vývoja rastlinných a živočíšnych spoločenstiev</w:t>
            </w:r>
            <w:r w:rsidR="00104C7D">
              <w:t xml:space="preserve"> v zmysle požiadaviek UNESCO.</w:t>
            </w:r>
          </w:p>
          <w:p w14:paraId="1EC01DC1" w14:textId="55431564" w:rsidR="003501A1" w:rsidRPr="005A5E1E" w:rsidRDefault="001B3B4D" w:rsidP="008949A7">
            <w:pPr>
              <w:spacing w:after="120"/>
              <w:jc w:val="both"/>
            </w:pPr>
            <w:r w:rsidRPr="000F0CA9">
              <w:t xml:space="preserve">Vymedzené územie je podľa § 22 zákona </w:t>
            </w:r>
            <w:r>
              <w:t xml:space="preserve">č. 543/2002 Z. z. o ochrane prírody a krajiny v znení neskorších predpisov (ďalej len „zákon č. 543/2002 Z. z.“) </w:t>
            </w:r>
            <w:r w:rsidRPr="000F0CA9">
              <w:t xml:space="preserve">zaradené do kategórie </w:t>
            </w:r>
            <w:r w:rsidRPr="006865AA">
              <w:t xml:space="preserve">prírodná rezervácia s navrhovaným </w:t>
            </w:r>
            <w:r w:rsidR="008949A7">
              <w:t xml:space="preserve">5. </w:t>
            </w:r>
            <w:r w:rsidRPr="006865AA">
              <w:t>a</w:t>
            </w:r>
            <w:r w:rsidR="008949A7">
              <w:t xml:space="preserve"> 4. </w:t>
            </w:r>
            <w:r w:rsidRPr="006865AA">
              <w:t>stupňom ochrany,</w:t>
            </w:r>
            <w:r w:rsidRPr="000F0CA9">
              <w:t xml:space="preserve"> ktoré sú vymedzené v rámci zóny A a B.</w:t>
            </w:r>
            <w:r w:rsidR="006631DB">
              <w:t xml:space="preserve"> Vyhlásením </w:t>
            </w:r>
            <w:r w:rsidR="00740A30">
              <w:t>PR</w:t>
            </w:r>
            <w:r w:rsidR="008E0C9E">
              <w:t xml:space="preserve"> Rydošová sa naplnia požiadavky</w:t>
            </w:r>
            <w:r w:rsidR="006631DB">
              <w:t xml:space="preserve"> V</w:t>
            </w:r>
            <w:r w:rsidR="008E0C9E">
              <w:t>ýboru svetového dedičstva na zabezpečenie adekvátnej právnej ochrany lokality UNESCO, ako aj potrebného manažmentového režimu, ktoré Výbor opakovane uložil Slovenskej republike vo svojich rozhodnutiach (viď</w:t>
            </w:r>
            <w:r w:rsidR="00420DEB">
              <w:t xml:space="preserve"> napr.</w:t>
            </w:r>
            <w:r w:rsidR="008E0C9E">
              <w:t xml:space="preserve"> WHC 42 COM 7B.7).</w:t>
            </w:r>
          </w:p>
        </w:tc>
      </w:tr>
      <w:tr w:rsidR="003501A1" w:rsidRPr="00A179AE" w14:paraId="2788BDAC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5A00911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14:paraId="18A803D9" w14:textId="77777777" w:rsidTr="003A1BA9">
        <w:trPr>
          <w:gridAfter w:val="1"/>
          <w:wAfter w:w="29" w:type="dxa"/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149EC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14:paraId="7AA61858" w14:textId="09989119" w:rsidR="00104C7D" w:rsidRDefault="001B3B4D" w:rsidP="002E25AE">
            <w:pPr>
              <w:spacing w:after="120"/>
              <w:jc w:val="both"/>
            </w:pPr>
            <w:r>
              <w:t>Účelom</w:t>
            </w:r>
            <w:r w:rsidR="008949A7">
              <w:t xml:space="preserve"> </w:t>
            </w:r>
            <w:r w:rsidR="00BD2920" w:rsidRPr="002E25AE">
              <w:t xml:space="preserve">predkladaného materiálu je </w:t>
            </w:r>
            <w:r w:rsidR="00600D75" w:rsidRPr="00600D75">
              <w:t xml:space="preserve">zabezpečenie ochrany prirodzených procesov a umožnenie </w:t>
            </w:r>
            <w:r w:rsidR="00B8421B">
              <w:t xml:space="preserve">prirodzeného </w:t>
            </w:r>
            <w:r w:rsidR="00600D75" w:rsidRPr="00600D75">
              <w:t xml:space="preserve"> vývoja prírodných spoločenstiev nachádzajúcich sa na tomto území</w:t>
            </w:r>
            <w:r w:rsidR="00600D75">
              <w:t xml:space="preserve">, a to </w:t>
            </w:r>
            <w:r w:rsidR="00104C7D">
              <w:t>prostredníctvom zabezpečenia adekvátnej legislatívnej</w:t>
            </w:r>
            <w:r w:rsidR="00104C7D" w:rsidRPr="00104C7D">
              <w:t xml:space="preserve"> ochrany </w:t>
            </w:r>
            <w:r w:rsidR="00104C7D">
              <w:t xml:space="preserve">tohto </w:t>
            </w:r>
            <w:r w:rsidR="00104C7D" w:rsidRPr="00104C7D">
              <w:t>územia medzinárodného významu</w:t>
            </w:r>
            <w:r w:rsidR="00104C7D">
              <w:t>.</w:t>
            </w:r>
          </w:p>
          <w:p w14:paraId="3AF9B52B" w14:textId="7CBA28F8" w:rsidR="00A67F28" w:rsidRPr="00A179AE" w:rsidRDefault="00C71D59" w:rsidP="00600D75">
            <w:pPr>
              <w:spacing w:after="120"/>
              <w:jc w:val="both"/>
            </w:pPr>
            <w:r w:rsidRPr="002E25AE">
              <w:t>S</w:t>
            </w:r>
            <w:r w:rsidR="00104C7D">
              <w:t>chválením</w:t>
            </w:r>
            <w:r w:rsidRPr="002E25AE">
              <w:t xml:space="preserve"> materiálu</w:t>
            </w:r>
            <w:r w:rsidR="00104C7D">
              <w:t xml:space="preserve"> dôjde k čiastkovému naplneniu úlohy B.1 uznesenia vlády Slovenskej republiky č. 508/2019. Zároveň </w:t>
            </w:r>
            <w:r w:rsidR="00600D75">
              <w:t>sa naplnia požiadavky Výboru svetového dedičstva na zabezpečenie adekvátnej právnej ochrany lokality UNESCO, ktoré Výbor opakovane deklaroval vo svojich rozhodnutiach, ako aj odporúčania spoločnej poradnej misie Centra svetového dedičstva a IUCN, ktorá sa konala priamo v slovenských komponentoch lokality UNESCO v októbri 2018 (odporúčania č. 4 a 5).</w:t>
            </w:r>
          </w:p>
        </w:tc>
      </w:tr>
      <w:tr w:rsidR="003501A1" w:rsidRPr="00A179AE" w14:paraId="5361E218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0A84B6A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14:paraId="0411E44C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BA296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14:paraId="0359A2FA" w14:textId="77777777" w:rsidR="003501A1" w:rsidRDefault="008F449A" w:rsidP="008F449A">
            <w:pPr>
              <w:jc w:val="both"/>
            </w:pPr>
            <w:r>
              <w:t xml:space="preserve">Lesy Slovenskej republiky, š. p., Ministerstvo pôdohospodárstva a rozvoja vidieka Slovenskej republiky, Štátna ochrana prírody Slovenskej republiky, </w:t>
            </w:r>
            <w:r w:rsidR="002E72BC" w:rsidRPr="002E25AE">
              <w:t>záujmové združenia</w:t>
            </w:r>
            <w:r w:rsidR="00550D88">
              <w:t>,</w:t>
            </w:r>
            <w:r w:rsidR="002E72BC" w:rsidRPr="002E25AE">
              <w:t xml:space="preserve"> </w:t>
            </w:r>
            <w:r w:rsidR="00A67F28" w:rsidRPr="002E25AE">
              <w:t>verejnosť.</w:t>
            </w:r>
            <w:r w:rsidR="002E72BC" w:rsidRPr="002E25AE">
              <w:t xml:space="preserve"> </w:t>
            </w:r>
          </w:p>
          <w:p w14:paraId="20CE0CEA" w14:textId="77777777" w:rsidR="00191BAB" w:rsidRDefault="00191BAB" w:rsidP="008F449A">
            <w:pPr>
              <w:jc w:val="both"/>
            </w:pPr>
          </w:p>
          <w:p w14:paraId="1BD23A69" w14:textId="77777777" w:rsidR="00191BAB" w:rsidRDefault="00191BAB" w:rsidP="008F449A">
            <w:pPr>
              <w:jc w:val="both"/>
            </w:pPr>
          </w:p>
          <w:p w14:paraId="3E094110" w14:textId="0CAAF515" w:rsidR="00191BAB" w:rsidRPr="002E25AE" w:rsidRDefault="00191BAB" w:rsidP="008F449A">
            <w:pPr>
              <w:jc w:val="both"/>
              <w:rPr>
                <w:i/>
              </w:rPr>
            </w:pPr>
          </w:p>
        </w:tc>
      </w:tr>
      <w:tr w:rsidR="003501A1" w:rsidRPr="00A179AE" w14:paraId="0B6947D9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D6FF726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Alternatívne riešenia</w:t>
            </w:r>
          </w:p>
        </w:tc>
      </w:tr>
      <w:tr w:rsidR="003501A1" w:rsidRPr="00A179AE" w14:paraId="2D3DB657" w14:textId="77777777" w:rsidTr="003A1BA9">
        <w:trPr>
          <w:gridAfter w:val="1"/>
          <w:wAfter w:w="29" w:type="dxa"/>
          <w:trHeight w:val="279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5F78B" w14:textId="77777777"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14:paraId="572673AD" w14:textId="7CDF075E" w:rsidR="00A67F28" w:rsidRPr="00A67F28" w:rsidRDefault="0004168C" w:rsidP="006D4269">
            <w:pPr>
              <w:jc w:val="both"/>
            </w:pPr>
            <w:r>
              <w:t xml:space="preserve">Alternatívne bol posudzovaný scenár 0 </w:t>
            </w:r>
            <w:r w:rsidR="003D415C">
              <w:t>–</w:t>
            </w:r>
            <w:r>
              <w:t xml:space="preserve"> </w:t>
            </w:r>
            <w:r w:rsidR="003D415C">
              <w:t>teda zachovanie súčasného stavu</w:t>
            </w:r>
            <w:r w:rsidR="00F967E1">
              <w:t>. V tomto prípade by pretrvávala situácia, v</w:t>
            </w:r>
            <w:r w:rsidR="008F449A">
              <w:t> </w:t>
            </w:r>
            <w:r w:rsidR="00F967E1">
              <w:t>ktorej</w:t>
            </w:r>
            <w:r w:rsidR="008F449A">
              <w:t xml:space="preserve"> sú</w:t>
            </w:r>
            <w:r w:rsidR="00F967E1">
              <w:t xml:space="preserve"> </w:t>
            </w:r>
            <w:r w:rsidR="008F449A">
              <w:t>súčasťou</w:t>
            </w:r>
            <w:r w:rsidR="00F967E1">
              <w:t xml:space="preserve"> lokality svetového dedičstva </w:t>
            </w:r>
            <w:r w:rsidR="008F449A">
              <w:t>aj územia, ktoré nemajú zabezpečenú</w:t>
            </w:r>
            <w:r w:rsidR="00F967E1">
              <w:t xml:space="preserve"> adekvátn</w:t>
            </w:r>
            <w:r w:rsidR="008F449A">
              <w:t xml:space="preserve">u právnu ochranu, čo </w:t>
            </w:r>
            <w:r w:rsidR="00A72BAC">
              <w:t xml:space="preserve">predstavuje potenciálnu hrozbu z hľadiska ochrany výnimočnej svetovej hodnoty (OUV) lokality. </w:t>
            </w:r>
            <w:r w:rsidR="00F967E1">
              <w:t xml:space="preserve">Na túto situáciu Slovensko opakovane upozornil Výbor svetového dedičstva so žiadosťou o nápravu (napr. v rozhodnutiach </w:t>
            </w:r>
            <w:r w:rsidR="00F967E1" w:rsidRPr="00B15D39">
              <w:t>39 COM 7B.19</w:t>
            </w:r>
            <w:r w:rsidR="00F967E1">
              <w:t xml:space="preserve">, </w:t>
            </w:r>
            <w:r w:rsidR="00F967E1" w:rsidRPr="00B15D39">
              <w:t>41 COM 7B.4</w:t>
            </w:r>
            <w:r w:rsidR="00F967E1">
              <w:t xml:space="preserve">, </w:t>
            </w:r>
            <w:r w:rsidR="00F967E1" w:rsidRPr="00B15D39">
              <w:t>42 COM 7B.71</w:t>
            </w:r>
            <w:r w:rsidR="00F967E1">
              <w:t xml:space="preserve">). V prípade, že by Slovensko túto situáciu neriešilo a Výbor svetového dedičstva by to vyhodnotil ako vážne ohrozenie </w:t>
            </w:r>
            <w:r w:rsidR="00A72BAC">
              <w:t>výnimočnej</w:t>
            </w:r>
            <w:r w:rsidR="00F967E1">
              <w:t xml:space="preserve"> svetovej hodnoty lokality, hrozilo by eventuálne zaradenie lokality (ako celku) na Zoznam svetového dedičstva v ohrození.</w:t>
            </w:r>
          </w:p>
          <w:p w14:paraId="79308810" w14:textId="77777777"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14:paraId="55E0D44F" w14:textId="77777777" w:rsidR="00A67F28" w:rsidRPr="003A1BA9" w:rsidRDefault="002E72BC" w:rsidP="003A1BA9">
            <w:pPr>
              <w:jc w:val="both"/>
              <w:rPr>
                <w:i/>
              </w:rPr>
            </w:pPr>
            <w:r>
              <w:t>-</w:t>
            </w:r>
          </w:p>
        </w:tc>
      </w:tr>
      <w:tr w:rsidR="003501A1" w:rsidRPr="00A179AE" w14:paraId="25211C9A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388E0B4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14:paraId="072DE470" w14:textId="77777777" w:rsidTr="003A1BA9">
        <w:trPr>
          <w:gridAfter w:val="1"/>
          <w:wAfter w:w="29" w:type="dxa"/>
        </w:trPr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53172A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AC6A38" w14:textId="77777777" w:rsidR="003501A1" w:rsidRPr="00A179AE" w:rsidRDefault="00500E58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</w:t>
            </w:r>
            <w:r w:rsidR="003501A1" w:rsidRPr="00993186">
              <w:t>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73B686" w14:textId="77777777" w:rsidR="003501A1" w:rsidRPr="00A179AE" w:rsidRDefault="00500E58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14:paraId="734E46CB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1412E" w14:textId="77777777" w:rsidR="003501A1" w:rsidRPr="005A5E1E" w:rsidRDefault="003501A1" w:rsidP="008F431E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  <w:r w:rsidR="005A5E1E">
              <w:rPr>
                <w:i/>
              </w:rPr>
              <w:t xml:space="preserve">     -</w:t>
            </w:r>
          </w:p>
        </w:tc>
      </w:tr>
      <w:tr w:rsidR="003501A1" w:rsidRPr="00A179AE" w14:paraId="74F3F3F0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CFEC5B8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14:paraId="7C80287D" w14:textId="77777777" w:rsidTr="003A1BA9">
        <w:trPr>
          <w:gridAfter w:val="1"/>
          <w:wAfter w:w="29" w:type="dxa"/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E2450F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14:paraId="5E4A75BF" w14:textId="77777777" w:rsidTr="003A1BA9">
        <w:trPr>
          <w:gridAfter w:val="1"/>
          <w:wAfter w:w="29" w:type="dxa"/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9E2DA8" w14:textId="77777777" w:rsidR="003501A1" w:rsidRPr="00A179AE" w:rsidRDefault="00B7172B" w:rsidP="00A67F28">
            <w:r>
              <w:t>-</w:t>
            </w:r>
          </w:p>
        </w:tc>
      </w:tr>
      <w:tr w:rsidR="003501A1" w:rsidRPr="00A179AE" w14:paraId="71B33E09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99419EB" w14:textId="77777777"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14:paraId="4E01193F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FCE2B" w14:textId="77777777"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14:paraId="6A74F480" w14:textId="77777777" w:rsidR="00A67F28" w:rsidRPr="00A67F28" w:rsidRDefault="006A1708" w:rsidP="00B7172B">
            <w:pPr>
              <w:jc w:val="both"/>
            </w:pPr>
            <w:r>
              <w:t>-</w:t>
            </w:r>
          </w:p>
          <w:p w14:paraId="23D4CB23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14:paraId="3581C220" w14:textId="77777777" w:rsidR="003501A1" w:rsidRPr="00A179AE" w:rsidRDefault="006A1708">
            <w:pPr>
              <w:rPr>
                <w:i/>
              </w:rPr>
            </w:pPr>
            <w:r>
              <w:t>-</w:t>
            </w:r>
          </w:p>
        </w:tc>
      </w:tr>
      <w:tr w:rsidR="003501A1" w:rsidRPr="00A179AE" w14:paraId="6F220C4C" w14:textId="77777777" w:rsidTr="003A1BA9">
        <w:trPr>
          <w:gridAfter w:val="1"/>
          <w:wAfter w:w="29" w:type="dxa"/>
          <w:trHeight w:val="852"/>
        </w:trPr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3254A4" w14:textId="77777777" w:rsidR="00D13B6F" w:rsidRDefault="00D13B6F" w:rsidP="00B7172B"/>
          <w:p w14:paraId="74E5C761" w14:textId="77777777"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14:paraId="2E1ED019" w14:textId="77777777" w:rsidR="003501A1" w:rsidRPr="00A179AE" w:rsidRDefault="00F62771" w:rsidP="00B7172B">
            <w:pPr>
              <w:spacing w:after="120"/>
            </w:pPr>
            <w:r>
              <w:t>*</w:t>
            </w:r>
            <w:r w:rsidR="00F22831">
              <w:t>* nepovinné</w:t>
            </w:r>
          </w:p>
        </w:tc>
      </w:tr>
      <w:tr w:rsidR="003501A1" w:rsidRPr="00A179AE" w14:paraId="66DEE7EF" w14:textId="77777777" w:rsidTr="003A1BA9">
        <w:trPr>
          <w:gridAfter w:val="1"/>
          <w:wAfter w:w="29" w:type="dxa"/>
          <w:trHeight w:val="577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083EA8D0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14:paraId="3C8C1B12" w14:textId="77777777" w:rsidTr="00A00AD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074BAC2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92D4C69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9513B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10E0C4A" w14:textId="3D3D3055" w:rsidR="003501A1" w:rsidRPr="00A179AE" w:rsidRDefault="00A00AD9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A5424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87ABA3A" w14:textId="50131F73" w:rsidR="003501A1" w:rsidRPr="00A179AE" w:rsidRDefault="00A00AD9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7120C" w14:textId="77777777"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6345F982" w14:textId="77777777" w:rsidTr="00A00AD9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65F74AAB" w14:textId="77777777"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AF866C0" w14:textId="20839127" w:rsidR="003501A1" w:rsidRPr="00A179AE" w:rsidRDefault="005149C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AAB6C" w14:textId="77777777"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0DEEF48" w14:textId="77777777" w:rsidR="003501A1" w:rsidRPr="00A179AE" w:rsidRDefault="00FB73C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E549A" w14:textId="77777777"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65081AC" w14:textId="77777777"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B6247" w14:textId="77777777"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14:paraId="061430AD" w14:textId="77777777" w:rsidTr="00A00AD9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E81E784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89B6D06" w14:textId="441644DF" w:rsidR="003501A1" w:rsidRPr="00A179AE" w:rsidRDefault="005149C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25040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CBD959E" w14:textId="2BADD5E2" w:rsidR="003501A1" w:rsidRPr="00A179AE" w:rsidRDefault="005149C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1BDAB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97618EB" w14:textId="42EEC167" w:rsidR="003501A1" w:rsidRPr="00A179AE" w:rsidRDefault="005149C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6DA5E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238639D6" w14:textId="77777777" w:rsidTr="00A00AD9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4F9C1F4F" w14:textId="77777777"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3369F7F6" w14:textId="4E90153E" w:rsidR="003501A1" w:rsidRPr="00A179AE" w:rsidRDefault="005149C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A5F2E" w14:textId="77777777"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D020DC6" w14:textId="707D5ADE" w:rsidR="003501A1" w:rsidRPr="00A179AE" w:rsidRDefault="0066529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74943" w14:textId="77777777"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8224B21" w14:textId="385DC1FD" w:rsidR="003501A1" w:rsidRPr="00A179AE" w:rsidRDefault="005149C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92F3F" w14:textId="77777777"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14:paraId="3B453321" w14:textId="77777777" w:rsidTr="00A00AD9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F659830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78C5449" w14:textId="6E2FB627" w:rsidR="003501A1" w:rsidRPr="00A179AE" w:rsidRDefault="00A00AD9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A4F42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E0F6F8B" w14:textId="28DF0C0D" w:rsidR="003501A1" w:rsidRPr="00A179AE" w:rsidRDefault="0066529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6F5CC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48065D4" w14:textId="7A10B957" w:rsidR="003501A1" w:rsidRPr="00A179AE" w:rsidRDefault="0066529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F643B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4B8915D0" w14:textId="77777777" w:rsidTr="00A00AD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8C75107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17C63CB" w14:textId="038A7C3D" w:rsidR="003501A1" w:rsidRPr="00A179AE" w:rsidRDefault="00845D5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D2BF3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05BF4E1" w14:textId="10EFDAD0" w:rsidR="003501A1" w:rsidRPr="00A179AE" w:rsidRDefault="00845D5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E08EB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5390D85" w14:textId="3B4A405D" w:rsidR="003501A1" w:rsidRPr="00A179AE" w:rsidRDefault="006346B4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869A1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1BD457EE" w14:textId="77777777" w:rsidTr="00A00AD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5169B9C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F5CA1B7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4AE7E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196D66A" w14:textId="77777777" w:rsidR="003501A1" w:rsidRPr="00A179AE" w:rsidRDefault="00A67F2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C74A7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D0403D6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3E210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14:paraId="4DF2691A" w14:textId="77777777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C3E1051" w14:textId="77777777"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04B883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273F33" w14:textId="77777777"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B0578D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1B95C3" w14:textId="77777777"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4D3601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1D87DF" w14:textId="77777777"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14:paraId="288445C4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7B6E448" w14:textId="77777777"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6E609630" w14:textId="77777777" w:rsidR="001A1559" w:rsidRPr="00A179AE" w:rsidRDefault="006A1708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EAF32" w14:textId="77777777"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343B91A" w14:textId="77777777" w:rsidR="001A1559" w:rsidRPr="00A179AE" w:rsidRDefault="006A1708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0ED2A" w14:textId="77777777"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237527A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63F394" w14:textId="77777777"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14:paraId="320A52AB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575313D" w14:textId="77777777"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BEEE47A" w14:textId="77777777" w:rsidR="001A1559" w:rsidRPr="00A179AE" w:rsidRDefault="006A1708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BFE4C8" w14:textId="77777777"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AB87293" w14:textId="77777777" w:rsidR="001A1559" w:rsidRPr="00A179AE" w:rsidRDefault="006A1708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10216E" w14:textId="77777777"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2DF635C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9791" w14:textId="77777777"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F967E1" w:rsidRPr="009634B3" w14:paraId="7CC9F98E" w14:textId="77777777" w:rsidTr="00F967E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106159A" w14:textId="77777777" w:rsidR="00F967E1" w:rsidRDefault="00F967E1" w:rsidP="00FB087A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2D311B">
              <w:rPr>
                <w:rFonts w:eastAsia="Calibri"/>
                <w:b/>
                <w:lang w:eastAsia="en-US"/>
              </w:rPr>
              <w:t>Vplyvy na manželstvo, rodičovstvo a rodinu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7767D3" w14:textId="77777777" w:rsidR="00F967E1" w:rsidRPr="002D311B" w:rsidRDefault="00F967E1" w:rsidP="00FB087A">
            <w:pPr>
              <w:jc w:val="center"/>
              <w:rPr>
                <w:b/>
              </w:rPr>
            </w:pPr>
            <w:r w:rsidRPr="00F967E1">
              <w:rPr>
                <w:rFonts w:ascii="MS Gothic" w:eastAsia="MS Gothic" w:hAnsi="MS Gothic" w:cs="MS Gothic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D6C9F1" w14:textId="77777777" w:rsidR="00F967E1" w:rsidRPr="002D311B" w:rsidRDefault="00F967E1" w:rsidP="00FB087A">
            <w:pPr>
              <w:ind w:right="-108"/>
              <w:rPr>
                <w:b/>
              </w:rPr>
            </w:pPr>
            <w:r w:rsidRPr="002D311B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0DF68B" w14:textId="77777777" w:rsidR="00F967E1" w:rsidRPr="002D311B" w:rsidRDefault="00F967E1" w:rsidP="00FB087A">
            <w:pPr>
              <w:jc w:val="center"/>
              <w:rPr>
                <w:b/>
              </w:rPr>
            </w:pPr>
            <w:r w:rsidRPr="00F967E1">
              <w:rPr>
                <w:rFonts w:ascii="MS Gothic" w:eastAsia="MS Gothic" w:hAnsi="MS Gothic" w:cs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B82417" w14:textId="77777777" w:rsidR="00F967E1" w:rsidRPr="002D311B" w:rsidRDefault="00F967E1" w:rsidP="00FB087A">
            <w:pPr>
              <w:rPr>
                <w:b/>
              </w:rPr>
            </w:pPr>
            <w:r w:rsidRPr="002D311B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4D47EB" w14:textId="77777777" w:rsidR="00F967E1" w:rsidRPr="002D311B" w:rsidRDefault="00F967E1" w:rsidP="00FB087A">
            <w:pPr>
              <w:jc w:val="center"/>
              <w:rPr>
                <w:b/>
              </w:rPr>
            </w:pPr>
            <w:r w:rsidRPr="00F967E1">
              <w:rPr>
                <w:rFonts w:ascii="MS Gothic" w:eastAsia="MS Gothic" w:hAnsi="MS Gothic" w:cs="MS Gothic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D9BC" w14:textId="77777777" w:rsidR="00F967E1" w:rsidRPr="002D311B" w:rsidRDefault="00F967E1" w:rsidP="00FB087A">
            <w:pPr>
              <w:ind w:left="54"/>
              <w:rPr>
                <w:b/>
              </w:rPr>
            </w:pPr>
            <w:r w:rsidRPr="002D311B">
              <w:rPr>
                <w:b/>
              </w:rPr>
              <w:t>Negatívne</w:t>
            </w:r>
          </w:p>
        </w:tc>
      </w:tr>
    </w:tbl>
    <w:p w14:paraId="51123E6A" w14:textId="77777777"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14:paraId="1B87EB1E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3F14F9C" w14:textId="77777777"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14:paraId="0ED230AC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8539066" w14:textId="77777777" w:rsidR="006A1708" w:rsidRDefault="004F6F1F" w:rsidP="006A1708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14:paraId="7DA01B87" w14:textId="024CFABD" w:rsidR="00C247C2" w:rsidRDefault="00214B63" w:rsidP="00C247C2">
            <w:pPr>
              <w:spacing w:after="120"/>
              <w:jc w:val="both"/>
            </w:pPr>
            <w:r w:rsidRPr="00214B63">
              <w:t xml:space="preserve">Materiál je predkladaný </w:t>
            </w:r>
            <w:r w:rsidR="002E25AE" w:rsidRPr="00F007FF">
              <w:t>v</w:t>
            </w:r>
            <w:r w:rsidR="00A72BAC">
              <w:t> priamej nadväznosti na uznesenie vlády Slovenskej republiky č. 508/2019 a</w:t>
            </w:r>
            <w:r w:rsidR="00C247C2">
              <w:t> čiastočne napĺňa úlohu B.1 tohto uznesenia.</w:t>
            </w:r>
          </w:p>
          <w:p w14:paraId="534F8996" w14:textId="365EBED8" w:rsidR="00787305" w:rsidRDefault="00C247C2" w:rsidP="00C247C2">
            <w:pPr>
              <w:spacing w:after="120"/>
              <w:jc w:val="both"/>
            </w:pPr>
            <w:r>
              <w:t>Nakoľko vplyvy</w:t>
            </w:r>
            <w:r w:rsidR="004022AF">
              <w:t xml:space="preserve"> </w:t>
            </w:r>
            <w:r w:rsidR="00475447">
              <w:t xml:space="preserve">úpravy hraníc lokality UNESCO, vrátane vyhlásenia nových prírodných rezervácií, </w:t>
            </w:r>
            <w:r w:rsidR="004022AF">
              <w:t>už boli analyzované v</w:t>
            </w:r>
            <w:r w:rsidR="00475447">
              <w:t xml:space="preserve"> materiáli </w:t>
            </w:r>
            <w:r w:rsidR="004022AF" w:rsidRPr="004022AF">
              <w:t>Návrh na úpravu hraníc slovenských komponentov lokality svetového dedičstva UNESCO Staré bukové lesy a bukové pralesy Karpát a iných regiónov Európy</w:t>
            </w:r>
            <w:r w:rsidR="004022AF">
              <w:t xml:space="preserve"> </w:t>
            </w:r>
            <w:r w:rsidR="001B3B4D">
              <w:t>(ďalej len „vládou schválený materiál“)</w:t>
            </w:r>
            <w:r w:rsidR="00475447">
              <w:t>, predkladaný materiál už opätovne neuvádza analýzu vybraných vplyvov, aby sa tak predišlo</w:t>
            </w:r>
            <w:r w:rsidR="00180BC1">
              <w:t xml:space="preserve"> ich</w:t>
            </w:r>
            <w:r w:rsidR="00475447">
              <w:t xml:space="preserve"> duplicitnej identifikácii.</w:t>
            </w:r>
            <w:r w:rsidR="00740A30">
              <w:t xml:space="preserve"> Čiastkové vplyvy</w:t>
            </w:r>
            <w:r w:rsidR="002A2F80">
              <w:t xml:space="preserve"> odvodené z predošlých analýz</w:t>
            </w:r>
            <w:r w:rsidR="00740A30">
              <w:t xml:space="preserve"> </w:t>
            </w:r>
            <w:r w:rsidR="002A2F80">
              <w:t>však pre úplnosť informácií uvádzame nižšie.</w:t>
            </w:r>
          </w:p>
          <w:p w14:paraId="551A62C1" w14:textId="1679431F" w:rsidR="00BB2E84" w:rsidRDefault="00787305" w:rsidP="00E315C2">
            <w:pPr>
              <w:spacing w:after="120"/>
              <w:jc w:val="both"/>
            </w:pPr>
            <w:r>
              <w:lastRenderedPageBreak/>
              <w:t xml:space="preserve">Navrhovaná </w:t>
            </w:r>
            <w:r w:rsidR="00740A30">
              <w:t>PR</w:t>
            </w:r>
            <w:r w:rsidR="00784AC3">
              <w:t xml:space="preserve"> Rydošová zahŕňa iba pozemky v štátnom vlastníctve, v správe štátneho podniku Lesy SR, š. p. Celkový odhadovaný vplyv úpravy hraníc lokality UNESCO na Lesy SR, š. p. bol analyzovaný v</w:t>
            </w:r>
            <w:r w:rsidR="001B3B4D">
              <w:t>o vládou schválen</w:t>
            </w:r>
            <w:r w:rsidR="00784AC3">
              <w:t>om materiáli v analýze vplyvov na podnikateľské prostredie.</w:t>
            </w:r>
            <w:r w:rsidR="00B3046E">
              <w:t xml:space="preserve"> Z celkového </w:t>
            </w:r>
            <w:r w:rsidR="00BB2E84">
              <w:t>vplyvu boli</w:t>
            </w:r>
            <w:r w:rsidR="00B3046E">
              <w:t xml:space="preserve"> v prípade </w:t>
            </w:r>
            <w:r w:rsidR="00740A30">
              <w:t>PR</w:t>
            </w:r>
            <w:r w:rsidR="00B3046E">
              <w:t xml:space="preserve"> Rydošová</w:t>
            </w:r>
            <w:r w:rsidR="0066529A">
              <w:t xml:space="preserve"> vyčíslená odhadovaná čiastková finančná</w:t>
            </w:r>
            <w:r w:rsidR="00BB2E84">
              <w:t xml:space="preserve"> </w:t>
            </w:r>
            <w:r w:rsidR="0066529A">
              <w:t>strata</w:t>
            </w:r>
            <w:r w:rsidR="00BB2E84">
              <w:t xml:space="preserve"> pre Lesy SR, š. p., Odštepný závod Vranov nad Topľou, v celkovej výške 42 300 eur</w:t>
            </w:r>
            <w:r w:rsidR="002A2F80">
              <w:t xml:space="preserve"> za decénium, t. j. 10 rokov</w:t>
            </w:r>
            <w:r w:rsidR="00BB2E84">
              <w:t xml:space="preserve"> (strata z nedosiahnutej produkcie).</w:t>
            </w:r>
            <w:r w:rsidR="00E315C2">
              <w:t xml:space="preserve"> Celkové </w:t>
            </w:r>
            <w:r w:rsidR="006346B4">
              <w:t>negatívne</w:t>
            </w:r>
            <w:r w:rsidR="00E315C2">
              <w:t xml:space="preserve"> vplyvy na rozpočet verejnej správy sú pokryté v rozpočte kapitoly MŽP SR</w:t>
            </w:r>
            <w:r w:rsidR="006346B4">
              <w:t xml:space="preserve"> a nepredstavujú zvýšenie výdavkov na rozpočet verejnej správy.</w:t>
            </w:r>
          </w:p>
          <w:p w14:paraId="7B800D00" w14:textId="4510C877" w:rsidR="00787305" w:rsidRDefault="00540C4B" w:rsidP="00C247C2">
            <w:pPr>
              <w:spacing w:after="120"/>
              <w:jc w:val="both"/>
            </w:pPr>
            <w:r>
              <w:t>Podobne</w:t>
            </w:r>
            <w:r w:rsidR="00740A30">
              <w:t xml:space="preserve"> boli v</w:t>
            </w:r>
            <w:r w:rsidR="008949A7">
              <w:t>o vládou schválen</w:t>
            </w:r>
            <w:r w:rsidR="00740A30">
              <w:t xml:space="preserve">om materiáli identifikované celkové predpokladané sociálne vplyvy. V prípade navrhovanej PR Rydošová sa nepredpokladá zánik pracovných miest, v dôsledku zmeny manažmentu </w:t>
            </w:r>
            <w:r w:rsidR="002A2F80">
              <w:t xml:space="preserve">však </w:t>
            </w:r>
            <w:r w:rsidR="00740A30">
              <w:t>môže dôjsť k</w:t>
            </w:r>
            <w:r>
              <w:t xml:space="preserve"> </w:t>
            </w:r>
            <w:r w:rsidR="00740A30">
              <w:t>zníženiu</w:t>
            </w:r>
            <w:r w:rsidR="002A2F80">
              <w:t xml:space="preserve"> pracovných príležitostí nasledovne:</w:t>
            </w:r>
            <w:r w:rsidR="00740A30" w:rsidRPr="00740A30">
              <w:t xml:space="preserve"> pre dvoch pracovníkov v ťažbe dreva na 4 mesiace, t. j. v rámci decénia (10 rokov) maximálne 12 dní. Pri odvoze dreva jedným pracovníkom - vodičom odvoznej súpravy by sa znížil objem odvozu o cc</w:t>
            </w:r>
            <w:r w:rsidR="002A2F80">
              <w:t xml:space="preserve">a 56 jázd t. j. v rámci decénia, teda </w:t>
            </w:r>
            <w:r w:rsidR="00740A30" w:rsidRPr="00740A30">
              <w:t>ročne max</w:t>
            </w:r>
            <w:r w:rsidR="002A2F80">
              <w:t>.</w:t>
            </w:r>
            <w:r w:rsidR="00740A30" w:rsidRPr="00740A30">
              <w:t xml:space="preserve"> 6 jázd. V pestovnej činnosti by ob</w:t>
            </w:r>
            <w:r w:rsidR="002A2F80">
              <w:t>medzenie pracovných príležitostí za</w:t>
            </w:r>
            <w:r w:rsidR="00740A30" w:rsidRPr="00740A30">
              <w:t xml:space="preserve"> decéniu</w:t>
            </w:r>
            <w:r w:rsidR="002A2F80">
              <w:t>m</w:t>
            </w:r>
            <w:r w:rsidR="00740A30" w:rsidRPr="00740A30">
              <w:t xml:space="preserve"> pri uhadzovaní predstavovalo cca 10 dní</w:t>
            </w:r>
            <w:r w:rsidR="002A2F80">
              <w:t>,</w:t>
            </w:r>
            <w:r w:rsidR="00740A30" w:rsidRPr="00740A30">
              <w:t xml:space="preserve"> t. j. 1 deň za rok v decéniu.</w:t>
            </w:r>
          </w:p>
          <w:p w14:paraId="48D7833A" w14:textId="5225B21A" w:rsidR="009600B7" w:rsidRPr="00214B63" w:rsidRDefault="00E704FB" w:rsidP="008949A7">
            <w:pPr>
              <w:spacing w:after="120"/>
              <w:jc w:val="both"/>
            </w:pPr>
            <w:r>
              <w:t xml:space="preserve">Vyhlásenie PR Rydošová </w:t>
            </w:r>
            <w:r w:rsidR="00C7069D">
              <w:t>naplní predpokladaný pozitívny vplyv na životné prostredie podľa</w:t>
            </w:r>
            <w:r>
              <w:t xml:space="preserve"> celkov</w:t>
            </w:r>
            <w:r w:rsidR="00C7069D">
              <w:t>ého</w:t>
            </w:r>
            <w:r>
              <w:t xml:space="preserve"> návrh</w:t>
            </w:r>
            <w:r w:rsidR="00C7069D">
              <w:t>u</w:t>
            </w:r>
            <w:r>
              <w:t xml:space="preserve"> na úpravu hraníc slovenských komponentov lokality UNESCO. Dôjde k</w:t>
            </w:r>
            <w:r w:rsidRPr="00600D75">
              <w:t xml:space="preserve"> </w:t>
            </w:r>
            <w:r>
              <w:t>zabezpečeniu</w:t>
            </w:r>
            <w:r w:rsidRPr="00600D75">
              <w:t xml:space="preserve"> ochrany p</w:t>
            </w:r>
            <w:r>
              <w:t>rirodzených procesov a umožneniu</w:t>
            </w:r>
            <w:r w:rsidRPr="00600D75">
              <w:t xml:space="preserve"> nerušeného vývoja prírodných spoločenstiev nachádzajúcich sa na tomto území</w:t>
            </w:r>
            <w:r>
              <w:t xml:space="preserve"> – predovšetkým </w:t>
            </w:r>
            <w:r w:rsidRPr="00E704FB">
              <w:t>sta</w:t>
            </w:r>
            <w:r>
              <w:t>rých bukových lesov a pralesov,</w:t>
            </w:r>
            <w:r w:rsidRPr="00E704FB">
              <w:t xml:space="preserve"> ako aj širokého spektra ekologických javov a procesov, ktoré sú viazané na tieto lesné spoločenstvá s dominanciou buka lesného (</w:t>
            </w:r>
            <w:r w:rsidRPr="00E704FB">
              <w:rPr>
                <w:i/>
              </w:rPr>
              <w:t>Fagus sylvatica</w:t>
            </w:r>
            <w:r w:rsidRPr="00E704FB">
              <w:t>)</w:t>
            </w:r>
            <w:r>
              <w:t>.</w:t>
            </w:r>
            <w:r w:rsidR="00C7069D">
              <w:t xml:space="preserve"> Vyhlásenie PR Rydošová nebude mať nový pozitívny vplyv na životné prostredie.</w:t>
            </w:r>
          </w:p>
        </w:tc>
      </w:tr>
      <w:tr w:rsidR="003501A1" w:rsidRPr="00A179AE" w14:paraId="51E0AE46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0A1FFD7" w14:textId="77777777" w:rsidR="003501A1" w:rsidRPr="00DE633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E6334">
              <w:rPr>
                <w:rFonts w:ascii="Times New Roman" w:hAnsi="Times New Roman" w:cs="Times New Roman"/>
                <w:b/>
              </w:rPr>
              <w:lastRenderedPageBreak/>
              <w:t>Kontakt na spracovateľa</w:t>
            </w:r>
          </w:p>
        </w:tc>
      </w:tr>
      <w:tr w:rsidR="003501A1" w:rsidRPr="00A179AE" w14:paraId="52DBF248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AA519" w14:textId="77777777" w:rsidR="000B0B69" w:rsidRPr="00DE6334" w:rsidRDefault="00D13B6F" w:rsidP="00255C5D">
            <w:pPr>
              <w:jc w:val="both"/>
              <w:rPr>
                <w:i/>
              </w:rPr>
            </w:pPr>
            <w:r w:rsidRPr="00DE6334">
              <w:rPr>
                <w:i/>
              </w:rPr>
              <w:t>Uveďte údaje na kontaktnú osobu, ktorú je možné kontaktovať v súvislosti s posúdením vybraných vplyvov</w:t>
            </w:r>
          </w:p>
          <w:p w14:paraId="68EC789C" w14:textId="2CB4D271" w:rsidR="003501A1" w:rsidRPr="00DE6334" w:rsidRDefault="000B0B69" w:rsidP="00255C5D">
            <w:pPr>
              <w:spacing w:after="360"/>
              <w:jc w:val="both"/>
            </w:pPr>
            <w:r w:rsidRPr="00DE6334">
              <w:t xml:space="preserve">Mgr. Simona </w:t>
            </w:r>
            <w:r w:rsidR="009370DC">
              <w:t>Kourtesis</w:t>
            </w:r>
            <w:r w:rsidR="00641F81" w:rsidRPr="00DE6334">
              <w:t xml:space="preserve">, </w:t>
            </w:r>
            <w:r w:rsidR="005B5D5B" w:rsidRPr="00DE6334">
              <w:t xml:space="preserve">sekcia ochrany prírody, biodiverzity a krajiny Ministerstva životného prostredia </w:t>
            </w:r>
            <w:r w:rsidR="00641F81" w:rsidRPr="00DE6334">
              <w:t>SR</w:t>
            </w:r>
            <w:r w:rsidR="002E72BC" w:rsidRPr="00DE6334">
              <w:t xml:space="preserve"> </w:t>
            </w:r>
            <w:r w:rsidR="00641F81" w:rsidRPr="00DE6334">
              <w:t xml:space="preserve">kontakt: </w:t>
            </w:r>
            <w:hyperlink r:id="rId11" w:history="1">
              <w:r w:rsidR="009370DC">
                <w:rPr>
                  <w:rStyle w:val="Hypertextovprepojenie"/>
                </w:rPr>
                <w:t>simona.kourtesis</w:t>
              </w:r>
              <w:r w:rsidR="00D2312B" w:rsidRPr="00DE6334">
                <w:rPr>
                  <w:rStyle w:val="Hypertextovprepojenie"/>
                </w:rPr>
                <w:t>@enviro.gov.sk</w:t>
              </w:r>
            </w:hyperlink>
            <w:r w:rsidR="002E72BC" w:rsidRPr="00DE6334">
              <w:t xml:space="preserve">, tel. č. 02/5956 </w:t>
            </w:r>
            <w:r w:rsidR="00D2312B" w:rsidRPr="00DE6334">
              <w:t>2558</w:t>
            </w:r>
            <w:r w:rsidR="00DE6334">
              <w:t>.</w:t>
            </w:r>
          </w:p>
        </w:tc>
      </w:tr>
      <w:tr w:rsidR="003501A1" w:rsidRPr="00A179AE" w14:paraId="7233EE5E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AEA866D" w14:textId="77777777" w:rsidR="003501A1" w:rsidRPr="00A179AE" w:rsidRDefault="003501A1" w:rsidP="00255C5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14:paraId="0BC2951B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D6CB1" w14:textId="77777777" w:rsidR="003501A1" w:rsidRDefault="003501A1" w:rsidP="00255C5D">
            <w:pPr>
              <w:spacing w:after="120"/>
              <w:jc w:val="both"/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14:paraId="4D4C8622" w14:textId="5545FB92" w:rsidR="00CF5D2D" w:rsidRPr="00B7172B" w:rsidRDefault="00CF5D2D" w:rsidP="00664201">
            <w:pPr>
              <w:spacing w:after="120"/>
              <w:jc w:val="both"/>
              <w:rPr>
                <w:i/>
              </w:rPr>
            </w:pPr>
            <w:r w:rsidRPr="002B6508">
              <w:t xml:space="preserve">Interné materiály </w:t>
            </w:r>
            <w:r>
              <w:t xml:space="preserve">a analýzy </w:t>
            </w:r>
            <w:r w:rsidRPr="002B6508">
              <w:t>Ministerstva životného prostredia S</w:t>
            </w:r>
            <w:r w:rsidR="00664201">
              <w:t>lovenskej republiky</w:t>
            </w:r>
            <w:r w:rsidRPr="002B6508">
              <w:t xml:space="preserve"> a Štátnej ochrany prírody S</w:t>
            </w:r>
            <w:r w:rsidR="00664201">
              <w:t>lovenskej republiky</w:t>
            </w:r>
            <w:r>
              <w:t>, interné usmernenia k zonácii a manažmentu v rámci cezhraničnej lokality UNESCO</w:t>
            </w:r>
            <w:r w:rsidR="00DE6334">
              <w:t>.</w:t>
            </w:r>
          </w:p>
        </w:tc>
      </w:tr>
      <w:tr w:rsidR="003501A1" w:rsidRPr="00A179AE" w14:paraId="7AC24886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2DEDC9D" w14:textId="7978CDCE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</w:t>
            </w:r>
            <w:r w:rsidR="00CF5D2D">
              <w:rPr>
                <w:rFonts w:ascii="Times New Roman" w:hAnsi="Times New Roman" w:cs="Times New Roman"/>
                <w:b/>
              </w:rPr>
              <w:t> </w:t>
            </w:r>
            <w:r w:rsidRPr="00A179AE">
              <w:rPr>
                <w:rFonts w:ascii="Times New Roman" w:hAnsi="Times New Roman" w:cs="Times New Roman"/>
                <w:b/>
              </w:rPr>
              <w:t>PPK</w:t>
            </w:r>
          </w:p>
        </w:tc>
      </w:tr>
      <w:tr w:rsidR="003501A1" w:rsidRPr="00A179AE" w14:paraId="6A504B17" w14:textId="77777777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5468D" w14:textId="6A8A2F40" w:rsidR="00F05641" w:rsidRPr="00A72BAC" w:rsidRDefault="003501A1" w:rsidP="00A72BAC">
            <w:pPr>
              <w:spacing w:after="120"/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</w:tc>
      </w:tr>
    </w:tbl>
    <w:p w14:paraId="255D9037" w14:textId="77777777" w:rsidR="003501A1" w:rsidRDefault="003501A1" w:rsidP="003A1BA9">
      <w:pPr>
        <w:rPr>
          <w:b/>
        </w:rPr>
      </w:pPr>
    </w:p>
    <w:sectPr w:rsidR="003501A1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02136" w14:textId="77777777" w:rsidR="00500E58" w:rsidRDefault="00500E58" w:rsidP="003501A1">
      <w:r>
        <w:separator/>
      </w:r>
    </w:p>
  </w:endnote>
  <w:endnote w:type="continuationSeparator" w:id="0">
    <w:p w14:paraId="02676DAB" w14:textId="77777777" w:rsidR="00500E58" w:rsidRDefault="00500E58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15175" w14:textId="77777777" w:rsidR="00500E58" w:rsidRDefault="00500E58" w:rsidP="003501A1">
      <w:r>
        <w:separator/>
      </w:r>
    </w:p>
  </w:footnote>
  <w:footnote w:type="continuationSeparator" w:id="0">
    <w:p w14:paraId="72F99E9A" w14:textId="77777777" w:rsidR="00500E58" w:rsidRDefault="00500E58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17187"/>
    <w:rsid w:val="00036A60"/>
    <w:rsid w:val="0004168C"/>
    <w:rsid w:val="00084E1D"/>
    <w:rsid w:val="000A1E34"/>
    <w:rsid w:val="000A31DA"/>
    <w:rsid w:val="000B0B69"/>
    <w:rsid w:val="000B2A8A"/>
    <w:rsid w:val="000B4106"/>
    <w:rsid w:val="000C174F"/>
    <w:rsid w:val="000D40AB"/>
    <w:rsid w:val="00102592"/>
    <w:rsid w:val="00102B33"/>
    <w:rsid w:val="00104C7D"/>
    <w:rsid w:val="0011693A"/>
    <w:rsid w:val="00175FD8"/>
    <w:rsid w:val="00180BC1"/>
    <w:rsid w:val="001819AF"/>
    <w:rsid w:val="0018649D"/>
    <w:rsid w:val="00191BAB"/>
    <w:rsid w:val="001923DC"/>
    <w:rsid w:val="001A1559"/>
    <w:rsid w:val="001A7EFE"/>
    <w:rsid w:val="001B3B4D"/>
    <w:rsid w:val="001C55B0"/>
    <w:rsid w:val="001F164D"/>
    <w:rsid w:val="0021476A"/>
    <w:rsid w:val="00214B63"/>
    <w:rsid w:val="002235FC"/>
    <w:rsid w:val="0023013C"/>
    <w:rsid w:val="00255C5D"/>
    <w:rsid w:val="002609D2"/>
    <w:rsid w:val="00284B72"/>
    <w:rsid w:val="002A2F80"/>
    <w:rsid w:val="002C2127"/>
    <w:rsid w:val="002C3004"/>
    <w:rsid w:val="002E25AE"/>
    <w:rsid w:val="002E72BC"/>
    <w:rsid w:val="00314911"/>
    <w:rsid w:val="00342DBE"/>
    <w:rsid w:val="003501A1"/>
    <w:rsid w:val="00352C0B"/>
    <w:rsid w:val="00384E9A"/>
    <w:rsid w:val="00395098"/>
    <w:rsid w:val="00395B1F"/>
    <w:rsid w:val="003A1BA9"/>
    <w:rsid w:val="003D1FBF"/>
    <w:rsid w:val="003D415C"/>
    <w:rsid w:val="003F7085"/>
    <w:rsid w:val="004022AF"/>
    <w:rsid w:val="00420DEB"/>
    <w:rsid w:val="004321FA"/>
    <w:rsid w:val="004357A1"/>
    <w:rsid w:val="0045465B"/>
    <w:rsid w:val="00475447"/>
    <w:rsid w:val="004931E8"/>
    <w:rsid w:val="00493508"/>
    <w:rsid w:val="004949B5"/>
    <w:rsid w:val="004A29C3"/>
    <w:rsid w:val="004C60B8"/>
    <w:rsid w:val="004C794A"/>
    <w:rsid w:val="004D2F79"/>
    <w:rsid w:val="004F6F1F"/>
    <w:rsid w:val="004F7D6F"/>
    <w:rsid w:val="00500E58"/>
    <w:rsid w:val="005149C7"/>
    <w:rsid w:val="00515C4B"/>
    <w:rsid w:val="00524259"/>
    <w:rsid w:val="005339ED"/>
    <w:rsid w:val="00536230"/>
    <w:rsid w:val="00540C4B"/>
    <w:rsid w:val="00550D88"/>
    <w:rsid w:val="00551D14"/>
    <w:rsid w:val="00570B48"/>
    <w:rsid w:val="005A0C31"/>
    <w:rsid w:val="005A5E1E"/>
    <w:rsid w:val="005B5D5B"/>
    <w:rsid w:val="005B7A8D"/>
    <w:rsid w:val="005E04A8"/>
    <w:rsid w:val="00600D75"/>
    <w:rsid w:val="0063147B"/>
    <w:rsid w:val="006346B4"/>
    <w:rsid w:val="00641F81"/>
    <w:rsid w:val="006563D2"/>
    <w:rsid w:val="006631DB"/>
    <w:rsid w:val="00664201"/>
    <w:rsid w:val="0066529A"/>
    <w:rsid w:val="0067355E"/>
    <w:rsid w:val="006778B0"/>
    <w:rsid w:val="00693238"/>
    <w:rsid w:val="006A1708"/>
    <w:rsid w:val="006C3B7D"/>
    <w:rsid w:val="006D4269"/>
    <w:rsid w:val="007038C0"/>
    <w:rsid w:val="0071596C"/>
    <w:rsid w:val="00725E6D"/>
    <w:rsid w:val="00740A30"/>
    <w:rsid w:val="0075203B"/>
    <w:rsid w:val="00776169"/>
    <w:rsid w:val="00784AC3"/>
    <w:rsid w:val="00787305"/>
    <w:rsid w:val="007A45CF"/>
    <w:rsid w:val="007A7C59"/>
    <w:rsid w:val="007B03A2"/>
    <w:rsid w:val="007C749C"/>
    <w:rsid w:val="00837334"/>
    <w:rsid w:val="00845D52"/>
    <w:rsid w:val="0085762A"/>
    <w:rsid w:val="008949A7"/>
    <w:rsid w:val="008D2546"/>
    <w:rsid w:val="008E0C9E"/>
    <w:rsid w:val="008E1627"/>
    <w:rsid w:val="008F1703"/>
    <w:rsid w:val="008F431E"/>
    <w:rsid w:val="008F449A"/>
    <w:rsid w:val="009370DC"/>
    <w:rsid w:val="009600B7"/>
    <w:rsid w:val="009723AB"/>
    <w:rsid w:val="00993186"/>
    <w:rsid w:val="00997B3E"/>
    <w:rsid w:val="009A4237"/>
    <w:rsid w:val="00A00AD9"/>
    <w:rsid w:val="00A2052E"/>
    <w:rsid w:val="00A42270"/>
    <w:rsid w:val="00A51722"/>
    <w:rsid w:val="00A62727"/>
    <w:rsid w:val="00A67F28"/>
    <w:rsid w:val="00A72BAC"/>
    <w:rsid w:val="00AA2C64"/>
    <w:rsid w:val="00AC2477"/>
    <w:rsid w:val="00AD0CD0"/>
    <w:rsid w:val="00AF7BB6"/>
    <w:rsid w:val="00B15858"/>
    <w:rsid w:val="00B3046E"/>
    <w:rsid w:val="00B65A86"/>
    <w:rsid w:val="00B7172B"/>
    <w:rsid w:val="00B75413"/>
    <w:rsid w:val="00B8421B"/>
    <w:rsid w:val="00B87713"/>
    <w:rsid w:val="00B90AB8"/>
    <w:rsid w:val="00BB2E84"/>
    <w:rsid w:val="00BC7A54"/>
    <w:rsid w:val="00BD2920"/>
    <w:rsid w:val="00BD5A4A"/>
    <w:rsid w:val="00C14A33"/>
    <w:rsid w:val="00C247C2"/>
    <w:rsid w:val="00C46C9E"/>
    <w:rsid w:val="00C63786"/>
    <w:rsid w:val="00C7069D"/>
    <w:rsid w:val="00C71D59"/>
    <w:rsid w:val="00CB3623"/>
    <w:rsid w:val="00CD6FE0"/>
    <w:rsid w:val="00CE668F"/>
    <w:rsid w:val="00CF5D2D"/>
    <w:rsid w:val="00D02F9C"/>
    <w:rsid w:val="00D13B6F"/>
    <w:rsid w:val="00D15F16"/>
    <w:rsid w:val="00D1786D"/>
    <w:rsid w:val="00D2312B"/>
    <w:rsid w:val="00D26C23"/>
    <w:rsid w:val="00D75D35"/>
    <w:rsid w:val="00D92598"/>
    <w:rsid w:val="00DB6A68"/>
    <w:rsid w:val="00DE2A12"/>
    <w:rsid w:val="00DE6334"/>
    <w:rsid w:val="00E03534"/>
    <w:rsid w:val="00E11500"/>
    <w:rsid w:val="00E11E40"/>
    <w:rsid w:val="00E315C2"/>
    <w:rsid w:val="00E704FB"/>
    <w:rsid w:val="00E802A5"/>
    <w:rsid w:val="00E95F02"/>
    <w:rsid w:val="00EA1978"/>
    <w:rsid w:val="00EA24F3"/>
    <w:rsid w:val="00EA63D9"/>
    <w:rsid w:val="00EB59E3"/>
    <w:rsid w:val="00EF466C"/>
    <w:rsid w:val="00F007FF"/>
    <w:rsid w:val="00F05641"/>
    <w:rsid w:val="00F05C6F"/>
    <w:rsid w:val="00F111FC"/>
    <w:rsid w:val="00F22831"/>
    <w:rsid w:val="00F23A5A"/>
    <w:rsid w:val="00F4182E"/>
    <w:rsid w:val="00F53667"/>
    <w:rsid w:val="00F603F6"/>
    <w:rsid w:val="00F62771"/>
    <w:rsid w:val="00F92046"/>
    <w:rsid w:val="00F94566"/>
    <w:rsid w:val="00F967E1"/>
    <w:rsid w:val="00FB73C7"/>
    <w:rsid w:val="00FC76B5"/>
    <w:rsid w:val="00FD0023"/>
    <w:rsid w:val="00FD2359"/>
    <w:rsid w:val="00FD49EC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9879"/>
  <w15:docId w15:val="{81B64370-FF36-47F1-9B3D-01F76025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B0B69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D15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mona.borarosova@enviro.gov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29F5-198C-453E-B7EF-CA3E5A636F5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E221B0-1D2E-49E8-B31C-B7D973CF4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71279DC-929F-4CC6-821A-8E2397A2EB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FAD8AC-CC1B-4AF1-90DD-6CA42C2A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1412</Words>
  <Characters>8055</Characters>
  <Application>Microsoft Office Word</Application>
  <DocSecurity>0</DocSecurity>
  <Lines>67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Kovačovicová Michaela</cp:lastModifiedBy>
  <cp:revision>9</cp:revision>
  <cp:lastPrinted>2020-01-21T06:49:00Z</cp:lastPrinted>
  <dcterms:created xsi:type="dcterms:W3CDTF">2020-02-07T09:03:00Z</dcterms:created>
  <dcterms:modified xsi:type="dcterms:W3CDTF">2020-08-10T06:46:00Z</dcterms:modified>
</cp:coreProperties>
</file>