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0D" w:rsidRPr="007270FB" w:rsidRDefault="00BE2399" w:rsidP="00B079CC">
      <w:pPr>
        <w:jc w:val="center"/>
        <w:rPr>
          <w:rFonts w:ascii="Times New Roman" w:hAnsi="Times New Roman" w:cs="Times New Roman"/>
          <w:b/>
          <w:bCs/>
          <w:caps/>
          <w:spacing w:val="30"/>
        </w:rPr>
      </w:pPr>
      <w:bookmarkStart w:id="0" w:name="_GoBack"/>
      <w:bookmarkEnd w:id="0"/>
      <w:r w:rsidRPr="007270FB">
        <w:rPr>
          <w:rFonts w:ascii="Times New Roman" w:hAnsi="Times New Roman" w:cs="Times New Roman"/>
          <w:b/>
          <w:bCs/>
          <w:caps/>
          <w:spacing w:val="30"/>
        </w:rPr>
        <w:t>Dôvodová správa</w:t>
      </w:r>
    </w:p>
    <w:p w:rsidR="00BE2399" w:rsidRDefault="00BE2399" w:rsidP="00B079CC">
      <w:pPr>
        <w:jc w:val="both"/>
        <w:rPr>
          <w:rFonts w:ascii="Times New Roman" w:hAnsi="Times New Roman" w:cs="Times New Roman"/>
        </w:rPr>
      </w:pPr>
    </w:p>
    <w:p w:rsidR="00BE2399" w:rsidRPr="007270FB" w:rsidRDefault="00BE2399" w:rsidP="00B079CC">
      <w:pPr>
        <w:pStyle w:val="Odsekzoznamu"/>
        <w:numPr>
          <w:ilvl w:val="0"/>
          <w:numId w:val="1"/>
        </w:numPr>
        <w:jc w:val="both"/>
        <w:rPr>
          <w:rFonts w:ascii="Times New Roman" w:hAnsi="Times New Roman" w:cs="Times New Roman"/>
          <w:b/>
          <w:bCs/>
        </w:rPr>
      </w:pPr>
      <w:r w:rsidRPr="007270FB">
        <w:rPr>
          <w:rFonts w:ascii="Times New Roman" w:hAnsi="Times New Roman" w:cs="Times New Roman"/>
          <w:b/>
          <w:bCs/>
        </w:rPr>
        <w:t>Všeobecná časť</w:t>
      </w:r>
    </w:p>
    <w:p w:rsidR="00BE2399" w:rsidRDefault="00BE2399" w:rsidP="00B079CC">
      <w:pPr>
        <w:jc w:val="both"/>
        <w:rPr>
          <w:rFonts w:ascii="Times New Roman" w:hAnsi="Times New Roman" w:cs="Times New Roman"/>
        </w:rPr>
      </w:pPr>
    </w:p>
    <w:p w:rsidR="00BE2399" w:rsidRDefault="007270FB" w:rsidP="00B079CC">
      <w:pPr>
        <w:ind w:firstLine="708"/>
        <w:jc w:val="both"/>
        <w:rPr>
          <w:rFonts w:ascii="Times New Roman" w:hAnsi="Times New Roman" w:cs="Times New Roman"/>
        </w:rPr>
      </w:pPr>
      <w:r>
        <w:rPr>
          <w:rFonts w:ascii="Times New Roman" w:hAnsi="Times New Roman" w:cs="Times New Roman"/>
        </w:rPr>
        <w:t xml:space="preserve">Návrh zákona, </w:t>
      </w:r>
      <w:r w:rsidR="00B079CC" w:rsidRPr="00B079CC">
        <w:rPr>
          <w:rFonts w:ascii="Times New Roman" w:hAnsi="Times New Roman" w:cs="Times New Roman"/>
        </w:rPr>
        <w:t>ktorým sa mení a dopĺňa zákon č. 300/2005 Z. z. Trestný zákon v znení neskorších predpisov a ktorým sa dopĺňa zákon č. 91/2016 Z. z. o trestnej zodpovednosti právnických osôb a o zmene a doplnení niektorých zákonov v znení neskorších predpisov</w:t>
      </w:r>
      <w:r>
        <w:rPr>
          <w:rFonts w:ascii="Times New Roman" w:hAnsi="Times New Roman" w:cs="Times New Roman"/>
        </w:rPr>
        <w:t xml:space="preserve"> (ďalej len „návrh zákona“) podáva</w:t>
      </w:r>
      <w:r w:rsidR="00706D76">
        <w:rPr>
          <w:rFonts w:ascii="Times New Roman" w:hAnsi="Times New Roman" w:cs="Times New Roman"/>
        </w:rPr>
        <w:t xml:space="preserve"> skupina poslancov Národnej rady Slovenskej republiky.</w:t>
      </w:r>
      <w:r>
        <w:rPr>
          <w:rFonts w:ascii="Times New Roman" w:hAnsi="Times New Roman" w:cs="Times New Roman"/>
        </w:rPr>
        <w:t xml:space="preserve"> </w:t>
      </w:r>
    </w:p>
    <w:p w:rsidR="007270FB" w:rsidRDefault="007270FB" w:rsidP="00B079CC">
      <w:pPr>
        <w:jc w:val="both"/>
        <w:rPr>
          <w:rFonts w:ascii="Times New Roman" w:hAnsi="Times New Roman" w:cs="Times New Roman"/>
        </w:rPr>
      </w:pPr>
    </w:p>
    <w:p w:rsidR="00FF096C" w:rsidRDefault="007270FB" w:rsidP="00B079CC">
      <w:pPr>
        <w:ind w:firstLine="708"/>
        <w:jc w:val="both"/>
        <w:rPr>
          <w:rFonts w:ascii="Times New Roman" w:hAnsi="Times New Roman" w:cs="Times New Roman"/>
        </w:rPr>
      </w:pPr>
      <w:r>
        <w:rPr>
          <w:rFonts w:ascii="Times New Roman" w:hAnsi="Times New Roman" w:cs="Times New Roman"/>
        </w:rPr>
        <w:t>Cieľom návrhu zákona je</w:t>
      </w:r>
      <w:r w:rsidR="00FF096C">
        <w:rPr>
          <w:rFonts w:ascii="Times New Roman" w:hAnsi="Times New Roman" w:cs="Times New Roman"/>
        </w:rPr>
        <w:t xml:space="preserve"> zmena systematického zaradenia trestných činov týrania zvierat a zanedbania starostlivosti o zviera, a to ich presunom medzi trestné činy proti životnému prostrediu, kam po správnosti vecne patria. Touto zmenou sa zároveň dosiahne stav, kedy skrátené vyšetrovanie o týchto trestných činoch budú vždy vykonávať vyšetrovatelia (konkrétne vyšetrovatelia o</w:t>
      </w:r>
      <w:r w:rsidR="00FF096C" w:rsidRPr="00FF096C">
        <w:rPr>
          <w:rFonts w:ascii="Times New Roman" w:hAnsi="Times New Roman" w:cs="Times New Roman"/>
        </w:rPr>
        <w:t>dboru environmentálnej kriminality P</w:t>
      </w:r>
      <w:r w:rsidR="00FF096C">
        <w:rPr>
          <w:rFonts w:ascii="Times New Roman" w:hAnsi="Times New Roman" w:cs="Times New Roman"/>
        </w:rPr>
        <w:t xml:space="preserve">olicajného zboru). Okrem tejto zmeny sa zároveň pri obsahovom vymedzení týchto dvoch trestných činoch vykonávajú niektoré zmeny, ktoré si vyžiadala aplikačná prax a ktoré sú bližšie popísané v osobitnej časti dôvodovej správy. Ďalšou nie menej významnou zmenou je aj zavedenie novej skutkovej podstaty trestného činu organizovania zápasov zvierat, ktorým sa reaguje na nový negatívny fenomén objavujúci sa v našej spoločnosti. </w:t>
      </w:r>
    </w:p>
    <w:p w:rsidR="008D7E9B" w:rsidRDefault="008D7E9B" w:rsidP="00B079CC">
      <w:pPr>
        <w:jc w:val="both"/>
        <w:rPr>
          <w:rFonts w:ascii="Times New Roman" w:hAnsi="Times New Roman" w:cs="Times New Roman"/>
        </w:rPr>
      </w:pPr>
    </w:p>
    <w:p w:rsidR="008D7E9B" w:rsidRDefault="008D7E9B" w:rsidP="00B079CC">
      <w:pPr>
        <w:ind w:firstLine="708"/>
        <w:jc w:val="both"/>
        <w:rPr>
          <w:rFonts w:ascii="Times New Roman" w:hAnsi="Times New Roman" w:cs="Times New Roman"/>
        </w:rPr>
      </w:pPr>
      <w:r>
        <w:rPr>
          <w:rFonts w:ascii="Times New Roman" w:hAnsi="Times New Roman" w:cs="Times New Roman"/>
        </w:rPr>
        <w:t xml:space="preserve">Na dosiahnutie vyššie uvedeného cieľa je potrebné vykonať novelizáciu dvoch zákonov, a to </w:t>
      </w:r>
      <w:r w:rsidR="00B079CC">
        <w:rPr>
          <w:rFonts w:ascii="Times New Roman" w:hAnsi="Times New Roman" w:cs="Times New Roman"/>
        </w:rPr>
        <w:t xml:space="preserve">Trestného zákona a zákona č. 91/2016 Z. z. </w:t>
      </w:r>
      <w:r w:rsidR="00B079CC" w:rsidRPr="00B079CC">
        <w:rPr>
          <w:rFonts w:ascii="Times New Roman" w:hAnsi="Times New Roman" w:cs="Times New Roman"/>
        </w:rPr>
        <w:t>o trestnej zodpovednosti právnických osôb a o zmene a doplnení niektorých zákonov v znení neskorších predpisov</w:t>
      </w:r>
      <w:r w:rsidR="00B079CC">
        <w:rPr>
          <w:rFonts w:ascii="Times New Roman" w:hAnsi="Times New Roman" w:cs="Times New Roman"/>
        </w:rPr>
        <w:t>.</w:t>
      </w:r>
    </w:p>
    <w:p w:rsidR="008D7E9B" w:rsidRDefault="008D7E9B" w:rsidP="00B079CC">
      <w:pPr>
        <w:jc w:val="both"/>
        <w:rPr>
          <w:rFonts w:ascii="Times New Roman" w:hAnsi="Times New Roman" w:cs="Times New Roman"/>
        </w:rPr>
      </w:pPr>
    </w:p>
    <w:p w:rsidR="007270FB" w:rsidRDefault="007270FB" w:rsidP="00B079CC">
      <w:pPr>
        <w:ind w:firstLine="708"/>
        <w:jc w:val="both"/>
        <w:rPr>
          <w:rFonts w:ascii="Times New Roman" w:hAnsi="Times New Roman" w:cs="Times New Roman"/>
        </w:rPr>
      </w:pPr>
      <w:r>
        <w:rPr>
          <w:rFonts w:ascii="Times New Roman" w:hAnsi="Times New Roman" w:cs="Times New Roman"/>
        </w:rPr>
        <w:t xml:space="preserve">Návrh zákona plne zodpovedá zámerom obsiahnutým v Programovom vyhlásení vlády Slovenskej republiky na roky 2020 – 2024 a je v sním v súlade, pričom ho zároveň napĺňa. </w:t>
      </w:r>
    </w:p>
    <w:p w:rsidR="007270FB" w:rsidRDefault="007270FB" w:rsidP="00B079CC">
      <w:pPr>
        <w:jc w:val="both"/>
        <w:rPr>
          <w:rFonts w:ascii="Times New Roman" w:hAnsi="Times New Roman" w:cs="Times New Roman"/>
        </w:rPr>
      </w:pPr>
    </w:p>
    <w:p w:rsidR="00706D76" w:rsidRDefault="00706D76" w:rsidP="00B079CC">
      <w:pPr>
        <w:ind w:firstLine="709"/>
        <w:jc w:val="both"/>
        <w:rPr>
          <w:rFonts w:ascii="Times New Roman" w:hAnsi="Times New Roman" w:cs="Times New Roman"/>
        </w:rPr>
      </w:pPr>
      <w:r w:rsidRPr="00706D76">
        <w:rPr>
          <w:rFonts w:ascii="Times New Roman" w:hAnsi="Times New Roman" w:cs="Times New Roman"/>
        </w:rPr>
        <w:t>Návrh z</w:t>
      </w:r>
      <w:r>
        <w:rPr>
          <w:rFonts w:ascii="Times New Roman" w:hAnsi="Times New Roman" w:cs="Times New Roman"/>
        </w:rPr>
        <w:t xml:space="preserve">ákona nemá </w:t>
      </w:r>
      <w:r w:rsidRPr="00706D76">
        <w:rPr>
          <w:rFonts w:ascii="Times New Roman" w:hAnsi="Times New Roman" w:cs="Times New Roman"/>
        </w:rPr>
        <w:t>vpl</w:t>
      </w:r>
      <w:r>
        <w:rPr>
          <w:rFonts w:ascii="Times New Roman" w:hAnsi="Times New Roman" w:cs="Times New Roman"/>
        </w:rPr>
        <w:t xml:space="preserve">yv na rozpočet verejnej správy, </w:t>
      </w:r>
      <w:r w:rsidRPr="00706D76">
        <w:rPr>
          <w:rFonts w:ascii="Times New Roman" w:hAnsi="Times New Roman" w:cs="Times New Roman"/>
        </w:rPr>
        <w:t>na podnikateľské prostredie</w:t>
      </w:r>
      <w:r>
        <w:rPr>
          <w:rFonts w:ascii="Times New Roman" w:hAnsi="Times New Roman" w:cs="Times New Roman"/>
        </w:rPr>
        <w:t xml:space="preserve">, </w:t>
      </w:r>
      <w:r w:rsidRPr="00706D76">
        <w:rPr>
          <w:rFonts w:ascii="Times New Roman" w:hAnsi="Times New Roman" w:cs="Times New Roman"/>
        </w:rPr>
        <w:t>na životné prostredie ani na informatizáciu spoločnosti a nevyvoláva žiadne sociálne vplyvy.</w:t>
      </w:r>
      <w:r w:rsidR="00CE738A">
        <w:rPr>
          <w:rFonts w:ascii="Times New Roman" w:hAnsi="Times New Roman" w:cs="Times New Roman"/>
        </w:rPr>
        <w:t xml:space="preserve"> Návrh zákona nebude mať vplyv na manželstvo, rodičovstvo a rodinu.</w:t>
      </w:r>
    </w:p>
    <w:p w:rsidR="00B079CC" w:rsidRDefault="00B079CC" w:rsidP="00B079CC">
      <w:pPr>
        <w:ind w:firstLine="709"/>
        <w:jc w:val="both"/>
        <w:rPr>
          <w:rFonts w:ascii="Times New Roman" w:hAnsi="Times New Roman" w:cs="Times New Roman"/>
        </w:rPr>
      </w:pPr>
    </w:p>
    <w:p w:rsidR="007270FB" w:rsidRDefault="00706D76" w:rsidP="00B079CC">
      <w:pPr>
        <w:ind w:firstLine="709"/>
        <w:jc w:val="both"/>
        <w:rPr>
          <w:rFonts w:ascii="Times New Roman" w:hAnsi="Times New Roman" w:cs="Times New Roman"/>
        </w:rPr>
      </w:pPr>
      <w:r w:rsidRPr="00706D76">
        <w:rPr>
          <w:rFonts w:ascii="Times New Roman" w:hAnsi="Times New Roman"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C5139" w:rsidRDefault="004C5139" w:rsidP="00B079CC">
      <w:pPr>
        <w:jc w:val="both"/>
        <w:rPr>
          <w:rFonts w:ascii="Times New Roman" w:hAnsi="Times New Roman" w:cs="Times New Roman"/>
          <w:b/>
          <w:bCs/>
        </w:rPr>
      </w:pPr>
    </w:p>
    <w:p w:rsidR="00B079CC" w:rsidRDefault="00B079CC">
      <w:pPr>
        <w:rPr>
          <w:rFonts w:ascii="Times New Roman" w:hAnsi="Times New Roman" w:cs="Times New Roman"/>
          <w:b/>
          <w:bCs/>
        </w:rPr>
      </w:pPr>
      <w:r>
        <w:rPr>
          <w:rFonts w:ascii="Times New Roman" w:hAnsi="Times New Roman" w:cs="Times New Roman"/>
          <w:b/>
          <w:bCs/>
        </w:rPr>
        <w:br w:type="page"/>
      </w:r>
    </w:p>
    <w:p w:rsidR="00BE2399" w:rsidRPr="00B079CC" w:rsidRDefault="00BE2399" w:rsidP="00B079CC">
      <w:pPr>
        <w:pStyle w:val="Odsekzoznamu"/>
        <w:numPr>
          <w:ilvl w:val="0"/>
          <w:numId w:val="1"/>
        </w:numPr>
        <w:rPr>
          <w:rFonts w:ascii="Times New Roman" w:eastAsia="Times New Roman" w:hAnsi="Times New Roman" w:cs="Times New Roman"/>
          <w:b/>
          <w:bCs/>
          <w:lang w:eastAsia="sk-SK"/>
        </w:rPr>
      </w:pPr>
      <w:r w:rsidRPr="00B079CC">
        <w:rPr>
          <w:rFonts w:ascii="Times New Roman" w:hAnsi="Times New Roman" w:cs="Times New Roman"/>
          <w:b/>
          <w:bCs/>
        </w:rPr>
        <w:lastRenderedPageBreak/>
        <w:t xml:space="preserve">Osobitná časť </w:t>
      </w:r>
    </w:p>
    <w:p w:rsidR="008D7E9B" w:rsidRDefault="008D7E9B" w:rsidP="00B079CC">
      <w:pPr>
        <w:jc w:val="both"/>
        <w:rPr>
          <w:rFonts w:ascii="Times New Roman" w:hAnsi="Times New Roman" w:cs="Times New Roman"/>
          <w:b/>
          <w:bCs/>
        </w:rPr>
      </w:pPr>
    </w:p>
    <w:p w:rsidR="008D7E9B" w:rsidRDefault="008D7E9B" w:rsidP="00B079CC">
      <w:pPr>
        <w:jc w:val="both"/>
        <w:rPr>
          <w:rFonts w:ascii="Times New Roman" w:hAnsi="Times New Roman" w:cs="Times New Roman"/>
        </w:rPr>
      </w:pPr>
      <w:r>
        <w:rPr>
          <w:rFonts w:ascii="Times New Roman" w:hAnsi="Times New Roman" w:cs="Times New Roman"/>
          <w:b/>
          <w:bCs/>
        </w:rPr>
        <w:t>K čl. I</w:t>
      </w:r>
    </w:p>
    <w:p w:rsidR="008D7E9B" w:rsidRDefault="008D7E9B" w:rsidP="00B079CC">
      <w:pPr>
        <w:jc w:val="both"/>
        <w:rPr>
          <w:rFonts w:ascii="Times New Roman" w:hAnsi="Times New Roman" w:cs="Times New Roman"/>
        </w:rPr>
      </w:pPr>
    </w:p>
    <w:p w:rsidR="002E1C8B" w:rsidRPr="002E1C8B" w:rsidRDefault="002E1C8B" w:rsidP="00B079CC">
      <w:pPr>
        <w:jc w:val="both"/>
        <w:rPr>
          <w:rFonts w:ascii="Times New Roman" w:hAnsi="Times New Roman" w:cs="Times New Roman"/>
          <w:u w:val="single"/>
        </w:rPr>
      </w:pPr>
      <w:r w:rsidRPr="002E1C8B">
        <w:rPr>
          <w:rFonts w:ascii="Times New Roman" w:hAnsi="Times New Roman" w:cs="Times New Roman"/>
          <w:u w:val="single"/>
        </w:rPr>
        <w:t>K bodu 1</w:t>
      </w:r>
    </w:p>
    <w:p w:rsidR="002E1C8B" w:rsidRDefault="002E1C8B" w:rsidP="00B079CC">
      <w:pPr>
        <w:jc w:val="both"/>
        <w:rPr>
          <w:rFonts w:ascii="Times New Roman" w:hAnsi="Times New Roman" w:cs="Times New Roman"/>
        </w:rPr>
      </w:pP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Navrhuje sa zmeniť zaradenie trestných činov § 378 a 378a, ktoré v súčasnosti spadajú pod trestné činy proti iným právam a slobodám (Ôsma hlava osobitnej časti Trestného zákona) a to tak, že sa presunú do druhého dielu Šiestej hlavy Trestného zákona pod trestné činy proti životnému prostrediu. Navrhovaná právna úprava reaguje na aktuálne požiadavky na úpravu nie len z hmotnoprávneho hľadiska (zvieratá - organizmy sa považujú podľa právnej náuky, Aarhuského dohovoru ako aj judikatúry Európskej únie za zložku životného prostredia), ale aj z pohľadu aplikačnej praxe (napr. etablované zaradenie agendy § 378 a §378a (násilia páchaného na zvieratách) v rámci SR spadá do pôsobnosti Odboru environmentálnej kriminality Prezídia PZ).</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305a</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Predkladateľ navrhuje prísnejší postih za konanie uvedené v základnej skutkovej podstate tohto trestného činu z dvoch rokov na šesť mesiacov až tri roky. Takáto zmena reflektuje trend dereifikácie („odvecovanie“), kedy skorší prístup k zvieratám ako k veciam sa mení na prístup k zvieratám ako k živým tvorom. Aplikačná prax totiž preukázala, že vo väčšine prípadov sa pri prvopáchateľoch konanie vymedzené pri trestnom čine týrania zvierat kvalifikuje len ako priestupok (s uložením pokuty), prípadne sa využíva inštitút podmienečného odkladu výkonu trestu odňatia slobody, čo absolútne neplní funkciu individuálnej a ani generálnej prevencie a nechráni spoločnosť pred páchaním tejto závažnej trestnej činnosti. Cieľom novej právnej úpravy trestného činu týrania zvierat je, aby poskytoval ochranu zvieratám v hierarchii chránených hodnôt výraznejšie ako napr. u ochrany majetku.</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Základná skutková podstata tohto trestného činu v odseku 1 sa doplnila o neposkytnutie potrebnej pomoci zvieraťu za presne uvedených okolností, keďže poznatky z aplikačnej praxe preukázali, že týrať zviera sa da aj „nekonaním“, v písmene c) odseku 1 ide teda o tzv. omisívny trestný čin. Trestný čin týrania zvierat sa ďalej doplnil o kvalifikovanú skutkovú podstatu s trestnou sadzbou tri rokov až osem rokov v prípade spôsobenia smrti zvieraťa konaním uvedeným v odseku 1.</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305b</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Návrh vyplýva z potrieb aplikačnej praxe, kde sa uvedená úprava ukázala ako nedostatočná. Cieľom súčasne platnej úpravy bolo reagovať na množiace sa prípady závažného zanedbania predovšetkým (stád) hospodárskych zvierat ako hovädzieho dobytka či koní. Taká úprava však nedokáže reagovať na veľký počet nedbanlivostných skutkov spáchaných na jednom zvierati (vo významnej miere hovädzí dobytok, kone) a to ani v prípadoch s fatálnym následkom v dôsledku hrubého zanedbania, ak nie je možné jednoznačne preukázať úmysel páchateľa (v zmysle zásady in dubio pro reo, t. j. pri pochybnostiach v prospech páchateľa). Z tohto dôvodu sa navrhuje, aby bolo možné postihovať páchateľa za trestný čin uvedený v § 305b odsek 1, ak sa ho dopustí čo i len na jednom zvierati (v zmysle súčasnej právnej úpravy šlo o zanedbanie starostlivosti o zvieratá, nie o zviera). Tiež sa predmetné ustanovenie dopĺňa o odsek 2, ide o kvalifikovanú skutkovú podstatu, ktorej znenie a tiež úprava trestných sadzieb boli vymedzené analogickým spôsobom ako u trestného činu týrania zvierat.</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lastRenderedPageBreak/>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305c</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Chov zvierat, predovšetkým psov na účely zápasov za účelom zisku, je nový fenomén a zárobková činnosť, ktorá je nelegálna nielen z dôvodu neexistencie príslušného podnikateľského oprávnenia, či krátenia daní, ale predovšetkým z dôvodu, že ide o aktivitu, ktorú už dnes zákon č. 39/2007 Z. z. o veterinárnej starostlivosti v znení neskorších predpisov zakazuje pod hrozbou pokuty (štvanie zvieraťa proti zvieraťu). Postih za prvé dva spomenuté delikty je však ťažko možné uložiť, pokiaľ nie je páchateľ pristihnutý pri čine, t. j. keď štve zviera proti zvieraťu a/alebo prijíma za túto aktivitu odplatu. Samotnému zápasu však predchádza a nasleduje množstvo úkonov, z ktorých by bolo možné jednoznačne vyvodiť závery potrebné na účely trestného či priestupkového konania. V priestupkovej rovine však súčasná úprava na tento účel z vyššie spomenutých dôvodov nepostačuje, pričom v trestnoprávnej rovine úprava úplne absentuje. Návrh preto reaguje na potreby aplikačnej praxe, ktorá si vyžiadala zaviesť trestnoprávnu úpravu organizovania zápasov zvierat, keďže jej absencia má za následok slabú postihnuteľnosť páchateľov organizujúcich a umožňujúcich toto mimoriadne kruté a surové “divadlo”, kde sa zvieratá za aktívneho pôsobenia človeka väčšinou navzájom zabijú trýznivým spôsobom za účelom nelegálneho zisku.</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Default="002E1C8B" w:rsidP="002E1C8B">
      <w:pPr>
        <w:ind w:firstLine="708"/>
        <w:jc w:val="both"/>
        <w:rPr>
          <w:rFonts w:ascii="Times New Roman" w:hAnsi="Times New Roman" w:cs="Times New Roman"/>
        </w:rPr>
      </w:pPr>
      <w:r w:rsidRPr="002E1C8B">
        <w:rPr>
          <w:rFonts w:ascii="Times New Roman" w:hAnsi="Times New Roman" w:cs="Times New Roman"/>
        </w:rPr>
        <w:t>Na základe uvedeného sa zavádza nový trestný čin organizovania zápasov zvierat, ktorého skutková podstata je rozsiahla, keďže vymenúva protiprávne konania ako sú štvanie zvierat, cvičenie zvieraťa na inom zvierati v rozpore so všeobecne záväznými právnymi predpismi na úseku veterinárnej starostlivosti (zákon č. 39/2007 Z. z. o veterinárnej starostlivosti v znení neskorších predpisov, resp. zákon č. 274/2009 Z. z. o poľovníctve a o zmene a doplnení niektorých zákonov v znení neskorších predpisov), chov, držanie, obchodovanie alebo iné nakladanie so zvieratami za účelom organizovania zápasov zvierat, pričom je trestná aj účasť na takomto zápase.</w:t>
      </w:r>
    </w:p>
    <w:p w:rsidR="002E1C8B" w:rsidRDefault="002E1C8B" w:rsidP="002E1C8B">
      <w:pPr>
        <w:ind w:firstLine="708"/>
        <w:jc w:val="both"/>
        <w:rPr>
          <w:rFonts w:ascii="Times New Roman" w:hAnsi="Times New Roman" w:cs="Times New Roman"/>
        </w:rPr>
      </w:pP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Odsek 2 je kvalifikovanou skutkovou podstatou, ktorého znenie a tiež úprava trestných sadzieb boli vymedzené analogickým spôsobom v nadväznosti na úpravu trestného činu týrania zvierat.</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u w:val="single"/>
        </w:rPr>
      </w:pPr>
      <w:r w:rsidRPr="002E1C8B">
        <w:rPr>
          <w:rFonts w:ascii="Times New Roman" w:hAnsi="Times New Roman" w:cs="Times New Roman"/>
          <w:u w:val="single"/>
        </w:rPr>
        <w:t>K bodu 2</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Legislatívno-technická úprava z dôvodu, že trestné činy podľa § 378 a 378a sa presúvajú z ôsmej hlavy do šiestej hlavy osobitnej časti Trestného zákona a nanovo sa označujú ako trestné činy podľa § 305a a 305b Trestného zákona.</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b/>
          <w:bCs/>
        </w:rPr>
      </w:pPr>
      <w:r w:rsidRPr="002E1C8B">
        <w:rPr>
          <w:rFonts w:ascii="Times New Roman" w:hAnsi="Times New Roman" w:cs="Times New Roman"/>
          <w:b/>
          <w:bCs/>
        </w:rPr>
        <w:t>K čl. II</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Default="002E1C8B" w:rsidP="002E1C8B">
      <w:pPr>
        <w:ind w:firstLine="708"/>
        <w:jc w:val="both"/>
        <w:rPr>
          <w:rFonts w:ascii="Times New Roman" w:hAnsi="Times New Roman" w:cs="Times New Roman"/>
        </w:rPr>
      </w:pPr>
      <w:r w:rsidRPr="002E1C8B">
        <w:rPr>
          <w:rFonts w:ascii="Times New Roman" w:hAnsi="Times New Roman" w:cs="Times New Roman"/>
        </w:rPr>
        <w:t>Dopĺňa sa taxatívny výpočet trestných činov, u ktorých dochádza k vzniku trestnej zodpovednosti právnickej osoby, ak sú spáchané právnickou osobou o trestné činy uvedené v § 305a až 305c z dôvodu, že častými páchateľmi trestných činov v oblasti týrania zvierat sú častokrát právnické osoby.</w:t>
      </w:r>
    </w:p>
    <w:p w:rsidR="002E1C8B" w:rsidRDefault="002E1C8B" w:rsidP="00B079CC">
      <w:pPr>
        <w:jc w:val="both"/>
        <w:rPr>
          <w:rFonts w:ascii="Times New Roman" w:hAnsi="Times New Roman" w:cs="Times New Roman"/>
        </w:rPr>
      </w:pPr>
    </w:p>
    <w:p w:rsidR="009425C3" w:rsidRDefault="008D7E9B" w:rsidP="00B079CC">
      <w:pPr>
        <w:jc w:val="both"/>
        <w:rPr>
          <w:rFonts w:ascii="Times New Roman" w:hAnsi="Times New Roman" w:cs="Times New Roman"/>
          <w:b/>
          <w:bCs/>
        </w:rPr>
      </w:pPr>
      <w:r w:rsidRPr="009425C3">
        <w:rPr>
          <w:rFonts w:ascii="Times New Roman" w:hAnsi="Times New Roman" w:cs="Times New Roman"/>
          <w:b/>
          <w:bCs/>
        </w:rPr>
        <w:t>K čl. II</w:t>
      </w:r>
      <w:r w:rsidR="007C2246">
        <w:rPr>
          <w:rFonts w:ascii="Times New Roman" w:hAnsi="Times New Roman" w:cs="Times New Roman"/>
          <w:b/>
          <w:bCs/>
        </w:rPr>
        <w:t>I</w:t>
      </w:r>
    </w:p>
    <w:p w:rsidR="009425C3" w:rsidRDefault="009425C3" w:rsidP="00B079CC">
      <w:pPr>
        <w:jc w:val="both"/>
        <w:rPr>
          <w:rFonts w:ascii="Times New Roman" w:hAnsi="Times New Roman" w:cs="Times New Roman"/>
        </w:rPr>
      </w:pPr>
    </w:p>
    <w:p w:rsidR="002E1C8B" w:rsidRDefault="002E1C8B" w:rsidP="002E1C8B">
      <w:pPr>
        <w:ind w:firstLine="708"/>
        <w:jc w:val="both"/>
        <w:rPr>
          <w:rFonts w:ascii="Times New Roman" w:hAnsi="Times New Roman" w:cs="Times New Roman"/>
        </w:rPr>
      </w:pPr>
      <w:r>
        <w:rPr>
          <w:rFonts w:ascii="Times New Roman" w:hAnsi="Times New Roman" w:cs="Times New Roman"/>
        </w:rPr>
        <w:t>Navrhuje sa, aby zákon nadobudol účinnosť 1. novembra 2020, čo zodpovedá ako predpokladanej dĺžke legislatívneho procesu, tak aj požadovanej legisvakancii zákona.</w:t>
      </w:r>
    </w:p>
    <w:p w:rsidR="002E1C8B" w:rsidRDefault="002E1C8B">
      <w:pPr>
        <w:rPr>
          <w:rFonts w:ascii="Times New Roman" w:hAnsi="Times New Roman" w:cs="Times New Roman"/>
          <w:b/>
          <w:bCs/>
          <w:caps/>
          <w:spacing w:val="30"/>
        </w:rPr>
      </w:pPr>
      <w:r>
        <w:rPr>
          <w:rFonts w:ascii="Times New Roman" w:hAnsi="Times New Roman" w:cs="Times New Roman"/>
          <w:b/>
          <w:bCs/>
          <w:caps/>
          <w:spacing w:val="30"/>
        </w:rPr>
        <w:br w:type="page"/>
      </w:r>
    </w:p>
    <w:p w:rsidR="009C1F0D" w:rsidRPr="00241ABA" w:rsidRDefault="009C1F0D" w:rsidP="009C1F0D">
      <w:pPr>
        <w:jc w:val="center"/>
        <w:rPr>
          <w:rFonts w:ascii="Times New Roman" w:hAnsi="Times New Roman"/>
          <w:lang w:eastAsia="sk-SK"/>
        </w:rPr>
      </w:pPr>
      <w:r w:rsidRPr="00241ABA">
        <w:rPr>
          <w:rFonts w:ascii="Times New Roman" w:hAnsi="Times New Roman"/>
          <w:b/>
          <w:caps/>
          <w:spacing w:val="30"/>
          <w:lang w:eastAsia="sk-SK"/>
        </w:rPr>
        <w:lastRenderedPageBreak/>
        <w:t>Doložka zlučiteľnosti</w:t>
      </w:r>
    </w:p>
    <w:p w:rsidR="009C1F0D" w:rsidRPr="00241ABA" w:rsidRDefault="009C1F0D" w:rsidP="009C1F0D">
      <w:pPr>
        <w:jc w:val="center"/>
        <w:rPr>
          <w:rFonts w:ascii="Times New Roman" w:hAnsi="Times New Roman"/>
          <w:b/>
          <w:lang w:eastAsia="sk-SK"/>
        </w:rPr>
      </w:pPr>
      <w:r w:rsidRPr="00241ABA">
        <w:rPr>
          <w:rFonts w:ascii="Times New Roman" w:hAnsi="Times New Roman"/>
          <w:b/>
          <w:lang w:eastAsia="sk-SK"/>
        </w:rPr>
        <w:t>návrhu zákona s právom Európskej únie</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 xml:space="preserve">Predkladateľ návrhu zákona: </w:t>
      </w:r>
      <w:r>
        <w:rPr>
          <w:rFonts w:ascii="Times New Roman" w:hAnsi="Times New Roman"/>
          <w:lang w:eastAsia="sk-SK"/>
        </w:rPr>
        <w:t xml:space="preserve">skupina poslancov Národnej rady Slovenskej republiky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lang w:eastAsia="sk-SK"/>
        </w:rPr>
      </w:pPr>
      <w:r w:rsidRPr="00241ABA">
        <w:rPr>
          <w:rFonts w:ascii="Times New Roman" w:hAnsi="Times New Roman"/>
          <w:b/>
          <w:lang w:eastAsia="sk-SK"/>
        </w:rPr>
        <w:t xml:space="preserve">Názov návrhu zákona: </w:t>
      </w:r>
      <w:r w:rsidRPr="007A0A09">
        <w:rPr>
          <w:rFonts w:ascii="Times New Roman" w:hAnsi="Times New Roman"/>
          <w:lang w:eastAsia="sk-SK"/>
        </w:rPr>
        <w:t xml:space="preserve">návrh zákona, </w:t>
      </w:r>
      <w:r w:rsidRPr="00D273A8">
        <w:rPr>
          <w:rFonts w:ascii="Times New Roman" w:hAnsi="Times New Roman"/>
          <w:lang w:eastAsia="sk-SK"/>
        </w:rPr>
        <w:t>ktorým sa mení a dopĺňa zákon č. 300/2005 Z. z. Trestný zákon v znení neskorších predpisov a ktorým sa dopĺňa zákon č. 91/2016 Z. z. o trestnej zodpovednosti právnických osôb a o zmene a doplnení niektorých zákonov v znení neskorších predpisov</w:t>
      </w:r>
    </w:p>
    <w:p w:rsidR="009C1F0D" w:rsidRPr="00241ABA" w:rsidRDefault="009C1F0D" w:rsidP="009C1F0D">
      <w:pPr>
        <w:ind w:left="720"/>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 xml:space="preserve">Problematika návrhu zákona: </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numPr>
          <w:ilvl w:val="0"/>
          <w:numId w:val="8"/>
        </w:numPr>
        <w:jc w:val="both"/>
        <w:rPr>
          <w:rFonts w:ascii="Times New Roman" w:hAnsi="Times New Roman"/>
          <w:lang w:eastAsia="sk-SK"/>
        </w:rPr>
      </w:pPr>
      <w:r w:rsidRPr="00241ABA">
        <w:rPr>
          <w:rFonts w:ascii="Times New Roman" w:hAnsi="Times New Roman"/>
          <w:lang w:eastAsia="sk-SK"/>
        </w:rPr>
        <w:t>je upravená v práve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12"/>
        </w:numPr>
        <w:jc w:val="both"/>
        <w:rPr>
          <w:rFonts w:ascii="Times New Roman" w:hAnsi="Times New Roman"/>
          <w:i/>
          <w:lang w:eastAsia="sk-SK"/>
        </w:rPr>
      </w:pPr>
      <w:r w:rsidRPr="00241ABA">
        <w:rPr>
          <w:rFonts w:ascii="Times New Roman" w:hAnsi="Times New Roman"/>
          <w:i/>
          <w:lang w:eastAsia="sk-SK"/>
        </w:rPr>
        <w:t xml:space="preserve">v primárnom </w:t>
      </w:r>
    </w:p>
    <w:p w:rsidR="009C1F0D" w:rsidRPr="00241ABA" w:rsidRDefault="009C1F0D" w:rsidP="009C1F0D">
      <w:pPr>
        <w:jc w:val="both"/>
        <w:rPr>
          <w:rFonts w:ascii="Times New Roman" w:hAnsi="Times New Roman"/>
          <w:lang w:eastAsia="sk-SK"/>
        </w:rPr>
      </w:pPr>
    </w:p>
    <w:p w:rsidR="009C1F0D" w:rsidRDefault="009C1F0D" w:rsidP="009C1F0D">
      <w:pPr>
        <w:ind w:left="1416"/>
        <w:jc w:val="both"/>
        <w:rPr>
          <w:rFonts w:ascii="Times New Roman" w:hAnsi="Times New Roman"/>
          <w:lang w:eastAsia="sk-SK"/>
        </w:rPr>
      </w:pPr>
      <w:r w:rsidRPr="00241ABA">
        <w:rPr>
          <w:rFonts w:ascii="Times New Roman" w:hAnsi="Times New Roman"/>
          <w:lang w:eastAsia="sk-SK"/>
        </w:rPr>
        <w:t xml:space="preserve">čl. </w:t>
      </w:r>
      <w:r w:rsidRPr="007A0A09">
        <w:rPr>
          <w:rFonts w:ascii="Times New Roman" w:hAnsi="Times New Roman"/>
          <w:lang w:eastAsia="sk-SK"/>
        </w:rPr>
        <w:t>82 ods. 2 písm. b)</w:t>
      </w:r>
      <w:r w:rsidRPr="00241ABA">
        <w:rPr>
          <w:rFonts w:ascii="Times New Roman" w:hAnsi="Times New Roman"/>
          <w:lang w:eastAsia="sk-SK"/>
        </w:rPr>
        <w:t xml:space="preserve"> Zmluvy o fungovaní Európskej únie</w:t>
      </w:r>
      <w:r>
        <w:rPr>
          <w:rFonts w:ascii="Times New Roman" w:hAnsi="Times New Roman"/>
          <w:lang w:eastAsia="sk-SK"/>
        </w:rPr>
        <w:t xml:space="preserve"> (smernica 2016/800 a smernica 2016/1919)</w:t>
      </w:r>
    </w:p>
    <w:p w:rsidR="009C1F0D" w:rsidRDefault="009C1F0D" w:rsidP="009C1F0D">
      <w:pPr>
        <w:ind w:left="1416"/>
        <w:jc w:val="both"/>
        <w:rPr>
          <w:rFonts w:ascii="Times New Roman" w:hAnsi="Times New Roman"/>
          <w:lang w:eastAsia="sk-SK"/>
        </w:rPr>
      </w:pPr>
    </w:p>
    <w:p w:rsidR="009C1F0D" w:rsidRPr="00241ABA" w:rsidRDefault="009C1F0D" w:rsidP="009C1F0D">
      <w:pPr>
        <w:ind w:left="1416"/>
        <w:jc w:val="both"/>
        <w:rPr>
          <w:rFonts w:ascii="Times New Roman" w:hAnsi="Times New Roman"/>
          <w:lang w:eastAsia="sk-SK"/>
        </w:rPr>
      </w:pPr>
      <w:r>
        <w:rPr>
          <w:rFonts w:ascii="Times New Roman" w:hAnsi="Times New Roman"/>
          <w:lang w:eastAsia="sk-SK"/>
        </w:rPr>
        <w:t xml:space="preserve">čl. 83 ods. 1 </w:t>
      </w:r>
      <w:r w:rsidRPr="00241ABA">
        <w:rPr>
          <w:rFonts w:ascii="Times New Roman" w:hAnsi="Times New Roman"/>
          <w:lang w:eastAsia="sk-SK"/>
        </w:rPr>
        <w:t>Zmluvy o</w:t>
      </w:r>
      <w:r>
        <w:rPr>
          <w:rFonts w:ascii="Times New Roman" w:hAnsi="Times New Roman"/>
          <w:lang w:eastAsia="sk-SK"/>
        </w:rPr>
        <w:t> </w:t>
      </w:r>
      <w:r w:rsidRPr="00241ABA">
        <w:rPr>
          <w:rFonts w:ascii="Times New Roman" w:hAnsi="Times New Roman"/>
          <w:lang w:eastAsia="sk-SK"/>
        </w:rPr>
        <w:t>fungovaní</w:t>
      </w:r>
      <w:r>
        <w:rPr>
          <w:rFonts w:ascii="Times New Roman" w:hAnsi="Times New Roman"/>
          <w:lang w:eastAsia="sk-SK"/>
        </w:rPr>
        <w:t xml:space="preserve"> </w:t>
      </w:r>
      <w:r w:rsidRPr="00241ABA">
        <w:rPr>
          <w:rFonts w:ascii="Times New Roman" w:hAnsi="Times New Roman"/>
          <w:lang w:eastAsia="sk-SK"/>
        </w:rPr>
        <w:t>Európskej únie</w:t>
      </w:r>
      <w:r>
        <w:rPr>
          <w:rFonts w:ascii="Times New Roman" w:hAnsi="Times New Roman"/>
          <w:lang w:eastAsia="sk-SK"/>
        </w:rPr>
        <w:t xml:space="preserve"> (smernica 2017/541)</w:t>
      </w:r>
    </w:p>
    <w:p w:rsidR="009C1F0D" w:rsidRPr="00241ABA" w:rsidRDefault="009C1F0D" w:rsidP="009C1F0D">
      <w:pPr>
        <w:jc w:val="both"/>
        <w:rPr>
          <w:rFonts w:ascii="Times New Roman" w:hAnsi="Times New Roman"/>
          <w:lang w:eastAsia="sk-SK"/>
        </w:rPr>
      </w:pPr>
    </w:p>
    <w:p w:rsidR="009C1F0D" w:rsidRPr="00241ABA" w:rsidRDefault="009C1F0D" w:rsidP="009C1F0D">
      <w:pPr>
        <w:widowControl w:val="0"/>
        <w:numPr>
          <w:ilvl w:val="0"/>
          <w:numId w:val="10"/>
        </w:numPr>
        <w:tabs>
          <w:tab w:val="left" w:pos="1068"/>
        </w:tabs>
        <w:adjustRightInd w:val="0"/>
        <w:jc w:val="both"/>
        <w:rPr>
          <w:rFonts w:ascii="Times New Roman" w:hAnsi="Times New Roman"/>
          <w:i/>
          <w:iCs/>
          <w:lang w:eastAsia="sk-SK"/>
        </w:rPr>
      </w:pPr>
      <w:r w:rsidRPr="00241ABA">
        <w:rPr>
          <w:rFonts w:ascii="Times New Roman" w:hAnsi="Times New Roman"/>
          <w:i/>
          <w:lang w:eastAsia="sk-SK"/>
        </w:rPr>
        <w:t xml:space="preserve">v sekundárnom </w:t>
      </w:r>
      <w:r w:rsidRPr="00241ABA">
        <w:rPr>
          <w:rFonts w:ascii="Times New Roman" w:hAnsi="Times New Roman"/>
          <w:i/>
          <w:iCs/>
          <w:lang w:eastAsia="sk-SK"/>
        </w:rPr>
        <w:t>(prijatom po nadobudnutím platnosti Lisabonskej zmluvy, ktorou sa mení a dopĺňa Zmluva o Európskom spoločenstve a Zmluva o Európskej únii – po 30. novembri 2009)</w:t>
      </w:r>
    </w:p>
    <w:p w:rsidR="009C1F0D" w:rsidRPr="00241ABA" w:rsidRDefault="009C1F0D" w:rsidP="009C1F0D">
      <w:pPr>
        <w:tabs>
          <w:tab w:val="left" w:pos="1068"/>
        </w:tabs>
        <w:ind w:left="879" w:hanging="171"/>
        <w:rPr>
          <w:rFonts w:ascii="Times New Roman" w:hAnsi="Times New Roman" w:cs="Verdana"/>
          <w:i/>
          <w:iCs/>
          <w:lang w:eastAsia="sk-SK"/>
        </w:rPr>
      </w:pPr>
    </w:p>
    <w:p w:rsidR="009C1F0D" w:rsidRPr="00241ABA" w:rsidRDefault="009C1F0D" w:rsidP="009C1F0D">
      <w:pPr>
        <w:widowControl w:val="0"/>
        <w:numPr>
          <w:ilvl w:val="0"/>
          <w:numId w:val="11"/>
        </w:numPr>
        <w:adjustRightInd w:val="0"/>
        <w:rPr>
          <w:rFonts w:ascii="Times New Roman" w:hAnsi="Times New Roman" w:cs="Verdana"/>
          <w:i/>
          <w:lang w:eastAsia="sk-SK"/>
        </w:rPr>
      </w:pPr>
      <w:r w:rsidRPr="00241ABA">
        <w:rPr>
          <w:rFonts w:ascii="Times New Roman" w:hAnsi="Times New Roman"/>
          <w:lang w:eastAsia="sk-SK"/>
        </w:rPr>
        <w:t xml:space="preserve">legislatívne akty </w:t>
      </w:r>
    </w:p>
    <w:p w:rsidR="009C1F0D" w:rsidRPr="00241ABA" w:rsidRDefault="009C1F0D" w:rsidP="009C1F0D">
      <w:pPr>
        <w:ind w:left="851"/>
        <w:rPr>
          <w:rFonts w:ascii="Times New Roman" w:hAnsi="Times New Roman"/>
          <w:lang w:eastAsia="sk-SK"/>
        </w:rPr>
      </w:pPr>
    </w:p>
    <w:p w:rsidR="009C1F0D" w:rsidRDefault="009C1F0D" w:rsidP="009C1F0D">
      <w:pPr>
        <w:ind w:left="739"/>
        <w:jc w:val="both"/>
        <w:rPr>
          <w:rFonts w:ascii="Times New Roman" w:hAnsi="Times New Roman"/>
          <w:lang w:eastAsia="sk-SK"/>
        </w:rPr>
      </w:pPr>
      <w:r w:rsidRPr="00D273A8">
        <w:rPr>
          <w:rFonts w:ascii="Times New Roman" w:hAnsi="Times New Roman"/>
          <w:lang w:eastAsia="sk-SK"/>
        </w:rPr>
        <w:t>Smernica Európskeho parlamentu a Rady 2008/99/ES z 19. novembra 2008 o ochrane životného prostredia prostredníctvom trestného práva (Ú. v. EÚ L 328, 6. 12. 2008).</w:t>
      </w:r>
    </w:p>
    <w:p w:rsidR="009C1F0D" w:rsidRPr="00241ABA" w:rsidRDefault="009C1F0D" w:rsidP="009C1F0D">
      <w:pPr>
        <w:ind w:left="739"/>
        <w:jc w:val="both"/>
        <w:rPr>
          <w:rFonts w:ascii="Times New Roman" w:hAnsi="Times New Roman"/>
          <w:lang w:eastAsia="sk-SK"/>
        </w:rPr>
      </w:pPr>
    </w:p>
    <w:p w:rsidR="009C1F0D" w:rsidRPr="00241ABA" w:rsidRDefault="009C1F0D" w:rsidP="009C1F0D">
      <w:pPr>
        <w:numPr>
          <w:ilvl w:val="0"/>
          <w:numId w:val="11"/>
        </w:numPr>
        <w:adjustRightInd w:val="0"/>
        <w:jc w:val="both"/>
        <w:rPr>
          <w:rFonts w:ascii="Times New Roman" w:hAnsi="Times New Roman"/>
          <w:i/>
          <w:lang w:eastAsia="sk-SK"/>
        </w:rPr>
      </w:pPr>
      <w:r w:rsidRPr="00241ABA">
        <w:rPr>
          <w:rFonts w:ascii="Times New Roman" w:hAnsi="Times New Roman"/>
          <w:lang w:eastAsia="sk-SK"/>
        </w:rPr>
        <w:t>nelegislatívne akty</w:t>
      </w:r>
    </w:p>
    <w:p w:rsidR="009C1F0D" w:rsidRPr="00241ABA" w:rsidRDefault="009C1F0D" w:rsidP="009C1F0D">
      <w:pPr>
        <w:adjustRightInd w:val="0"/>
        <w:jc w:val="both"/>
        <w:rPr>
          <w:rFonts w:ascii="Times New Roman" w:hAnsi="Times New Roman"/>
          <w:i/>
          <w:lang w:eastAsia="sk-SK"/>
        </w:rPr>
      </w:pPr>
    </w:p>
    <w:p w:rsidR="009C1F0D" w:rsidRPr="00241ABA" w:rsidRDefault="009C1F0D" w:rsidP="009C1F0D">
      <w:pPr>
        <w:numPr>
          <w:ilvl w:val="0"/>
          <w:numId w:val="10"/>
        </w:numPr>
        <w:tabs>
          <w:tab w:val="left" w:pos="1068"/>
        </w:tabs>
        <w:adjustRightInd w:val="0"/>
        <w:jc w:val="both"/>
        <w:rPr>
          <w:rFonts w:ascii="Times New Roman" w:hAnsi="Times New Roman"/>
          <w:i/>
          <w:lang w:eastAsia="sk-SK"/>
        </w:rPr>
      </w:pPr>
      <w:r w:rsidRPr="00241ABA">
        <w:rPr>
          <w:rFonts w:ascii="Times New Roman" w:hAnsi="Times New Roman"/>
          <w:i/>
          <w:lang w:eastAsia="sk-SK"/>
        </w:rPr>
        <w:t>v sekundárnom (prijatom pred nadobudnutím platnosti Lisabonskej zmluvy, ktorou sa mení a dopĺňa Zmluva o Európskom spoločenstve a Zmluva o Európskej únii – do 30. novembra 2009)</w:t>
      </w:r>
      <w:r w:rsidRPr="00241ABA">
        <w:rPr>
          <w:rFonts w:ascii="Times New Roman" w:hAnsi="Times New Roman"/>
          <w:lang w:eastAsia="sk-SK"/>
        </w:rPr>
        <w:tab/>
        <w:t xml:space="preserve"> </w:t>
      </w:r>
    </w:p>
    <w:p w:rsidR="009C1F0D" w:rsidRPr="00241ABA" w:rsidRDefault="009C1F0D" w:rsidP="009C1F0D">
      <w:pPr>
        <w:jc w:val="both"/>
        <w:rPr>
          <w:rFonts w:ascii="Times New Roman" w:hAnsi="Times New Roman"/>
          <w:lang w:eastAsia="sk-SK"/>
        </w:rPr>
      </w:pPr>
    </w:p>
    <w:p w:rsidR="009C1F0D" w:rsidRPr="0010048B" w:rsidRDefault="009C1F0D" w:rsidP="009C1F0D">
      <w:pPr>
        <w:numPr>
          <w:ilvl w:val="0"/>
          <w:numId w:val="8"/>
        </w:numPr>
        <w:jc w:val="both"/>
        <w:rPr>
          <w:rFonts w:ascii="Times New Roman" w:hAnsi="Times New Roman"/>
          <w:lang w:eastAsia="sk-SK"/>
        </w:rPr>
      </w:pPr>
      <w:r w:rsidRPr="00241ABA">
        <w:rPr>
          <w:rFonts w:ascii="Times New Roman" w:hAnsi="Times New Roman"/>
          <w:lang w:eastAsia="sk-SK"/>
        </w:rPr>
        <w:t>nie je obsiahnutá v judikatúre Súdneho dvora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Záväzky Slovenskej republiky vo vzťahu k Európskej únii:</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lehota na prebratie smernice alebo lehota na implementáciu nariadenia alebo rozhodnutia</w:t>
      </w:r>
    </w:p>
    <w:p w:rsidR="009C1F0D" w:rsidRPr="00241ABA" w:rsidRDefault="009C1F0D" w:rsidP="009C1F0D">
      <w:pPr>
        <w:jc w:val="both"/>
        <w:rPr>
          <w:rFonts w:ascii="Times New Roman" w:hAnsi="Times New Roman"/>
          <w:lang w:eastAsia="sk-SK"/>
        </w:rPr>
      </w:pPr>
    </w:p>
    <w:p w:rsidR="009C1F0D" w:rsidRPr="00241ABA" w:rsidRDefault="009C1F0D" w:rsidP="009C1F0D">
      <w:pPr>
        <w:ind w:left="720"/>
        <w:jc w:val="both"/>
        <w:rPr>
          <w:rFonts w:ascii="Times New Roman" w:hAnsi="Times New Roman"/>
          <w:i/>
          <w:lang w:eastAsia="sk-SK"/>
        </w:rPr>
      </w:pPr>
      <w:r>
        <w:rPr>
          <w:rFonts w:ascii="Times New Roman" w:hAnsi="Times New Roman"/>
          <w:i/>
          <w:lang w:eastAsia="sk-SK"/>
        </w:rPr>
        <w:t xml:space="preserve">bezpredmetné </w:t>
      </w:r>
    </w:p>
    <w:p w:rsidR="009C1F0D" w:rsidRPr="00241ABA" w:rsidRDefault="009C1F0D" w:rsidP="009C1F0D">
      <w:pPr>
        <w:ind w:left="360"/>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C1F0D" w:rsidRPr="00241ABA" w:rsidRDefault="009C1F0D" w:rsidP="009C1F0D">
      <w:pPr>
        <w:jc w:val="both"/>
        <w:rPr>
          <w:rFonts w:ascii="Times New Roman" w:hAnsi="Times New Roman"/>
          <w:lang w:eastAsia="sk-SK"/>
        </w:rPr>
      </w:pPr>
    </w:p>
    <w:p w:rsidR="009C1F0D" w:rsidRPr="00E670E3" w:rsidRDefault="009C1F0D" w:rsidP="009C1F0D">
      <w:pPr>
        <w:ind w:left="708"/>
        <w:jc w:val="both"/>
        <w:rPr>
          <w:rFonts w:ascii="Times New Roman" w:hAnsi="Times New Roman"/>
          <w:i/>
          <w:highlight w:val="yellow"/>
          <w:lang w:eastAsia="sk-SK"/>
        </w:rPr>
      </w:pPr>
      <w:r>
        <w:rPr>
          <w:rFonts w:ascii="Times New Roman" w:hAnsi="Times New Roman"/>
          <w:i/>
          <w:lang w:eastAsia="sk-SK"/>
        </w:rPr>
        <w:t xml:space="preserve">bezpredmetné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informácia o konaní začatom proti Slovenskej republike o porušení podľa čl. 258 a 260 Zmluvy o fungovaní Európskej únie</w:t>
      </w:r>
    </w:p>
    <w:p w:rsidR="009C1F0D" w:rsidRDefault="009C1F0D" w:rsidP="009C1F0D">
      <w:pPr>
        <w:ind w:left="708"/>
        <w:jc w:val="both"/>
        <w:rPr>
          <w:rFonts w:ascii="Times New Roman" w:hAnsi="Times New Roman"/>
          <w:i/>
          <w:lang w:eastAsia="sk-SK"/>
        </w:rPr>
      </w:pPr>
    </w:p>
    <w:p w:rsidR="009C1F0D" w:rsidRDefault="009C1F0D" w:rsidP="009C1F0D">
      <w:pPr>
        <w:ind w:left="708"/>
        <w:jc w:val="both"/>
        <w:rPr>
          <w:rFonts w:ascii="Times New Roman" w:hAnsi="Times New Roman"/>
          <w:i/>
          <w:lang w:eastAsia="sk-SK"/>
        </w:rPr>
      </w:pPr>
      <w:r w:rsidRPr="00FA2796">
        <w:rPr>
          <w:rFonts w:ascii="Times New Roman" w:hAnsi="Times New Roman"/>
          <w:i/>
          <w:lang w:eastAsia="sk-SK"/>
        </w:rPr>
        <w:t>Neprebiehajú žiadne konania proti Slovenskej republike o porušení podľa čl. 258 a 260 Zmluvy o fungovaní Európskej únie.</w:t>
      </w:r>
    </w:p>
    <w:p w:rsidR="009C1F0D" w:rsidRPr="00241ABA" w:rsidRDefault="009C1F0D" w:rsidP="009C1F0D">
      <w:pPr>
        <w:ind w:left="708"/>
        <w:jc w:val="both"/>
        <w:rPr>
          <w:rFonts w:ascii="Times New Roman" w:hAnsi="Times New Roman"/>
          <w:i/>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informácia o právnych predpisoch, v ktorých sú preberané smernice už prebraté spolu s uvedením rozsahu tohto prebratia</w:t>
      </w:r>
    </w:p>
    <w:p w:rsidR="009C1F0D" w:rsidRPr="00241ABA" w:rsidRDefault="009C1F0D" w:rsidP="009C1F0D">
      <w:pPr>
        <w:ind w:left="720"/>
        <w:jc w:val="both"/>
        <w:rPr>
          <w:rFonts w:ascii="Times New Roman" w:hAnsi="Times New Roman"/>
          <w:lang w:eastAsia="sk-SK"/>
        </w:rPr>
      </w:pPr>
    </w:p>
    <w:p w:rsidR="009C1F0D" w:rsidRDefault="009C1F0D" w:rsidP="009C1F0D">
      <w:pPr>
        <w:ind w:left="708"/>
        <w:jc w:val="both"/>
        <w:rPr>
          <w:rFonts w:ascii="Times New Roman" w:hAnsi="Times New Roman"/>
          <w:i/>
          <w:lang w:eastAsia="sk-SK"/>
        </w:rPr>
      </w:pPr>
      <w:r w:rsidRPr="00241ABA">
        <w:rPr>
          <w:rFonts w:ascii="Times New Roman" w:hAnsi="Times New Roman"/>
          <w:i/>
          <w:lang w:eastAsia="sk-SK"/>
        </w:rPr>
        <w:t>zákon č. 30</w:t>
      </w:r>
      <w:r>
        <w:rPr>
          <w:rFonts w:ascii="Times New Roman" w:hAnsi="Times New Roman"/>
          <w:i/>
          <w:lang w:eastAsia="sk-SK"/>
        </w:rPr>
        <w:t>0</w:t>
      </w:r>
      <w:r w:rsidRPr="00241ABA">
        <w:rPr>
          <w:rFonts w:ascii="Times New Roman" w:hAnsi="Times New Roman"/>
          <w:i/>
          <w:lang w:eastAsia="sk-SK"/>
        </w:rPr>
        <w:t xml:space="preserve">/2005 Z. z. Trestný </w:t>
      </w:r>
      <w:r>
        <w:rPr>
          <w:rFonts w:ascii="Times New Roman" w:hAnsi="Times New Roman"/>
          <w:i/>
          <w:lang w:eastAsia="sk-SK"/>
        </w:rPr>
        <w:t>zákon</w:t>
      </w:r>
      <w:r w:rsidRPr="00241ABA">
        <w:rPr>
          <w:rFonts w:ascii="Times New Roman" w:hAnsi="Times New Roman"/>
          <w:i/>
          <w:lang w:eastAsia="sk-SK"/>
        </w:rPr>
        <w:t xml:space="preserve"> v znení neskorších predpisov (</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Default="009C1F0D" w:rsidP="009C1F0D">
      <w:pPr>
        <w:ind w:left="708"/>
        <w:jc w:val="both"/>
        <w:rPr>
          <w:rFonts w:ascii="Times New Roman" w:hAnsi="Times New Roman"/>
          <w:i/>
          <w:lang w:eastAsia="sk-SK"/>
        </w:rPr>
      </w:pPr>
      <w:r w:rsidRPr="00241ABA">
        <w:rPr>
          <w:rFonts w:ascii="Times New Roman" w:hAnsi="Times New Roman"/>
          <w:i/>
          <w:lang w:eastAsia="sk-SK"/>
        </w:rPr>
        <w:t>zákon č. 301/2005 Z. z. Trestný poriadok v znení neskorších predpisov (</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Pr="00241ABA" w:rsidRDefault="009C1F0D" w:rsidP="009C1F0D">
      <w:pPr>
        <w:ind w:left="708"/>
        <w:jc w:val="both"/>
        <w:rPr>
          <w:rFonts w:ascii="Times New Roman" w:hAnsi="Times New Roman"/>
          <w:i/>
          <w:lang w:eastAsia="sk-SK"/>
        </w:rPr>
      </w:pPr>
      <w:r w:rsidRPr="00241ABA">
        <w:rPr>
          <w:rFonts w:ascii="Times New Roman" w:hAnsi="Times New Roman"/>
          <w:i/>
          <w:lang w:eastAsia="sk-SK"/>
        </w:rPr>
        <w:t xml:space="preserve">zákon č. </w:t>
      </w:r>
      <w:r>
        <w:rPr>
          <w:rFonts w:ascii="Times New Roman" w:hAnsi="Times New Roman"/>
          <w:i/>
          <w:lang w:eastAsia="sk-SK"/>
        </w:rPr>
        <w:t>91/2016</w:t>
      </w:r>
      <w:r w:rsidRPr="00241ABA">
        <w:rPr>
          <w:rFonts w:ascii="Times New Roman" w:hAnsi="Times New Roman"/>
          <w:i/>
          <w:lang w:eastAsia="sk-SK"/>
        </w:rPr>
        <w:t xml:space="preserve"> Z. z.</w:t>
      </w:r>
      <w:r w:rsidRPr="00E670E3">
        <w:rPr>
          <w:rFonts w:ascii="Times New Roman" w:hAnsi="Times New Roman"/>
          <w:i/>
          <w:lang w:eastAsia="sk-SK"/>
        </w:rPr>
        <w:t xml:space="preserve"> o trestnej zodpovednosti právnických osôb a o zmene a doplnení niektorých zákonov v znení zákona č. 316/2016 Z. z. </w:t>
      </w:r>
      <w:r w:rsidRPr="00241ABA">
        <w:rPr>
          <w:rFonts w:ascii="Times New Roman" w:hAnsi="Times New Roman"/>
          <w:i/>
          <w:lang w:eastAsia="sk-SK"/>
        </w:rPr>
        <w:t>(</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Pr="00241ABA" w:rsidRDefault="009C1F0D" w:rsidP="009C1F0D">
      <w:pPr>
        <w:ind w:left="708"/>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Stupeň zlučiteľnosti návrhu zákona s právom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jc w:val="both"/>
        <w:rPr>
          <w:rFonts w:ascii="Times New Roman" w:hAnsi="Times New Roman"/>
          <w:i/>
          <w:lang w:eastAsia="sk-SK"/>
        </w:rPr>
      </w:pPr>
      <w:r w:rsidRPr="00241ABA">
        <w:rPr>
          <w:rFonts w:ascii="Times New Roman" w:hAnsi="Times New Roman"/>
          <w:lang w:eastAsia="sk-SK"/>
        </w:rPr>
        <w:t> </w:t>
      </w:r>
      <w:r w:rsidRPr="00241ABA">
        <w:rPr>
          <w:rFonts w:ascii="Times New Roman" w:hAnsi="Times New Roman"/>
          <w:lang w:eastAsia="sk-SK"/>
        </w:rPr>
        <w:tab/>
      </w:r>
      <w:r w:rsidRPr="00241ABA">
        <w:rPr>
          <w:rFonts w:ascii="Times New Roman" w:hAnsi="Times New Roman"/>
          <w:i/>
          <w:lang w:eastAsia="sk-SK"/>
        </w:rPr>
        <w:t>Úplný</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Gestor (spolupracujúce rezorty):</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ind w:left="708"/>
        <w:jc w:val="both"/>
        <w:rPr>
          <w:rFonts w:ascii="Times New Roman" w:hAnsi="Times New Roman"/>
          <w:lang w:eastAsia="sk-SK"/>
        </w:rPr>
      </w:pPr>
      <w:r w:rsidRPr="00241ABA">
        <w:rPr>
          <w:rFonts w:ascii="Times New Roman" w:hAnsi="Times New Roman"/>
          <w:lang w:eastAsia="sk-SK"/>
        </w:rPr>
        <w:t>Ministerstvo spravodlivosti Slovenskej republiky</w:t>
      </w:r>
    </w:p>
    <w:p w:rsidR="009C1F0D" w:rsidRDefault="009C1F0D" w:rsidP="009C1F0D"/>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079CC" w:rsidRDefault="00B079CC">
      <w:pPr>
        <w:rPr>
          <w:rFonts w:ascii="Times New Roman" w:hAnsi="Times New Roman" w:cs="Times New Roman"/>
          <w:b/>
          <w:bCs/>
          <w:caps/>
          <w:color w:val="000000"/>
          <w:spacing w:val="30"/>
        </w:rPr>
      </w:pPr>
      <w:r>
        <w:rPr>
          <w:rFonts w:ascii="Times New Roman" w:hAnsi="Times New Roman" w:cs="Times New Roman"/>
          <w:b/>
          <w:bCs/>
          <w:caps/>
          <w:color w:val="000000"/>
          <w:spacing w:val="30"/>
        </w:rPr>
        <w:br w:type="page"/>
      </w:r>
    </w:p>
    <w:p w:rsidR="00B83154" w:rsidRPr="00B83154" w:rsidRDefault="00B83154" w:rsidP="00B079CC">
      <w:pPr>
        <w:jc w:val="center"/>
        <w:rPr>
          <w:rFonts w:ascii="Times New Roman" w:hAnsi="Times New Roman" w:cs="Times New Roman"/>
          <w:b/>
          <w:bCs/>
          <w:caps/>
          <w:color w:val="000000"/>
          <w:spacing w:val="30"/>
        </w:rPr>
      </w:pPr>
      <w:r w:rsidRPr="00B83154">
        <w:rPr>
          <w:rFonts w:ascii="Times New Roman" w:hAnsi="Times New Roman" w:cs="Times New Roman"/>
          <w:b/>
          <w:bCs/>
          <w:caps/>
          <w:color w:val="000000"/>
          <w:spacing w:val="30"/>
        </w:rPr>
        <w:lastRenderedPageBreak/>
        <w:t>Doložka</w:t>
      </w:r>
    </w:p>
    <w:p w:rsidR="00B83154" w:rsidRPr="00B83154" w:rsidRDefault="00B83154" w:rsidP="00B079CC">
      <w:pPr>
        <w:jc w:val="center"/>
        <w:rPr>
          <w:rFonts w:ascii="Times New Roman" w:hAnsi="Times New Roman" w:cs="Times New Roman"/>
          <w:b/>
          <w:bCs/>
          <w:color w:val="000000"/>
        </w:rPr>
      </w:pPr>
      <w:r w:rsidRPr="00B83154">
        <w:rPr>
          <w:rFonts w:ascii="Times New Roman" w:hAnsi="Times New Roman" w:cs="Times New Roman"/>
          <w:b/>
          <w:bCs/>
          <w:color w:val="000000"/>
        </w:rPr>
        <w:t>vybraných vplyvov</w:t>
      </w:r>
    </w:p>
    <w:p w:rsidR="00B83154" w:rsidRPr="00B83154" w:rsidRDefault="00B83154" w:rsidP="00B079CC">
      <w:pPr>
        <w:jc w:val="both"/>
        <w:rPr>
          <w:rFonts w:ascii="Times New Roman" w:hAnsi="Times New Roman" w:cs="Times New Roman"/>
          <w:color w:val="000000"/>
        </w:rPr>
      </w:pPr>
    </w:p>
    <w:p w:rsidR="00B83154" w:rsidRDefault="00B83154" w:rsidP="00B079CC">
      <w:pPr>
        <w:jc w:val="both"/>
        <w:rPr>
          <w:rFonts w:ascii="Times New Roman" w:hAnsi="Times New Roman" w:cs="Times New Roman"/>
        </w:rPr>
      </w:pPr>
      <w:r w:rsidRPr="00B83154">
        <w:rPr>
          <w:rFonts w:ascii="Times New Roman" w:hAnsi="Times New Roman" w:cs="Times New Roman"/>
          <w:b/>
          <w:bCs/>
          <w:color w:val="000000"/>
        </w:rPr>
        <w:t xml:space="preserve">A.1. Názov materiálu: </w:t>
      </w:r>
      <w:r w:rsidRPr="00B83154">
        <w:rPr>
          <w:rFonts w:ascii="Times New Roman" w:hAnsi="Times New Roman" w:cs="Times New Roman"/>
        </w:rPr>
        <w:t xml:space="preserve">návrh zákona, </w:t>
      </w:r>
      <w:r w:rsidR="002E1C8B" w:rsidRPr="002E1C8B">
        <w:rPr>
          <w:rFonts w:ascii="Times New Roman" w:hAnsi="Times New Roman" w:cs="Times New Roman"/>
        </w:rPr>
        <w:t>ktorým sa mení a dopĺňa zákon č. 300/2005 Z. z. Trestný zákon v znení neskorších predpisov a ktorým sa dopĺňa zákon č. 91/2016 Z. z. o trestnej zodpovednosti právnických osôb a o zmene a doplnení niektorých zákonov v znení neskorších predpisov</w:t>
      </w:r>
    </w:p>
    <w:p w:rsidR="002E1C8B" w:rsidRPr="00B83154" w:rsidRDefault="002E1C8B" w:rsidP="00B079CC">
      <w:pPr>
        <w:jc w:val="both"/>
        <w:rPr>
          <w:rFonts w:ascii="Times New Roman" w:hAnsi="Times New Roman" w:cs="Times New Roman"/>
          <w:bCs/>
        </w:rPr>
      </w:pPr>
    </w:p>
    <w:p w:rsidR="00B83154" w:rsidRPr="00B83154" w:rsidRDefault="00B83154" w:rsidP="00B079CC">
      <w:pPr>
        <w:jc w:val="both"/>
        <w:rPr>
          <w:rFonts w:ascii="Times New Roman" w:hAnsi="Times New Roman" w:cs="Times New Roman"/>
          <w:i/>
          <w:iCs/>
          <w:color w:val="000000"/>
        </w:rPr>
      </w:pPr>
      <w:r w:rsidRPr="00B83154">
        <w:rPr>
          <w:rFonts w:ascii="Times New Roman" w:hAnsi="Times New Roman" w:cs="Times New Roman"/>
          <w:b/>
          <w:bCs/>
          <w:color w:val="000000"/>
        </w:rPr>
        <w:t>Termín začatia a ukončenia PPK:</w:t>
      </w:r>
      <w:r w:rsidRPr="00B83154">
        <w:rPr>
          <w:rFonts w:ascii="Times New Roman" w:hAnsi="Times New Roman" w:cs="Times New Roman"/>
          <w:color w:val="000000"/>
        </w:rPr>
        <w:t xml:space="preserve"> </w:t>
      </w:r>
      <w:r w:rsidRPr="00B83154">
        <w:rPr>
          <w:rFonts w:ascii="Times New Roman" w:hAnsi="Times New Roman" w:cs="Times New Roman"/>
          <w:i/>
          <w:iCs/>
          <w:color w:val="000000"/>
        </w:rPr>
        <w:t>bezpredmetné</w:t>
      </w:r>
    </w:p>
    <w:p w:rsidR="00B83154" w:rsidRPr="00B83154" w:rsidRDefault="00B83154" w:rsidP="00B079CC">
      <w:pPr>
        <w:jc w:val="both"/>
        <w:rPr>
          <w:rFonts w:ascii="Times New Roman" w:hAnsi="Times New Roman" w:cs="Times New Roman"/>
          <w:b/>
          <w:bCs/>
          <w:color w:val="000000"/>
        </w:rPr>
      </w:pPr>
    </w:p>
    <w:p w:rsidR="00B83154" w:rsidRDefault="00B83154" w:rsidP="00B079CC">
      <w:pPr>
        <w:jc w:val="both"/>
        <w:rPr>
          <w:rFonts w:ascii="Times New Roman" w:hAnsi="Times New Roman" w:cs="Times New Roman"/>
          <w:b/>
          <w:bCs/>
          <w:color w:val="000000"/>
        </w:rPr>
      </w:pPr>
      <w:r w:rsidRPr="00B83154">
        <w:rPr>
          <w:rFonts w:ascii="Times New Roman" w:hAnsi="Times New Roman" w:cs="Times New Roman"/>
          <w:b/>
          <w:bCs/>
          <w:color w:val="000000"/>
        </w:rPr>
        <w:t>A.2. Vplyvy:</w:t>
      </w:r>
    </w:p>
    <w:p w:rsidR="006241DC" w:rsidRDefault="006241DC" w:rsidP="00B079CC">
      <w:pPr>
        <w:jc w:val="both"/>
        <w:rPr>
          <w:rFonts w:ascii="Times New Roman" w:hAnsi="Times New Roman" w:cs="Times New Roman"/>
          <w:b/>
          <w:bCs/>
          <w:color w:val="000000"/>
        </w:rPr>
      </w:pPr>
    </w:p>
    <w:p w:rsidR="006241DC" w:rsidRPr="004518B5" w:rsidRDefault="006241DC" w:rsidP="006241DC">
      <w:pPr>
        <w:pStyle w:val="titulok"/>
        <w:spacing w:before="0" w:beforeAutospacing="0" w:after="0" w:afterAutospacing="0"/>
        <w:jc w:val="both"/>
        <w:rPr>
          <w:rFonts w:ascii="Times New Roman" w:hAnsi="Times New Roman" w:cs="Times New Roman"/>
          <w:b w:val="0"/>
          <w:bCs w:val="0"/>
          <w:color w:val="auto"/>
        </w:rPr>
      </w:pPr>
    </w:p>
    <w:p w:rsidR="006241DC" w:rsidRDefault="006241DC" w:rsidP="006241DC">
      <w:pPr>
        <w:outlineLvl w:val="0"/>
        <w:rPr>
          <w:rFonts w:ascii="Times New Roman" w:hAnsi="Times New Roman" w:cs="Times New Roman"/>
          <w:b/>
          <w:bCs/>
        </w:rPr>
      </w:pPr>
      <w:r>
        <w:rPr>
          <w:rFonts w:ascii="Times New Roman" w:hAnsi="Times New Roman" w:cs="Times New Roman"/>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6241DC" w:rsidTr="00557BF4">
        <w:trPr>
          <w:trHeight w:val="432"/>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Pozitívne</w:t>
            </w:r>
            <w:r>
              <w:rPr>
                <w:rFonts w:ascii="Times New Roman" w:hAnsi="Times New Roman" w:cs="Times New Roman"/>
                <w:vertAlign w:val="superscript"/>
              </w:rPr>
              <w:t>*</w:t>
            </w:r>
            <w:r>
              <w:rPr>
                <w:rFonts w:ascii="Times New Roman" w:hAnsi="Times New Roman" w:cs="Times New Roman"/>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Žiadne</w:t>
            </w:r>
            <w:r>
              <w:rPr>
                <w:rFonts w:ascii="Times New Roman" w:hAnsi="Times New Roman" w:cs="Times New Roman"/>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Negatívne</w:t>
            </w:r>
            <w:r>
              <w:rPr>
                <w:rFonts w:ascii="Times New Roman" w:hAnsi="Times New Roman" w:cs="Times New Roman"/>
                <w:vertAlign w:val="superscript"/>
              </w:rPr>
              <w:t>*</w:t>
            </w:r>
          </w:p>
        </w:tc>
      </w:tr>
      <w:tr w:rsidR="006241DC" w:rsidTr="00557BF4">
        <w:trPr>
          <w:trHeight w:val="829"/>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1. Vplyvy na rozpočet verejnej správy</w:t>
            </w:r>
          </w:p>
          <w:p w:rsidR="006241DC" w:rsidRDefault="006241DC" w:rsidP="00557BF4">
            <w:pPr>
              <w:rPr>
                <w:rFonts w:ascii="Times New Roman" w:hAnsi="Times New Roman" w:cs="Times New Roman"/>
                <w:i/>
                <w:iCs/>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864"/>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1881"/>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xml:space="preserve">3, Sociálne vplyvy </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vplyvy  na hospodárenie obyvateľstva,</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-sociálnu exklúziu,</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p w:rsidR="006241DC" w:rsidRDefault="006241DC" w:rsidP="00557BF4">
            <w:pPr>
              <w:jc w:val="center"/>
              <w:rPr>
                <w:rFonts w:ascii="Times New Roman" w:hAnsi="Times New Roman" w:cs="Times New Roman"/>
                <w:sz w:val="20"/>
                <w:szCs w:val="20"/>
              </w:rPr>
            </w:pPr>
          </w:p>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432"/>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548"/>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p w:rsidR="006241DC" w:rsidRDefault="006241DC" w:rsidP="00557BF4">
            <w:pPr>
              <w:jc w:val="center"/>
              <w:rPr>
                <w:rFonts w:ascii="Times New Roman" w:hAnsi="Times New Roman" w:cs="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742"/>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bl>
    <w:p w:rsidR="006241DC" w:rsidRDefault="006241DC" w:rsidP="006241DC">
      <w:pPr>
        <w:pStyle w:val="Zkladntext"/>
        <w:jc w:val="both"/>
        <w:rPr>
          <w:rFonts w:ascii="Times New Roman" w:hAnsi="Times New Roman" w:cs="Times New Roman"/>
          <w:b/>
          <w:bCs/>
          <w:u w:val="single"/>
        </w:rPr>
      </w:pPr>
      <w:r>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B83154" w:rsidRPr="00B83154" w:rsidRDefault="00B83154" w:rsidP="00B079CC">
      <w:pPr>
        <w:jc w:val="both"/>
        <w:rPr>
          <w:rFonts w:ascii="Times New Roman" w:hAnsi="Times New Roman" w:cs="Times New Roman"/>
          <w:color w:val="000000"/>
        </w:rPr>
      </w:pPr>
      <w:r w:rsidRPr="00B83154">
        <w:rPr>
          <w:rFonts w:ascii="Times New Roman" w:hAnsi="Times New Roman" w:cs="Times New Roman"/>
          <w:b/>
          <w:bCs/>
          <w:color w:val="000000"/>
        </w:rPr>
        <w:t>A.3. Poznámky</w:t>
      </w:r>
    </w:p>
    <w:p w:rsidR="00B83154" w:rsidRPr="00B83154" w:rsidRDefault="00B83154" w:rsidP="00B079CC">
      <w:pPr>
        <w:jc w:val="both"/>
        <w:rPr>
          <w:rFonts w:ascii="Times New Roman" w:hAnsi="Times New Roman" w:cs="Times New Roman"/>
          <w:i/>
        </w:rPr>
      </w:pPr>
      <w:r w:rsidRPr="00B83154">
        <w:rPr>
          <w:rFonts w:ascii="Times New Roman" w:hAnsi="Times New Roman" w:cs="Times New Roman"/>
          <w:i/>
          <w:color w:val="000000"/>
        </w:rPr>
        <w:t>bezpredmetné</w:t>
      </w:r>
    </w:p>
    <w:p w:rsidR="00B83154" w:rsidRPr="00B83154" w:rsidRDefault="00B83154" w:rsidP="00B079CC">
      <w:pPr>
        <w:jc w:val="both"/>
        <w:rPr>
          <w:rFonts w:ascii="Times New Roman" w:hAnsi="Times New Roman" w:cs="Times New Roman"/>
          <w:b/>
          <w:bCs/>
          <w:color w:val="000000"/>
        </w:rPr>
      </w:pPr>
    </w:p>
    <w:p w:rsidR="00B83154" w:rsidRPr="00B83154" w:rsidRDefault="00B83154" w:rsidP="00B079CC">
      <w:pPr>
        <w:jc w:val="both"/>
        <w:rPr>
          <w:rFonts w:ascii="Times New Roman" w:hAnsi="Times New Roman" w:cs="Times New Roman"/>
          <w:b/>
          <w:bCs/>
          <w:color w:val="000000"/>
        </w:rPr>
      </w:pPr>
      <w:r w:rsidRPr="00B83154">
        <w:rPr>
          <w:rFonts w:ascii="Times New Roman" w:hAnsi="Times New Roman" w:cs="Times New Roman"/>
          <w:b/>
          <w:bCs/>
          <w:color w:val="000000"/>
        </w:rPr>
        <w:t>A.4. Alternatívne riešenia</w:t>
      </w:r>
    </w:p>
    <w:p w:rsidR="00B83154" w:rsidRPr="00B83154" w:rsidRDefault="00B83154" w:rsidP="00B079CC">
      <w:pPr>
        <w:jc w:val="both"/>
        <w:rPr>
          <w:rFonts w:ascii="Times New Roman" w:hAnsi="Times New Roman" w:cs="Times New Roman"/>
          <w:i/>
          <w:color w:val="000000"/>
        </w:rPr>
      </w:pPr>
      <w:r w:rsidRPr="00B83154">
        <w:rPr>
          <w:rFonts w:ascii="Times New Roman" w:hAnsi="Times New Roman" w:cs="Times New Roman"/>
          <w:i/>
          <w:color w:val="000000"/>
        </w:rPr>
        <w:t>bezpredmetné </w:t>
      </w:r>
    </w:p>
    <w:p w:rsidR="00B83154" w:rsidRPr="00B83154" w:rsidRDefault="00B83154" w:rsidP="00B079CC">
      <w:pPr>
        <w:pStyle w:val="Normlnywebov"/>
        <w:spacing w:before="0" w:beforeAutospacing="0" w:after="0" w:afterAutospacing="0"/>
        <w:ind w:left="567" w:hanging="567"/>
        <w:jc w:val="both"/>
        <w:rPr>
          <w:b/>
          <w:bCs/>
        </w:rPr>
      </w:pPr>
    </w:p>
    <w:p w:rsidR="00B83154" w:rsidRDefault="00B83154" w:rsidP="00B079CC">
      <w:pPr>
        <w:pStyle w:val="Normlnywebov"/>
        <w:spacing w:before="0" w:beforeAutospacing="0" w:after="0" w:afterAutospacing="0"/>
        <w:ind w:left="567" w:hanging="567"/>
        <w:jc w:val="both"/>
        <w:rPr>
          <w:b/>
          <w:bCs/>
        </w:rPr>
      </w:pPr>
      <w:r w:rsidRPr="00B83154">
        <w:rPr>
          <w:b/>
          <w:bCs/>
        </w:rPr>
        <w:t xml:space="preserve">A.5. </w:t>
      </w:r>
      <w:r w:rsidRPr="00B83154">
        <w:rPr>
          <w:b/>
          <w:bCs/>
        </w:rPr>
        <w:tab/>
        <w:t>Stanovisko gestorov</w:t>
      </w:r>
    </w:p>
    <w:p w:rsidR="006241DC" w:rsidRPr="00B83154" w:rsidRDefault="006241DC" w:rsidP="00B079CC">
      <w:pPr>
        <w:pStyle w:val="Normlnywebov"/>
        <w:spacing w:before="0" w:beforeAutospacing="0" w:after="0" w:afterAutospacing="0"/>
        <w:ind w:left="567" w:hanging="567"/>
        <w:jc w:val="both"/>
      </w:pPr>
      <w:r>
        <w:rPr>
          <w:b/>
          <w:bCs/>
        </w:rPr>
        <w:t>bezpredmetné</w:t>
      </w:r>
    </w:p>
    <w:sectPr w:rsidR="006241DC" w:rsidRPr="00B83154" w:rsidSect="00A8760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47" w:rsidRDefault="00BF7747" w:rsidP="00A8760C">
      <w:r>
        <w:separator/>
      </w:r>
    </w:p>
  </w:endnote>
  <w:endnote w:type="continuationSeparator" w:id="0">
    <w:p w:rsidR="00BF7747" w:rsidRDefault="00BF7747"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059671911"/>
      <w:docPartObj>
        <w:docPartGallery w:val="Page Numbers (Bottom of Page)"/>
        <w:docPartUnique/>
      </w:docPartObj>
    </w:sdtPr>
    <w:sdtEndPr>
      <w:rPr>
        <w:rStyle w:val="slostrany"/>
      </w:rPr>
    </w:sdtEndPr>
    <w:sdtContent>
      <w:p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8760C" w:rsidRDefault="00A8760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8B2EE9">
          <w:rPr>
            <w:rStyle w:val="slostrany"/>
            <w:rFonts w:ascii="Times New Roman" w:hAnsi="Times New Roman" w:cs="Times New Roman"/>
            <w:noProof/>
          </w:rPr>
          <w:t>6</w:t>
        </w:r>
        <w:r w:rsidRPr="00A8760C">
          <w:rPr>
            <w:rStyle w:val="slostrany"/>
            <w:rFonts w:ascii="Times New Roman" w:hAnsi="Times New Roman" w:cs="Times New Roman"/>
          </w:rPr>
          <w:fldChar w:fldCharType="end"/>
        </w:r>
      </w:p>
    </w:sdtContent>
  </w:sdt>
  <w:p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0A" w:rsidRDefault="00A476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47" w:rsidRDefault="00BF7747" w:rsidP="00A8760C">
      <w:r>
        <w:separator/>
      </w:r>
    </w:p>
  </w:footnote>
  <w:footnote w:type="continuationSeparator" w:id="0">
    <w:p w:rsidR="00BF7747" w:rsidRDefault="00BF7747" w:rsidP="00A8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0A" w:rsidRDefault="00A476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0A" w:rsidRDefault="00A4760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0A" w:rsidRDefault="00A476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C435E"/>
    <w:multiLevelType w:val="hybridMultilevel"/>
    <w:tmpl w:val="DDE2BD4C"/>
    <w:lvl w:ilvl="0" w:tplc="278A566C">
      <w:start w:val="1"/>
      <w:numFmt w:val="decimal"/>
      <w:lvlText w:val="%1."/>
      <w:lvlJc w:val="left"/>
      <w:pPr>
        <w:ind w:left="1239" w:hanging="360"/>
      </w:pPr>
      <w:rPr>
        <w:rFonts w:ascii="Times New Roman" w:hAnsi="Times New Roman" w:cs="Times New Roman"/>
        <w:i w:val="0"/>
        <w:rtl w:val="0"/>
        <w:cs w:val="0"/>
      </w:rPr>
    </w:lvl>
    <w:lvl w:ilvl="1" w:tplc="E0AA6364">
      <w:start w:val="1"/>
      <w:numFmt w:val="lowerLetter"/>
      <w:lvlText w:val="%2."/>
      <w:lvlJc w:val="left"/>
      <w:pPr>
        <w:ind w:left="1959" w:hanging="360"/>
      </w:pPr>
      <w:rPr>
        <w:rFonts w:ascii="Times New Roman" w:hAnsi="Times New Roman" w:cs="Times New Roman"/>
        <w:rtl w:val="0"/>
        <w:cs w:val="0"/>
      </w:rPr>
    </w:lvl>
    <w:lvl w:ilvl="2" w:tplc="700CDD36">
      <w:start w:val="1"/>
      <w:numFmt w:val="lowerRoman"/>
      <w:lvlText w:val="%3."/>
      <w:lvlJc w:val="right"/>
      <w:pPr>
        <w:ind w:left="2679" w:hanging="180"/>
      </w:pPr>
      <w:rPr>
        <w:rFonts w:ascii="Times New Roman" w:hAnsi="Times New Roman" w:cs="Times New Roman"/>
        <w:rtl w:val="0"/>
        <w:cs w:val="0"/>
      </w:rPr>
    </w:lvl>
    <w:lvl w:ilvl="3" w:tplc="008C4122">
      <w:start w:val="1"/>
      <w:numFmt w:val="decimal"/>
      <w:lvlText w:val="%4."/>
      <w:lvlJc w:val="left"/>
      <w:pPr>
        <w:ind w:left="3399" w:hanging="360"/>
      </w:pPr>
      <w:rPr>
        <w:rFonts w:ascii="Times New Roman" w:hAnsi="Times New Roman" w:cs="Times New Roman"/>
        <w:rtl w:val="0"/>
        <w:cs w:val="0"/>
      </w:rPr>
    </w:lvl>
    <w:lvl w:ilvl="4" w:tplc="1E9A753C">
      <w:start w:val="1"/>
      <w:numFmt w:val="lowerLetter"/>
      <w:lvlText w:val="%5."/>
      <w:lvlJc w:val="left"/>
      <w:pPr>
        <w:ind w:left="4119" w:hanging="360"/>
      </w:pPr>
      <w:rPr>
        <w:rFonts w:ascii="Times New Roman" w:hAnsi="Times New Roman" w:cs="Times New Roman"/>
        <w:rtl w:val="0"/>
        <w:cs w:val="0"/>
      </w:rPr>
    </w:lvl>
    <w:lvl w:ilvl="5" w:tplc="F9A60A1E">
      <w:start w:val="1"/>
      <w:numFmt w:val="lowerRoman"/>
      <w:lvlText w:val="%6."/>
      <w:lvlJc w:val="right"/>
      <w:pPr>
        <w:ind w:left="4839" w:hanging="180"/>
      </w:pPr>
      <w:rPr>
        <w:rFonts w:ascii="Times New Roman" w:hAnsi="Times New Roman" w:cs="Times New Roman"/>
        <w:rtl w:val="0"/>
        <w:cs w:val="0"/>
      </w:rPr>
    </w:lvl>
    <w:lvl w:ilvl="6" w:tplc="87380DCE">
      <w:start w:val="1"/>
      <w:numFmt w:val="decimal"/>
      <w:lvlText w:val="%7."/>
      <w:lvlJc w:val="left"/>
      <w:pPr>
        <w:ind w:left="5559" w:hanging="360"/>
      </w:pPr>
      <w:rPr>
        <w:rFonts w:ascii="Times New Roman" w:hAnsi="Times New Roman" w:cs="Times New Roman"/>
        <w:rtl w:val="0"/>
        <w:cs w:val="0"/>
      </w:rPr>
    </w:lvl>
    <w:lvl w:ilvl="7" w:tplc="0180E69C">
      <w:start w:val="1"/>
      <w:numFmt w:val="lowerLetter"/>
      <w:lvlText w:val="%8."/>
      <w:lvlJc w:val="left"/>
      <w:pPr>
        <w:ind w:left="6279" w:hanging="360"/>
      </w:pPr>
      <w:rPr>
        <w:rFonts w:ascii="Times New Roman" w:hAnsi="Times New Roman" w:cs="Times New Roman"/>
        <w:rtl w:val="0"/>
        <w:cs w:val="0"/>
      </w:rPr>
    </w:lvl>
    <w:lvl w:ilvl="8" w:tplc="81B0C806">
      <w:start w:val="1"/>
      <w:numFmt w:val="lowerRoman"/>
      <w:lvlText w:val="%9."/>
      <w:lvlJc w:val="right"/>
      <w:pPr>
        <w:ind w:left="6999" w:hanging="180"/>
      </w:pPr>
      <w:rPr>
        <w:rFonts w:ascii="Times New Roman" w:hAnsi="Times New Roman" w:cs="Times New Roman"/>
        <w:rtl w:val="0"/>
        <w:cs w:val="0"/>
      </w:rPr>
    </w:lvl>
  </w:abstractNum>
  <w:abstractNum w:abstractNumId="2"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8520325"/>
    <w:multiLevelType w:val="hybridMultilevel"/>
    <w:tmpl w:val="78B0891A"/>
    <w:lvl w:ilvl="0" w:tplc="B562FA3E">
      <w:start w:val="1"/>
      <w:numFmt w:val="decimal"/>
      <w:lvlText w:val="%1."/>
      <w:lvlJc w:val="left"/>
      <w:pPr>
        <w:tabs>
          <w:tab w:val="num" w:pos="720"/>
        </w:tabs>
        <w:ind w:left="720" w:hanging="360"/>
      </w:pPr>
      <w:rPr>
        <w:rFonts w:cs="Times New Roman" w:hint="default"/>
        <w:b/>
        <w:bCs/>
        <w:i w:val="0"/>
        <w:iCs w:val="0"/>
        <w:rtl w:val="0"/>
        <w:cs w:val="0"/>
      </w:rPr>
    </w:lvl>
    <w:lvl w:ilvl="1" w:tplc="B5DC2D5C">
      <w:start w:val="1"/>
      <w:numFmt w:val="lowerLetter"/>
      <w:lvlText w:val="%2."/>
      <w:lvlJc w:val="left"/>
      <w:pPr>
        <w:tabs>
          <w:tab w:val="num" w:pos="1440"/>
        </w:tabs>
        <w:ind w:left="1440" w:hanging="360"/>
      </w:pPr>
      <w:rPr>
        <w:rFonts w:cs="Times New Roman"/>
        <w:rtl w:val="0"/>
        <w:cs w:val="0"/>
      </w:rPr>
    </w:lvl>
    <w:lvl w:ilvl="2" w:tplc="9192F328">
      <w:start w:val="1"/>
      <w:numFmt w:val="lowerRoman"/>
      <w:lvlText w:val="%3."/>
      <w:lvlJc w:val="right"/>
      <w:pPr>
        <w:tabs>
          <w:tab w:val="num" w:pos="2160"/>
        </w:tabs>
        <w:ind w:left="2160" w:hanging="180"/>
      </w:pPr>
      <w:rPr>
        <w:rFonts w:cs="Times New Roman"/>
        <w:rtl w:val="0"/>
        <w:cs w:val="0"/>
      </w:rPr>
    </w:lvl>
    <w:lvl w:ilvl="3" w:tplc="C574A8C4">
      <w:start w:val="1"/>
      <w:numFmt w:val="decimal"/>
      <w:lvlText w:val="%4."/>
      <w:lvlJc w:val="left"/>
      <w:pPr>
        <w:tabs>
          <w:tab w:val="num" w:pos="2880"/>
        </w:tabs>
        <w:ind w:left="2880" w:hanging="360"/>
      </w:pPr>
      <w:rPr>
        <w:rFonts w:cs="Times New Roman"/>
        <w:rtl w:val="0"/>
        <w:cs w:val="0"/>
      </w:rPr>
    </w:lvl>
    <w:lvl w:ilvl="4" w:tplc="F88A79F6">
      <w:start w:val="1"/>
      <w:numFmt w:val="lowerLetter"/>
      <w:lvlText w:val="%5."/>
      <w:lvlJc w:val="left"/>
      <w:pPr>
        <w:tabs>
          <w:tab w:val="num" w:pos="3600"/>
        </w:tabs>
        <w:ind w:left="3600" w:hanging="360"/>
      </w:pPr>
      <w:rPr>
        <w:rFonts w:cs="Times New Roman"/>
        <w:rtl w:val="0"/>
        <w:cs w:val="0"/>
      </w:rPr>
    </w:lvl>
    <w:lvl w:ilvl="5" w:tplc="40F2123E">
      <w:start w:val="1"/>
      <w:numFmt w:val="lowerRoman"/>
      <w:lvlText w:val="%6."/>
      <w:lvlJc w:val="right"/>
      <w:pPr>
        <w:tabs>
          <w:tab w:val="num" w:pos="4320"/>
        </w:tabs>
        <w:ind w:left="4320" w:hanging="180"/>
      </w:pPr>
      <w:rPr>
        <w:rFonts w:cs="Times New Roman"/>
        <w:rtl w:val="0"/>
        <w:cs w:val="0"/>
      </w:rPr>
    </w:lvl>
    <w:lvl w:ilvl="6" w:tplc="16BEFDAE">
      <w:start w:val="1"/>
      <w:numFmt w:val="decimal"/>
      <w:lvlText w:val="%7."/>
      <w:lvlJc w:val="left"/>
      <w:pPr>
        <w:tabs>
          <w:tab w:val="num" w:pos="5040"/>
        </w:tabs>
        <w:ind w:left="5040" w:hanging="360"/>
      </w:pPr>
      <w:rPr>
        <w:rFonts w:cs="Times New Roman"/>
        <w:rtl w:val="0"/>
        <w:cs w:val="0"/>
      </w:rPr>
    </w:lvl>
    <w:lvl w:ilvl="7" w:tplc="94A86392">
      <w:start w:val="1"/>
      <w:numFmt w:val="lowerLetter"/>
      <w:lvlText w:val="%8."/>
      <w:lvlJc w:val="left"/>
      <w:pPr>
        <w:tabs>
          <w:tab w:val="num" w:pos="5760"/>
        </w:tabs>
        <w:ind w:left="5760" w:hanging="360"/>
      </w:pPr>
      <w:rPr>
        <w:rFonts w:cs="Times New Roman"/>
        <w:rtl w:val="0"/>
        <w:cs w:val="0"/>
      </w:rPr>
    </w:lvl>
    <w:lvl w:ilvl="8" w:tplc="41E2F62C">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51091C3C"/>
    <w:multiLevelType w:val="hybridMultilevel"/>
    <w:tmpl w:val="693A4C22"/>
    <w:lvl w:ilvl="0" w:tplc="660EC2E8">
      <w:start w:val="1"/>
      <w:numFmt w:val="lowerLetter"/>
      <w:lvlText w:val="%1)"/>
      <w:lvlJc w:val="left"/>
      <w:pPr>
        <w:tabs>
          <w:tab w:val="num" w:pos="720"/>
        </w:tabs>
        <w:ind w:left="720" w:hanging="360"/>
      </w:pPr>
      <w:rPr>
        <w:rFonts w:cs="Times New Roman" w:hint="default"/>
        <w:rtl w:val="0"/>
        <w:cs w:val="0"/>
      </w:rPr>
    </w:lvl>
    <w:lvl w:ilvl="1" w:tplc="C12E920A">
      <w:start w:val="1"/>
      <w:numFmt w:val="lowerLetter"/>
      <w:lvlText w:val="%2."/>
      <w:lvlJc w:val="left"/>
      <w:pPr>
        <w:tabs>
          <w:tab w:val="num" w:pos="1440"/>
        </w:tabs>
        <w:ind w:left="1440" w:hanging="360"/>
      </w:pPr>
      <w:rPr>
        <w:rFonts w:cs="Times New Roman"/>
        <w:rtl w:val="0"/>
        <w:cs w:val="0"/>
      </w:rPr>
    </w:lvl>
    <w:lvl w:ilvl="2" w:tplc="2CFC4CBE">
      <w:start w:val="1"/>
      <w:numFmt w:val="lowerRoman"/>
      <w:lvlText w:val="%3."/>
      <w:lvlJc w:val="right"/>
      <w:pPr>
        <w:tabs>
          <w:tab w:val="num" w:pos="2160"/>
        </w:tabs>
        <w:ind w:left="2160" w:hanging="180"/>
      </w:pPr>
      <w:rPr>
        <w:rFonts w:cs="Times New Roman"/>
        <w:rtl w:val="0"/>
        <w:cs w:val="0"/>
      </w:rPr>
    </w:lvl>
    <w:lvl w:ilvl="3" w:tplc="6E6C8EF6">
      <w:start w:val="1"/>
      <w:numFmt w:val="decimal"/>
      <w:lvlText w:val="%4."/>
      <w:lvlJc w:val="left"/>
      <w:pPr>
        <w:tabs>
          <w:tab w:val="num" w:pos="2880"/>
        </w:tabs>
        <w:ind w:left="2880" w:hanging="360"/>
      </w:pPr>
      <w:rPr>
        <w:rFonts w:cs="Times New Roman"/>
        <w:rtl w:val="0"/>
        <w:cs w:val="0"/>
      </w:rPr>
    </w:lvl>
    <w:lvl w:ilvl="4" w:tplc="0BA2CAC6">
      <w:start w:val="1"/>
      <w:numFmt w:val="lowerLetter"/>
      <w:lvlText w:val="%5."/>
      <w:lvlJc w:val="left"/>
      <w:pPr>
        <w:tabs>
          <w:tab w:val="num" w:pos="3600"/>
        </w:tabs>
        <w:ind w:left="3600" w:hanging="360"/>
      </w:pPr>
      <w:rPr>
        <w:rFonts w:cs="Times New Roman"/>
        <w:rtl w:val="0"/>
        <w:cs w:val="0"/>
      </w:rPr>
    </w:lvl>
    <w:lvl w:ilvl="5" w:tplc="AA54014C">
      <w:start w:val="1"/>
      <w:numFmt w:val="lowerRoman"/>
      <w:lvlText w:val="%6."/>
      <w:lvlJc w:val="right"/>
      <w:pPr>
        <w:tabs>
          <w:tab w:val="num" w:pos="4320"/>
        </w:tabs>
        <w:ind w:left="4320" w:hanging="180"/>
      </w:pPr>
      <w:rPr>
        <w:rFonts w:cs="Times New Roman"/>
        <w:rtl w:val="0"/>
        <w:cs w:val="0"/>
      </w:rPr>
    </w:lvl>
    <w:lvl w:ilvl="6" w:tplc="08005E70">
      <w:start w:val="1"/>
      <w:numFmt w:val="decimal"/>
      <w:lvlText w:val="%7."/>
      <w:lvlJc w:val="left"/>
      <w:pPr>
        <w:tabs>
          <w:tab w:val="num" w:pos="5040"/>
        </w:tabs>
        <w:ind w:left="5040" w:hanging="360"/>
      </w:pPr>
      <w:rPr>
        <w:rFonts w:cs="Times New Roman"/>
        <w:rtl w:val="0"/>
        <w:cs w:val="0"/>
      </w:rPr>
    </w:lvl>
    <w:lvl w:ilvl="7" w:tplc="57A4C026">
      <w:start w:val="1"/>
      <w:numFmt w:val="lowerLetter"/>
      <w:lvlText w:val="%8."/>
      <w:lvlJc w:val="left"/>
      <w:pPr>
        <w:tabs>
          <w:tab w:val="num" w:pos="5760"/>
        </w:tabs>
        <w:ind w:left="5760" w:hanging="360"/>
      </w:pPr>
      <w:rPr>
        <w:rFonts w:cs="Times New Roman"/>
        <w:rtl w:val="0"/>
        <w:cs w:val="0"/>
      </w:rPr>
    </w:lvl>
    <w:lvl w:ilvl="8" w:tplc="F92CC134">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51B677BC"/>
    <w:multiLevelType w:val="hybridMultilevel"/>
    <w:tmpl w:val="9B7ECAC2"/>
    <w:lvl w:ilvl="0" w:tplc="9AAEACCE">
      <w:start w:val="1"/>
      <w:numFmt w:val="bullet"/>
      <w:lvlText w:val="-"/>
      <w:lvlJc w:val="left"/>
      <w:pPr>
        <w:ind w:left="1068" w:hanging="360"/>
      </w:pPr>
      <w:rPr>
        <w:rFonts w:ascii="Times New Roman" w:eastAsia="Times New Roman" w:hAnsi="Times New Roman" w:hint="default"/>
      </w:rPr>
    </w:lvl>
    <w:lvl w:ilvl="1" w:tplc="C4BA8630">
      <w:start w:val="1"/>
      <w:numFmt w:val="bullet"/>
      <w:lvlText w:val="o"/>
      <w:lvlJc w:val="left"/>
      <w:pPr>
        <w:ind w:left="1788" w:hanging="360"/>
      </w:pPr>
      <w:rPr>
        <w:rFonts w:ascii="Courier New" w:hAnsi="Courier New" w:hint="default"/>
      </w:rPr>
    </w:lvl>
    <w:lvl w:ilvl="2" w:tplc="45C28718">
      <w:start w:val="1"/>
      <w:numFmt w:val="bullet"/>
      <w:lvlText w:val=""/>
      <w:lvlJc w:val="left"/>
      <w:pPr>
        <w:ind w:left="2508" w:hanging="360"/>
      </w:pPr>
      <w:rPr>
        <w:rFonts w:ascii="Wingdings" w:hAnsi="Wingdings" w:hint="default"/>
      </w:rPr>
    </w:lvl>
    <w:lvl w:ilvl="3" w:tplc="4C92ED44">
      <w:start w:val="1"/>
      <w:numFmt w:val="bullet"/>
      <w:lvlText w:val=""/>
      <w:lvlJc w:val="left"/>
      <w:pPr>
        <w:ind w:left="3228" w:hanging="360"/>
      </w:pPr>
      <w:rPr>
        <w:rFonts w:ascii="Symbol" w:hAnsi="Symbol" w:hint="default"/>
      </w:rPr>
    </w:lvl>
    <w:lvl w:ilvl="4" w:tplc="EA22989E">
      <w:start w:val="1"/>
      <w:numFmt w:val="bullet"/>
      <w:lvlText w:val="o"/>
      <w:lvlJc w:val="left"/>
      <w:pPr>
        <w:ind w:left="3948" w:hanging="360"/>
      </w:pPr>
      <w:rPr>
        <w:rFonts w:ascii="Courier New" w:hAnsi="Courier New" w:hint="default"/>
      </w:rPr>
    </w:lvl>
    <w:lvl w:ilvl="5" w:tplc="8A3C975C">
      <w:start w:val="1"/>
      <w:numFmt w:val="bullet"/>
      <w:lvlText w:val=""/>
      <w:lvlJc w:val="left"/>
      <w:pPr>
        <w:ind w:left="4668" w:hanging="360"/>
      </w:pPr>
      <w:rPr>
        <w:rFonts w:ascii="Wingdings" w:hAnsi="Wingdings" w:hint="default"/>
      </w:rPr>
    </w:lvl>
    <w:lvl w:ilvl="6" w:tplc="316A05B6">
      <w:start w:val="1"/>
      <w:numFmt w:val="bullet"/>
      <w:lvlText w:val=""/>
      <w:lvlJc w:val="left"/>
      <w:pPr>
        <w:ind w:left="5388" w:hanging="360"/>
      </w:pPr>
      <w:rPr>
        <w:rFonts w:ascii="Symbol" w:hAnsi="Symbol" w:hint="default"/>
      </w:rPr>
    </w:lvl>
    <w:lvl w:ilvl="7" w:tplc="69AAF9EC">
      <w:start w:val="1"/>
      <w:numFmt w:val="bullet"/>
      <w:lvlText w:val="o"/>
      <w:lvlJc w:val="left"/>
      <w:pPr>
        <w:ind w:left="6108" w:hanging="360"/>
      </w:pPr>
      <w:rPr>
        <w:rFonts w:ascii="Courier New" w:hAnsi="Courier New" w:hint="default"/>
      </w:rPr>
    </w:lvl>
    <w:lvl w:ilvl="8" w:tplc="635E89C6">
      <w:start w:val="1"/>
      <w:numFmt w:val="bullet"/>
      <w:lvlText w:val=""/>
      <w:lvlJc w:val="left"/>
      <w:pPr>
        <w:ind w:left="6828" w:hanging="360"/>
      </w:pPr>
      <w:rPr>
        <w:rFonts w:ascii="Wingdings" w:hAnsi="Wingdings" w:hint="default"/>
      </w:rPr>
    </w:lvl>
  </w:abstractNum>
  <w:abstractNum w:abstractNumId="7" w15:restartNumberingAfterBreak="0">
    <w:nsid w:val="533C6B47"/>
    <w:multiLevelType w:val="hybridMultilevel"/>
    <w:tmpl w:val="C32AB85A"/>
    <w:lvl w:ilvl="0" w:tplc="643E34A4">
      <w:start w:val="1"/>
      <w:numFmt w:val="lowerLetter"/>
      <w:lvlText w:val="%1)"/>
      <w:lvlJc w:val="left"/>
      <w:pPr>
        <w:ind w:left="720" w:hanging="360"/>
      </w:pPr>
      <w:rPr>
        <w:rFonts w:cs="Times New Roman" w:hint="default"/>
        <w:rtl w:val="0"/>
        <w:cs w:val="0"/>
      </w:rPr>
    </w:lvl>
    <w:lvl w:ilvl="1" w:tplc="E1B0C312">
      <w:start w:val="1"/>
      <w:numFmt w:val="lowerLetter"/>
      <w:lvlText w:val="%2."/>
      <w:lvlJc w:val="left"/>
      <w:pPr>
        <w:ind w:left="1440" w:hanging="360"/>
      </w:pPr>
      <w:rPr>
        <w:rFonts w:cs="Times New Roman"/>
        <w:rtl w:val="0"/>
        <w:cs w:val="0"/>
      </w:rPr>
    </w:lvl>
    <w:lvl w:ilvl="2" w:tplc="20D293C0">
      <w:start w:val="1"/>
      <w:numFmt w:val="lowerRoman"/>
      <w:lvlText w:val="%3."/>
      <w:lvlJc w:val="right"/>
      <w:pPr>
        <w:ind w:left="2160" w:hanging="180"/>
      </w:pPr>
      <w:rPr>
        <w:rFonts w:cs="Times New Roman"/>
        <w:rtl w:val="0"/>
        <w:cs w:val="0"/>
      </w:rPr>
    </w:lvl>
    <w:lvl w:ilvl="3" w:tplc="BAD2BCDA">
      <w:start w:val="1"/>
      <w:numFmt w:val="decimal"/>
      <w:lvlText w:val="%4."/>
      <w:lvlJc w:val="left"/>
      <w:pPr>
        <w:ind w:left="2880" w:hanging="360"/>
      </w:pPr>
      <w:rPr>
        <w:rFonts w:cs="Times New Roman"/>
        <w:rtl w:val="0"/>
        <w:cs w:val="0"/>
      </w:rPr>
    </w:lvl>
    <w:lvl w:ilvl="4" w:tplc="A87ADD86">
      <w:start w:val="1"/>
      <w:numFmt w:val="lowerLetter"/>
      <w:lvlText w:val="%5."/>
      <w:lvlJc w:val="left"/>
      <w:pPr>
        <w:ind w:left="3600" w:hanging="360"/>
      </w:pPr>
      <w:rPr>
        <w:rFonts w:cs="Times New Roman"/>
        <w:rtl w:val="0"/>
        <w:cs w:val="0"/>
      </w:rPr>
    </w:lvl>
    <w:lvl w:ilvl="5" w:tplc="EADEE8AE">
      <w:start w:val="1"/>
      <w:numFmt w:val="lowerRoman"/>
      <w:lvlText w:val="%6."/>
      <w:lvlJc w:val="right"/>
      <w:pPr>
        <w:ind w:left="4320" w:hanging="180"/>
      </w:pPr>
      <w:rPr>
        <w:rFonts w:cs="Times New Roman"/>
        <w:rtl w:val="0"/>
        <w:cs w:val="0"/>
      </w:rPr>
    </w:lvl>
    <w:lvl w:ilvl="6" w:tplc="0590DE5C">
      <w:start w:val="1"/>
      <w:numFmt w:val="decimal"/>
      <w:lvlText w:val="%7."/>
      <w:lvlJc w:val="left"/>
      <w:pPr>
        <w:ind w:left="5040" w:hanging="360"/>
      </w:pPr>
      <w:rPr>
        <w:rFonts w:cs="Times New Roman"/>
        <w:rtl w:val="0"/>
        <w:cs w:val="0"/>
      </w:rPr>
    </w:lvl>
    <w:lvl w:ilvl="7" w:tplc="090206D0">
      <w:start w:val="1"/>
      <w:numFmt w:val="lowerLetter"/>
      <w:lvlText w:val="%8."/>
      <w:lvlJc w:val="left"/>
      <w:pPr>
        <w:ind w:left="5760" w:hanging="360"/>
      </w:pPr>
      <w:rPr>
        <w:rFonts w:cs="Times New Roman"/>
        <w:rtl w:val="0"/>
        <w:cs w:val="0"/>
      </w:rPr>
    </w:lvl>
    <w:lvl w:ilvl="8" w:tplc="BCACB226">
      <w:start w:val="1"/>
      <w:numFmt w:val="lowerRoman"/>
      <w:lvlText w:val="%9."/>
      <w:lvlJc w:val="right"/>
      <w:pPr>
        <w:ind w:left="6480" w:hanging="180"/>
      </w:pPr>
      <w:rPr>
        <w:rFonts w:cs="Times New Roman"/>
        <w:rtl w:val="0"/>
        <w:cs w:val="0"/>
      </w:rPr>
    </w:lvl>
  </w:abstractNum>
  <w:abstractNum w:abstractNumId="8"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74983FF9"/>
    <w:multiLevelType w:val="hybridMultilevel"/>
    <w:tmpl w:val="1940307E"/>
    <w:lvl w:ilvl="0" w:tplc="6A5221FC">
      <w:start w:val="1"/>
      <w:numFmt w:val="bullet"/>
      <w:lvlText w:val="-"/>
      <w:lvlJc w:val="left"/>
      <w:pPr>
        <w:tabs>
          <w:tab w:val="num" w:pos="928"/>
        </w:tabs>
        <w:ind w:left="739" w:hanging="171"/>
      </w:pPr>
    </w:lvl>
    <w:lvl w:ilvl="1" w:tplc="25F80D62">
      <w:start w:val="1"/>
      <w:numFmt w:val="bullet"/>
      <w:lvlText w:val="o"/>
      <w:lvlJc w:val="left"/>
      <w:pPr>
        <w:tabs>
          <w:tab w:val="num" w:pos="1788"/>
        </w:tabs>
        <w:ind w:left="1788" w:hanging="360"/>
      </w:pPr>
      <w:rPr>
        <w:rFonts w:ascii="Courier New" w:hAnsi="Courier New"/>
      </w:rPr>
    </w:lvl>
    <w:lvl w:ilvl="2" w:tplc="D0F62CBC">
      <w:start w:val="1"/>
      <w:numFmt w:val="bullet"/>
      <w:lvlText w:val=""/>
      <w:lvlJc w:val="left"/>
      <w:pPr>
        <w:tabs>
          <w:tab w:val="num" w:pos="2508"/>
        </w:tabs>
        <w:ind w:left="2508" w:hanging="360"/>
      </w:pPr>
      <w:rPr>
        <w:rFonts w:ascii="Wingdings" w:hAnsi="Wingdings"/>
      </w:rPr>
    </w:lvl>
    <w:lvl w:ilvl="3" w:tplc="93E06BA0">
      <w:start w:val="1"/>
      <w:numFmt w:val="bullet"/>
      <w:lvlText w:val=""/>
      <w:lvlJc w:val="left"/>
      <w:pPr>
        <w:tabs>
          <w:tab w:val="num" w:pos="3228"/>
        </w:tabs>
        <w:ind w:left="3228" w:hanging="360"/>
      </w:pPr>
      <w:rPr>
        <w:rFonts w:ascii="Symbol" w:hAnsi="Symbol"/>
      </w:rPr>
    </w:lvl>
    <w:lvl w:ilvl="4" w:tplc="5FB8B092">
      <w:start w:val="1"/>
      <w:numFmt w:val="bullet"/>
      <w:lvlText w:val="o"/>
      <w:lvlJc w:val="left"/>
      <w:pPr>
        <w:tabs>
          <w:tab w:val="num" w:pos="3948"/>
        </w:tabs>
        <w:ind w:left="3948" w:hanging="360"/>
      </w:pPr>
      <w:rPr>
        <w:rFonts w:ascii="Courier New" w:hAnsi="Courier New"/>
      </w:rPr>
    </w:lvl>
    <w:lvl w:ilvl="5" w:tplc="7408D74E">
      <w:start w:val="1"/>
      <w:numFmt w:val="bullet"/>
      <w:lvlText w:val=""/>
      <w:lvlJc w:val="left"/>
      <w:pPr>
        <w:tabs>
          <w:tab w:val="num" w:pos="4668"/>
        </w:tabs>
        <w:ind w:left="4668" w:hanging="360"/>
      </w:pPr>
      <w:rPr>
        <w:rFonts w:ascii="Wingdings" w:hAnsi="Wingdings"/>
      </w:rPr>
    </w:lvl>
    <w:lvl w:ilvl="6" w:tplc="8920FDF4">
      <w:start w:val="1"/>
      <w:numFmt w:val="bullet"/>
      <w:lvlText w:val=""/>
      <w:lvlJc w:val="left"/>
      <w:pPr>
        <w:tabs>
          <w:tab w:val="num" w:pos="5388"/>
        </w:tabs>
        <w:ind w:left="5388" w:hanging="360"/>
      </w:pPr>
      <w:rPr>
        <w:rFonts w:ascii="Symbol" w:hAnsi="Symbol"/>
      </w:rPr>
    </w:lvl>
    <w:lvl w:ilvl="7" w:tplc="389C1310">
      <w:start w:val="1"/>
      <w:numFmt w:val="bullet"/>
      <w:lvlText w:val="o"/>
      <w:lvlJc w:val="left"/>
      <w:pPr>
        <w:tabs>
          <w:tab w:val="num" w:pos="6108"/>
        </w:tabs>
        <w:ind w:left="6108" w:hanging="360"/>
      </w:pPr>
      <w:rPr>
        <w:rFonts w:ascii="Courier New" w:hAnsi="Courier New"/>
      </w:rPr>
    </w:lvl>
    <w:lvl w:ilvl="8" w:tplc="B9629874">
      <w:start w:val="1"/>
      <w:numFmt w:val="bullet"/>
      <w:lvlText w:val=""/>
      <w:lvlJc w:val="left"/>
      <w:pPr>
        <w:tabs>
          <w:tab w:val="num" w:pos="6828"/>
        </w:tabs>
        <w:ind w:left="6828" w:hanging="360"/>
      </w:pPr>
      <w:rPr>
        <w:rFonts w:ascii="Wingdings" w:hAnsi="Wingdings"/>
      </w:rPr>
    </w:lvl>
  </w:abstractNum>
  <w:abstractNum w:abstractNumId="11"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2"/>
  </w:num>
  <w:num w:numId="4">
    <w:abstractNumId w:val="9"/>
  </w:num>
  <w:num w:numId="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7"/>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127F4B"/>
    <w:rsid w:val="002E1C8B"/>
    <w:rsid w:val="00321512"/>
    <w:rsid w:val="0037025A"/>
    <w:rsid w:val="003920F8"/>
    <w:rsid w:val="00404741"/>
    <w:rsid w:val="00463651"/>
    <w:rsid w:val="004C5139"/>
    <w:rsid w:val="004D1400"/>
    <w:rsid w:val="005127E5"/>
    <w:rsid w:val="00526BCB"/>
    <w:rsid w:val="006241DC"/>
    <w:rsid w:val="00630934"/>
    <w:rsid w:val="00706D76"/>
    <w:rsid w:val="007270FB"/>
    <w:rsid w:val="007369AF"/>
    <w:rsid w:val="00774679"/>
    <w:rsid w:val="00785942"/>
    <w:rsid w:val="00794C60"/>
    <w:rsid w:val="007C2246"/>
    <w:rsid w:val="007C355E"/>
    <w:rsid w:val="007F535E"/>
    <w:rsid w:val="008126BB"/>
    <w:rsid w:val="008B2EE9"/>
    <w:rsid w:val="008D3514"/>
    <w:rsid w:val="008D7E9B"/>
    <w:rsid w:val="008F0400"/>
    <w:rsid w:val="00936279"/>
    <w:rsid w:val="009425C3"/>
    <w:rsid w:val="009A1EA0"/>
    <w:rsid w:val="009C1F0D"/>
    <w:rsid w:val="00A4760A"/>
    <w:rsid w:val="00A503B5"/>
    <w:rsid w:val="00A82E11"/>
    <w:rsid w:val="00A8760C"/>
    <w:rsid w:val="00AD760A"/>
    <w:rsid w:val="00B079CC"/>
    <w:rsid w:val="00B1528B"/>
    <w:rsid w:val="00B27823"/>
    <w:rsid w:val="00B83154"/>
    <w:rsid w:val="00BE2399"/>
    <w:rsid w:val="00BE418B"/>
    <w:rsid w:val="00BF7747"/>
    <w:rsid w:val="00C14D07"/>
    <w:rsid w:val="00C4480B"/>
    <w:rsid w:val="00CC33BC"/>
    <w:rsid w:val="00CD02B5"/>
    <w:rsid w:val="00CE738A"/>
    <w:rsid w:val="00D23616"/>
    <w:rsid w:val="00D83641"/>
    <w:rsid w:val="00D85EA2"/>
    <w:rsid w:val="00E24535"/>
    <w:rsid w:val="00EA3411"/>
    <w:rsid w:val="00F07FA6"/>
    <w:rsid w:val="00FF0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paragraph" w:styleId="Zkladntext">
    <w:name w:val="Body Text"/>
    <w:basedOn w:val="Normlny"/>
    <w:link w:val="ZkladntextChar"/>
    <w:uiPriority w:val="99"/>
    <w:unhideWhenUsed/>
    <w:rsid w:val="006241DC"/>
    <w:pPr>
      <w:spacing w:after="120"/>
    </w:pPr>
    <w:rPr>
      <w:rFonts w:ascii="Calibri" w:eastAsia="Calibri" w:hAnsi="Calibri" w:cs="Calibri"/>
      <w:lang w:eastAsia="sk-SK"/>
    </w:rPr>
  </w:style>
  <w:style w:type="character" w:customStyle="1" w:styleId="ZkladntextChar">
    <w:name w:val="Základný text Char"/>
    <w:basedOn w:val="Predvolenpsmoodseku"/>
    <w:link w:val="Zkladntext"/>
    <w:uiPriority w:val="99"/>
    <w:rsid w:val="006241DC"/>
    <w:rPr>
      <w:rFonts w:ascii="Calibri" w:eastAsia="Calibri" w:hAnsi="Calibri" w:cs="Calibri"/>
      <w:lang w:eastAsia="sk-SK"/>
    </w:rPr>
  </w:style>
  <w:style w:type="paragraph" w:customStyle="1" w:styleId="titulok">
    <w:name w:val="titulok"/>
    <w:basedOn w:val="Normlny"/>
    <w:rsid w:val="006241DC"/>
    <w:pPr>
      <w:spacing w:before="100" w:beforeAutospacing="1" w:after="100" w:afterAutospacing="1"/>
      <w:jc w:val="center"/>
    </w:pPr>
    <w:rPr>
      <w:rFonts w:ascii="Arial" w:eastAsia="Times New Roman" w:hAnsi="Arial" w:cs="Arial"/>
      <w:b/>
      <w:bCs/>
      <w:color w:val="00706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2020-06-18T22:18:00Z</dcterms:created>
  <dcterms:modified xsi:type="dcterms:W3CDTF">2020-08-13T08:41:00Z</dcterms:modified>
</cp:coreProperties>
</file>