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ADB0" w14:textId="77777777" w:rsidR="00D14B99" w:rsidRPr="00117A7E" w:rsidRDefault="00B326AA">
      <w:pPr>
        <w:jc w:val="center"/>
        <w:rPr>
          <w:b/>
          <w:caps/>
          <w:spacing w:val="30"/>
          <w:sz w:val="25"/>
          <w:szCs w:val="25"/>
        </w:rPr>
      </w:pPr>
      <w:bookmarkStart w:id="0" w:name="_GoBack"/>
      <w:bookmarkEnd w:id="0"/>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2714336F" w:rsidR="001F0AA3" w:rsidRPr="00117A7E" w:rsidRDefault="001F0AA3" w:rsidP="001F0AA3">
            <w:pPr>
              <w:tabs>
                <w:tab w:val="left" w:pos="360"/>
              </w:tabs>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046B1DFB" w:rsidR="008570D4" w:rsidRPr="00117A7E" w:rsidRDefault="00812792" w:rsidP="002B14DD">
            <w:pPr>
              <w:pStyle w:val="Odsekzoznamu"/>
              <w:numPr>
                <w:ilvl w:val="0"/>
                <w:numId w:val="7"/>
              </w:numPr>
              <w:tabs>
                <w:tab w:val="left" w:pos="360"/>
              </w:tabs>
            </w:pPr>
            <w:r>
              <w:rPr>
                <w:rFonts w:ascii="Times" w:hAnsi="Times" w:cs="Times"/>
                <w:sz w:val="25"/>
                <w:szCs w:val="25"/>
              </w:rPr>
              <w:t>je upravený v práve Európskej únie</w:t>
            </w:r>
          </w:p>
          <w:p w14:paraId="73E23895" w14:textId="7CBEF1A9" w:rsidR="00812792" w:rsidRDefault="00812792">
            <w:pPr>
              <w:divId w:val="962662398"/>
              <w:rPr>
                <w:rFonts w:ascii="Times" w:hAnsi="Times" w:cs="Times"/>
                <w:sz w:val="25"/>
                <w:szCs w:val="25"/>
              </w:rPr>
            </w:pPr>
            <w:r>
              <w:rPr>
                <w:rFonts w:ascii="Times" w:hAnsi="Times" w:cs="Times"/>
                <w:sz w:val="25"/>
                <w:szCs w:val="25"/>
              </w:rPr>
              <w:br/>
            </w:r>
            <w:r>
              <w:rPr>
                <w:rFonts w:ascii="Times" w:hAnsi="Times" w:cs="Times"/>
                <w:i/>
                <w:iCs/>
                <w:sz w:val="25"/>
                <w:szCs w:val="25"/>
              </w:rPr>
              <w:t xml:space="preserve">- primárnom </w:t>
            </w:r>
            <w:r>
              <w:rPr>
                <w:rFonts w:ascii="Times" w:hAnsi="Times" w:cs="Times"/>
                <w:sz w:val="25"/>
                <w:szCs w:val="25"/>
              </w:rPr>
              <w:br/>
            </w:r>
            <w:r>
              <w:rPr>
                <w:rFonts w:ascii="Times" w:hAnsi="Times" w:cs="Times"/>
                <w:sz w:val="25"/>
                <w:szCs w:val="25"/>
              </w:rPr>
              <w:br/>
              <w:t>čl. 42, 43 ods. 2, 114 ods. 1 Zmluvy o fungovaní Európskej únie</w:t>
            </w:r>
          </w:p>
          <w:p w14:paraId="394454C0" w14:textId="4449DCA0" w:rsidR="00054456" w:rsidRPr="00117A7E" w:rsidRDefault="00054456" w:rsidP="00054456">
            <w:pPr>
              <w:pStyle w:val="Odsekzoznamu"/>
              <w:tabs>
                <w:tab w:val="left" w:pos="360"/>
              </w:tabs>
              <w:ind w:left="360"/>
            </w:pPr>
          </w:p>
          <w:p w14:paraId="74D1B354" w14:textId="570E6762" w:rsidR="00812792" w:rsidRDefault="00812792">
            <w:pPr>
              <w:divId w:val="1525709038"/>
              <w:rPr>
                <w:rFonts w:ascii="Times" w:hAnsi="Times" w:cs="Times"/>
                <w:sz w:val="25"/>
                <w:szCs w:val="25"/>
              </w:rPr>
            </w:pPr>
            <w:r>
              <w:rPr>
                <w:rFonts w:ascii="Times" w:hAnsi="Times" w:cs="Times"/>
                <w:i/>
                <w:iCs/>
                <w:sz w:val="25"/>
                <w:szCs w:val="25"/>
              </w:rPr>
              <w:t xml:space="preserve">- sekundárnom </w:t>
            </w:r>
            <w:r>
              <w:rPr>
                <w:rFonts w:ascii="Times" w:hAnsi="Times" w:cs="Times"/>
                <w:sz w:val="25"/>
                <w:szCs w:val="25"/>
              </w:rPr>
              <w:br/>
            </w:r>
            <w:r>
              <w:rPr>
                <w:rFonts w:ascii="Times" w:hAnsi="Times" w:cs="Times"/>
                <w:sz w:val="25"/>
                <w:szCs w:val="25"/>
              </w:rPr>
              <w:br/>
              <w:t>Smernica Európskeho parlamentu a Rady 2004/48/ES z 29. apríla 2004 o vymožiteľnosti práv duševného vlastníctva (Mimoriadne vydanie Ú. v. EÚ, kap. 17/zv. 2, Ú. v. EÚ L 157, 30.4.2004), gestor: MK SR a spolugestor: MS SR a ÚPV SR.Nariadenie Európskeho parlamentu a Rady (EÚ) č. 1151/2012 z 21. novembra 2012 o systémoch kvality pre poľnohospodárske výrobky a potraviny (Ú. v. EÚ L 343, 14.12.2012) v platnom znení, gestor: MPRV SR, ÚPV SR.Nariadenie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SR.Nariadenie Európskeho parlamentu a Rady (EÚ) č. 251/2014 z 26. februára 2014 o vymedzení, opise, obchodnej úprave, označovaní a ochrane zemepisných označení aromatizovaných vínnych výrobkov a o zrušení nariadenia Rady (EHS) č. 1601/91 (Ú. v. EÚ L 84, 20.3.2014), gestor: MPRV SR.Delegované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SR.Vykonávacie nariadenie Komisie (EÚ) č. 668/2014 z 13. júna 2014 , ktorým sa stanovujú pravidlá uplatňovania nariadenia Európskeho parlamentu a Rady (EÚ) č. 1151/2012 o systémoch kvality pre poľnohospodárske výrobky a potraviny (Ú. v. EÚ L 179, 19.6.2014), gestor: MPRV SR, ÚPV SR.Delegované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SR.Nariadenie Európskeho parlamentu a Rady (EÚ) 2019/1753 z 23. októbra 2019 o činnosti Únie po jej pristúpení k Ženevskému aktu Lisabonskej dohody o označeniach pôvodu a zemepisných označeniach (Ú. v. EÚ L 271, 24.10.2019), gestor: MPRV SR, ÚPV SR.Rozhodnutie Rady (EÚ) 2019/1754 zo 7. októbra 2019 o pristúpení Európskej únie k Ženevskému aktu Lisabonskej dohody o označeniach pôvodu a zemepisných označeniach (Ú. v. EÚ L 271, 24.10.2019), gestor: ÚPV SR.Vykonávacie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w:t>
            </w:r>
          </w:p>
          <w:p w14:paraId="5C41D9D3" w14:textId="5EA0F4F7" w:rsidR="006F3E6F" w:rsidRPr="00117A7E" w:rsidRDefault="006F3E6F" w:rsidP="006F3E6F">
            <w:pPr>
              <w:pStyle w:val="Odsekzoznamu"/>
              <w:tabs>
                <w:tab w:val="left" w:pos="360"/>
              </w:tabs>
              <w:ind w:left="360"/>
            </w:pPr>
          </w:p>
          <w:p w14:paraId="5DE3403E" w14:textId="4A837B3A" w:rsidR="0023485C" w:rsidRPr="00117A7E" w:rsidRDefault="0023485C" w:rsidP="006F3E6F">
            <w:pPr>
              <w:pStyle w:val="Odsekzoznamu"/>
              <w:tabs>
                <w:tab w:val="left" w:pos="360"/>
              </w:tabs>
              <w:ind w:left="360"/>
            </w:pPr>
          </w:p>
          <w:p w14:paraId="20F46682" w14:textId="5080EA2C" w:rsidR="0023485C" w:rsidRPr="00117A7E" w:rsidRDefault="00812792" w:rsidP="006F3E6F">
            <w:pPr>
              <w:pStyle w:val="Odsekzoznamu"/>
              <w:tabs>
                <w:tab w:val="left" w:pos="360"/>
              </w:tabs>
              <w:ind w:left="360"/>
            </w:pPr>
            <w:r>
              <w:rPr>
                <w:rFonts w:ascii="Times" w:hAnsi="Times" w:cs="Times"/>
                <w:i/>
                <w:iCs/>
                <w:sz w:val="25"/>
                <w:szCs w:val="25"/>
              </w:rPr>
              <w:t>- v judikatúre Súdneho dvora Európskej únie</w:t>
            </w: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388271C0" w:rsidR="001F0AA3" w:rsidRPr="00117A7E" w:rsidRDefault="001F0AA3" w:rsidP="003841E0">
            <w:pPr>
              <w:pStyle w:val="Odsekzoznamu"/>
              <w:numPr>
                <w:ilvl w:val="0"/>
                <w:numId w:val="7"/>
              </w:numPr>
              <w:tabs>
                <w:tab w:val="left" w:pos="360"/>
              </w:tabs>
            </w:pPr>
          </w:p>
          <w:p w14:paraId="38103B3F" w14:textId="4787DADD" w:rsidR="00812792" w:rsidRDefault="00812792">
            <w:pPr>
              <w:divId w:val="412312317"/>
              <w:rPr>
                <w:rFonts w:ascii="Times" w:hAnsi="Times" w:cs="Times"/>
                <w:sz w:val="25"/>
                <w:szCs w:val="25"/>
              </w:rPr>
            </w:pPr>
            <w:r>
              <w:rPr>
                <w:rFonts w:ascii="Times" w:hAnsi="Times" w:cs="Times"/>
                <w:sz w:val="25"/>
                <w:szCs w:val="25"/>
              </w:rPr>
              <w:br/>
              <w:t>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ZFEÚ.)“.Existuje relevantná judikatúra Súdneho dvora EÚ vo veciach označení pôvodu výrobkov a zemepisných označení výrobkov. Z ostatných piatich rokov napr. rozsudky vo veciach C-75/15, C-393/16, C-44/17, C-367/17, C-614/17, C-569/18.Rozsudok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w:t>
            </w:r>
          </w:p>
          <w:p w14:paraId="10E820A7" w14:textId="41E4184B" w:rsidR="0023485C" w:rsidRPr="00117A7E" w:rsidRDefault="0023485C" w:rsidP="00812792">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7C9C1353" w14:textId="677A30B8" w:rsidR="00812792" w:rsidRDefault="00812792"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812792" w14:paraId="6FEA91FB" w14:textId="77777777">
        <w:trPr>
          <w:divId w:val="1643929061"/>
          <w:jc w:val="center"/>
        </w:trPr>
        <w:tc>
          <w:tcPr>
            <w:tcW w:w="250" w:type="pct"/>
            <w:tcBorders>
              <w:top w:val="nil"/>
              <w:left w:val="nil"/>
              <w:bottom w:val="nil"/>
              <w:right w:val="nil"/>
            </w:tcBorders>
            <w:hideMark/>
          </w:tcPr>
          <w:p w14:paraId="1459E312" w14:textId="77777777" w:rsidR="00812792" w:rsidRDefault="00812792">
            <w:pPr>
              <w:rPr>
                <w:rFonts w:ascii="Times" w:hAnsi="Times" w:cs="Times"/>
                <w:b/>
                <w:bCs/>
                <w:sz w:val="25"/>
                <w:szCs w:val="25"/>
              </w:rPr>
            </w:pPr>
            <w:r>
              <w:rPr>
                <w:rFonts w:ascii="Times" w:hAnsi="Times" w:cs="Times"/>
                <w:b/>
                <w:bCs/>
                <w:sz w:val="25"/>
                <w:szCs w:val="25"/>
              </w:rPr>
              <w:t>4.</w:t>
            </w:r>
          </w:p>
        </w:tc>
        <w:tc>
          <w:tcPr>
            <w:tcW w:w="4750" w:type="pct"/>
            <w:gridSpan w:val="2"/>
            <w:tcBorders>
              <w:top w:val="nil"/>
              <w:left w:val="nil"/>
              <w:bottom w:val="nil"/>
              <w:right w:val="nil"/>
            </w:tcBorders>
            <w:vAlign w:val="center"/>
            <w:hideMark/>
          </w:tcPr>
          <w:p w14:paraId="5768F0CB" w14:textId="77777777" w:rsidR="00812792" w:rsidRDefault="00812792">
            <w:pPr>
              <w:spacing w:after="250"/>
              <w:rPr>
                <w:rFonts w:ascii="Times" w:hAnsi="Times" w:cs="Times"/>
                <w:b/>
                <w:bCs/>
                <w:sz w:val="25"/>
                <w:szCs w:val="25"/>
              </w:rPr>
            </w:pPr>
            <w:r>
              <w:rPr>
                <w:rFonts w:ascii="Times" w:hAnsi="Times" w:cs="Times"/>
                <w:b/>
                <w:bCs/>
                <w:sz w:val="25"/>
                <w:szCs w:val="25"/>
              </w:rPr>
              <w:t>Záväzky Slovenskej republiky vo vzťahu k Európskej únii:</w:t>
            </w:r>
          </w:p>
        </w:tc>
      </w:tr>
      <w:tr w:rsidR="00812792" w14:paraId="2032EAE7" w14:textId="77777777">
        <w:trPr>
          <w:divId w:val="1643929061"/>
          <w:jc w:val="center"/>
        </w:trPr>
        <w:tc>
          <w:tcPr>
            <w:tcW w:w="0" w:type="auto"/>
            <w:tcBorders>
              <w:top w:val="nil"/>
              <w:left w:val="nil"/>
              <w:bottom w:val="nil"/>
              <w:right w:val="nil"/>
            </w:tcBorders>
            <w:hideMark/>
          </w:tcPr>
          <w:p w14:paraId="14EF3C27" w14:textId="77777777" w:rsidR="00812792" w:rsidRDefault="00812792">
            <w:pPr>
              <w:spacing w:after="250"/>
              <w:rPr>
                <w:rFonts w:ascii="Times" w:hAnsi="Times" w:cs="Times"/>
                <w:b/>
                <w:bCs/>
                <w:sz w:val="25"/>
                <w:szCs w:val="25"/>
              </w:rPr>
            </w:pPr>
          </w:p>
        </w:tc>
        <w:tc>
          <w:tcPr>
            <w:tcW w:w="150" w:type="pct"/>
            <w:tcBorders>
              <w:top w:val="nil"/>
              <w:left w:val="nil"/>
              <w:bottom w:val="nil"/>
              <w:right w:val="nil"/>
            </w:tcBorders>
            <w:hideMark/>
          </w:tcPr>
          <w:p w14:paraId="38E36249" w14:textId="77777777" w:rsidR="00812792" w:rsidRDefault="00812792">
            <w:pPr>
              <w:rPr>
                <w:rFonts w:ascii="Times" w:hAnsi="Times" w:cs="Times"/>
                <w:sz w:val="25"/>
                <w:szCs w:val="25"/>
              </w:rPr>
            </w:pPr>
            <w:r>
              <w:rPr>
                <w:rFonts w:ascii="Times" w:hAnsi="Times" w:cs="Times"/>
                <w:sz w:val="25"/>
                <w:szCs w:val="25"/>
              </w:rPr>
              <w:t>a)</w:t>
            </w:r>
          </w:p>
        </w:tc>
        <w:tc>
          <w:tcPr>
            <w:tcW w:w="0" w:type="auto"/>
            <w:tcBorders>
              <w:top w:val="nil"/>
              <w:left w:val="nil"/>
              <w:bottom w:val="nil"/>
              <w:right w:val="nil"/>
            </w:tcBorders>
            <w:vAlign w:val="center"/>
            <w:hideMark/>
          </w:tcPr>
          <w:p w14:paraId="063E5441" w14:textId="77777777" w:rsidR="00812792" w:rsidRDefault="00812792">
            <w:pPr>
              <w:spacing w:after="250"/>
              <w:rPr>
                <w:rFonts w:ascii="Times" w:hAnsi="Times" w:cs="Times"/>
                <w:sz w:val="25"/>
                <w:szCs w:val="25"/>
              </w:rPr>
            </w:pPr>
            <w:r>
              <w:rPr>
                <w:rFonts w:ascii="Times" w:hAnsi="Times" w:cs="Times"/>
                <w:sz w:val="25"/>
                <w:szCs w:val="25"/>
              </w:rPr>
              <w:t>lehota na prebratie smernice alebo lehota na implementáciu nariadenia alebo rozhodnutia</w:t>
            </w:r>
          </w:p>
        </w:tc>
      </w:tr>
      <w:tr w:rsidR="00812792" w14:paraId="3B783D4B" w14:textId="77777777">
        <w:trPr>
          <w:divId w:val="1643929061"/>
          <w:jc w:val="center"/>
        </w:trPr>
        <w:tc>
          <w:tcPr>
            <w:tcW w:w="0" w:type="auto"/>
            <w:tcBorders>
              <w:top w:val="nil"/>
              <w:left w:val="nil"/>
              <w:bottom w:val="nil"/>
              <w:right w:val="nil"/>
            </w:tcBorders>
            <w:hideMark/>
          </w:tcPr>
          <w:p w14:paraId="5C6A569D" w14:textId="77777777" w:rsidR="00812792" w:rsidRDefault="00812792">
            <w:pPr>
              <w:spacing w:after="250"/>
              <w:rPr>
                <w:rFonts w:ascii="Times" w:hAnsi="Times" w:cs="Times"/>
                <w:sz w:val="25"/>
                <w:szCs w:val="25"/>
              </w:rPr>
            </w:pPr>
          </w:p>
        </w:tc>
        <w:tc>
          <w:tcPr>
            <w:tcW w:w="0" w:type="auto"/>
            <w:tcBorders>
              <w:top w:val="nil"/>
              <w:left w:val="nil"/>
              <w:bottom w:val="nil"/>
              <w:right w:val="nil"/>
            </w:tcBorders>
            <w:hideMark/>
          </w:tcPr>
          <w:p w14:paraId="7689B5CD" w14:textId="77777777" w:rsidR="00812792" w:rsidRDefault="00812792">
            <w:pPr>
              <w:rPr>
                <w:sz w:val="20"/>
                <w:szCs w:val="20"/>
              </w:rPr>
            </w:pPr>
          </w:p>
        </w:tc>
        <w:tc>
          <w:tcPr>
            <w:tcW w:w="0" w:type="auto"/>
            <w:tcBorders>
              <w:top w:val="nil"/>
              <w:left w:val="nil"/>
              <w:bottom w:val="nil"/>
              <w:right w:val="nil"/>
            </w:tcBorders>
            <w:vAlign w:val="center"/>
            <w:hideMark/>
          </w:tcPr>
          <w:p w14:paraId="1C10617A" w14:textId="77777777" w:rsidR="00812792" w:rsidRDefault="00812792">
            <w:pPr>
              <w:spacing w:after="250"/>
              <w:rPr>
                <w:rFonts w:ascii="Times" w:hAnsi="Times" w:cs="Times"/>
                <w:sz w:val="25"/>
                <w:szCs w:val="25"/>
              </w:rPr>
            </w:pPr>
            <w:r>
              <w:rPr>
                <w:rFonts w:ascii="Times" w:hAnsi="Times" w:cs="Times"/>
                <w:sz w:val="25"/>
                <w:szCs w:val="25"/>
              </w:rPr>
              <w:t>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w:t>
            </w:r>
            <w:r>
              <w:rPr>
                <w:rFonts w:ascii="Times" w:hAnsi="Times" w:cs="Times"/>
                <w:sz w:val="25"/>
                <w:szCs w:val="25"/>
              </w:rPr>
              <w:br/>
            </w:r>
          </w:p>
        </w:tc>
      </w:tr>
      <w:tr w:rsidR="00812792" w14:paraId="39873B63" w14:textId="77777777">
        <w:trPr>
          <w:divId w:val="1643929061"/>
          <w:jc w:val="center"/>
        </w:trPr>
        <w:tc>
          <w:tcPr>
            <w:tcW w:w="0" w:type="auto"/>
            <w:tcBorders>
              <w:top w:val="nil"/>
              <w:left w:val="nil"/>
              <w:bottom w:val="nil"/>
              <w:right w:val="nil"/>
            </w:tcBorders>
            <w:hideMark/>
          </w:tcPr>
          <w:p w14:paraId="0ED43406" w14:textId="77777777" w:rsidR="00812792" w:rsidRDefault="00812792">
            <w:pPr>
              <w:spacing w:after="250"/>
              <w:rPr>
                <w:rFonts w:ascii="Times" w:hAnsi="Times" w:cs="Times"/>
                <w:sz w:val="25"/>
                <w:szCs w:val="25"/>
              </w:rPr>
            </w:pPr>
          </w:p>
        </w:tc>
        <w:tc>
          <w:tcPr>
            <w:tcW w:w="0" w:type="auto"/>
            <w:tcBorders>
              <w:top w:val="nil"/>
              <w:left w:val="nil"/>
              <w:bottom w:val="nil"/>
              <w:right w:val="nil"/>
            </w:tcBorders>
            <w:hideMark/>
          </w:tcPr>
          <w:p w14:paraId="7DDC927B" w14:textId="77777777" w:rsidR="00812792" w:rsidRDefault="00812792">
            <w:pPr>
              <w:rPr>
                <w:rFonts w:ascii="Times" w:hAnsi="Times" w:cs="Times"/>
                <w:sz w:val="25"/>
                <w:szCs w:val="25"/>
              </w:rPr>
            </w:pPr>
            <w:r>
              <w:rPr>
                <w:rFonts w:ascii="Times" w:hAnsi="Times" w:cs="Times"/>
                <w:sz w:val="25"/>
                <w:szCs w:val="25"/>
              </w:rPr>
              <w:t>b)</w:t>
            </w:r>
          </w:p>
        </w:tc>
        <w:tc>
          <w:tcPr>
            <w:tcW w:w="0" w:type="auto"/>
            <w:tcBorders>
              <w:top w:val="nil"/>
              <w:left w:val="nil"/>
              <w:bottom w:val="nil"/>
              <w:right w:val="nil"/>
            </w:tcBorders>
            <w:vAlign w:val="center"/>
            <w:hideMark/>
          </w:tcPr>
          <w:p w14:paraId="11EC83C1" w14:textId="77777777" w:rsidR="00812792" w:rsidRDefault="00812792">
            <w:pPr>
              <w:spacing w:after="250"/>
              <w:rPr>
                <w:rFonts w:ascii="Times" w:hAnsi="Times" w:cs="Times"/>
                <w:sz w:val="25"/>
                <w:szCs w:val="25"/>
              </w:rPr>
            </w:pPr>
            <w:r>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812792" w14:paraId="6D447897" w14:textId="77777777">
        <w:trPr>
          <w:divId w:val="1643929061"/>
          <w:jc w:val="center"/>
        </w:trPr>
        <w:tc>
          <w:tcPr>
            <w:tcW w:w="0" w:type="auto"/>
            <w:tcBorders>
              <w:top w:val="nil"/>
              <w:left w:val="nil"/>
              <w:bottom w:val="nil"/>
              <w:right w:val="nil"/>
            </w:tcBorders>
            <w:hideMark/>
          </w:tcPr>
          <w:p w14:paraId="13FE0841" w14:textId="77777777" w:rsidR="00812792" w:rsidRDefault="00812792">
            <w:pPr>
              <w:spacing w:after="250"/>
              <w:rPr>
                <w:rFonts w:ascii="Times" w:hAnsi="Times" w:cs="Times"/>
                <w:sz w:val="25"/>
                <w:szCs w:val="25"/>
              </w:rPr>
            </w:pPr>
          </w:p>
        </w:tc>
        <w:tc>
          <w:tcPr>
            <w:tcW w:w="0" w:type="auto"/>
            <w:tcBorders>
              <w:top w:val="nil"/>
              <w:left w:val="nil"/>
              <w:bottom w:val="nil"/>
              <w:right w:val="nil"/>
            </w:tcBorders>
            <w:hideMark/>
          </w:tcPr>
          <w:p w14:paraId="138F5D70" w14:textId="77777777" w:rsidR="00812792" w:rsidRDefault="00812792">
            <w:pPr>
              <w:rPr>
                <w:sz w:val="20"/>
                <w:szCs w:val="20"/>
              </w:rPr>
            </w:pPr>
          </w:p>
        </w:tc>
        <w:tc>
          <w:tcPr>
            <w:tcW w:w="0" w:type="auto"/>
            <w:tcBorders>
              <w:top w:val="nil"/>
              <w:left w:val="nil"/>
              <w:bottom w:val="nil"/>
              <w:right w:val="nil"/>
            </w:tcBorders>
            <w:vAlign w:val="center"/>
            <w:hideMark/>
          </w:tcPr>
          <w:p w14:paraId="7E005186" w14:textId="77777777" w:rsidR="00812792" w:rsidRDefault="00812792">
            <w:pPr>
              <w:spacing w:after="250"/>
              <w:rPr>
                <w:rFonts w:ascii="Times" w:hAnsi="Times" w:cs="Times"/>
                <w:sz w:val="25"/>
                <w:szCs w:val="25"/>
              </w:rPr>
            </w:pPr>
            <w:r>
              <w:rPr>
                <w:rFonts w:ascii="Times" w:hAnsi="Times" w:cs="Times"/>
                <w:sz w:val="25"/>
                <w:szCs w:val="25"/>
              </w:rPr>
              <w:t>Voči Slovenskej republike nebolo začaté žiadne z uvedených konaní ani uvedený postup Európskej komisie.</w:t>
            </w:r>
            <w:r>
              <w:rPr>
                <w:rFonts w:ascii="Times" w:hAnsi="Times" w:cs="Times"/>
                <w:sz w:val="25"/>
                <w:szCs w:val="25"/>
              </w:rPr>
              <w:br/>
            </w:r>
          </w:p>
        </w:tc>
      </w:tr>
      <w:tr w:rsidR="00812792" w14:paraId="7E718E69" w14:textId="77777777">
        <w:trPr>
          <w:divId w:val="1643929061"/>
          <w:jc w:val="center"/>
        </w:trPr>
        <w:tc>
          <w:tcPr>
            <w:tcW w:w="0" w:type="auto"/>
            <w:tcBorders>
              <w:top w:val="nil"/>
              <w:left w:val="nil"/>
              <w:bottom w:val="nil"/>
              <w:right w:val="nil"/>
            </w:tcBorders>
            <w:hideMark/>
          </w:tcPr>
          <w:p w14:paraId="76D31CE2" w14:textId="77777777" w:rsidR="00812792" w:rsidRDefault="00812792">
            <w:pPr>
              <w:spacing w:after="250"/>
              <w:rPr>
                <w:rFonts w:ascii="Times" w:hAnsi="Times" w:cs="Times"/>
                <w:sz w:val="25"/>
                <w:szCs w:val="25"/>
              </w:rPr>
            </w:pPr>
          </w:p>
        </w:tc>
        <w:tc>
          <w:tcPr>
            <w:tcW w:w="0" w:type="auto"/>
            <w:tcBorders>
              <w:top w:val="nil"/>
              <w:left w:val="nil"/>
              <w:bottom w:val="nil"/>
              <w:right w:val="nil"/>
            </w:tcBorders>
            <w:hideMark/>
          </w:tcPr>
          <w:p w14:paraId="1C07F6D3" w14:textId="77777777" w:rsidR="00812792" w:rsidRDefault="00812792">
            <w:pPr>
              <w:rPr>
                <w:rFonts w:ascii="Times" w:hAnsi="Times" w:cs="Times"/>
                <w:sz w:val="25"/>
                <w:szCs w:val="25"/>
              </w:rPr>
            </w:pPr>
            <w:r>
              <w:rPr>
                <w:rFonts w:ascii="Times" w:hAnsi="Times" w:cs="Times"/>
                <w:sz w:val="25"/>
                <w:szCs w:val="25"/>
              </w:rPr>
              <w:t>c)</w:t>
            </w:r>
          </w:p>
        </w:tc>
        <w:tc>
          <w:tcPr>
            <w:tcW w:w="0" w:type="auto"/>
            <w:tcBorders>
              <w:top w:val="nil"/>
              <w:left w:val="nil"/>
              <w:bottom w:val="nil"/>
              <w:right w:val="nil"/>
            </w:tcBorders>
            <w:vAlign w:val="center"/>
            <w:hideMark/>
          </w:tcPr>
          <w:p w14:paraId="7894C5B4" w14:textId="77777777" w:rsidR="00812792" w:rsidRDefault="00812792">
            <w:pPr>
              <w:spacing w:after="250"/>
              <w:rPr>
                <w:rFonts w:ascii="Times" w:hAnsi="Times" w:cs="Times"/>
                <w:sz w:val="25"/>
                <w:szCs w:val="25"/>
              </w:rPr>
            </w:pPr>
            <w:r>
              <w:rPr>
                <w:rFonts w:ascii="Times" w:hAnsi="Times" w:cs="Times"/>
                <w:sz w:val="25"/>
                <w:szCs w:val="25"/>
              </w:rPr>
              <w:t>informácia o právnych predpisoch, v ktorých sú preberané smernice už prebraté spolu s uvedením rozsahu tohto prebratia</w:t>
            </w:r>
          </w:p>
        </w:tc>
      </w:tr>
      <w:tr w:rsidR="00812792" w14:paraId="2FB38EE8" w14:textId="77777777">
        <w:trPr>
          <w:divId w:val="1643929061"/>
          <w:jc w:val="center"/>
        </w:trPr>
        <w:tc>
          <w:tcPr>
            <w:tcW w:w="0" w:type="auto"/>
            <w:tcBorders>
              <w:top w:val="nil"/>
              <w:left w:val="nil"/>
              <w:bottom w:val="nil"/>
              <w:right w:val="nil"/>
            </w:tcBorders>
            <w:hideMark/>
          </w:tcPr>
          <w:p w14:paraId="65715471" w14:textId="77777777" w:rsidR="00812792" w:rsidRDefault="00812792">
            <w:pPr>
              <w:spacing w:after="250"/>
              <w:rPr>
                <w:rFonts w:ascii="Times" w:hAnsi="Times" w:cs="Times"/>
                <w:sz w:val="25"/>
                <w:szCs w:val="25"/>
              </w:rPr>
            </w:pPr>
          </w:p>
        </w:tc>
        <w:tc>
          <w:tcPr>
            <w:tcW w:w="0" w:type="auto"/>
            <w:tcBorders>
              <w:top w:val="nil"/>
              <w:left w:val="nil"/>
              <w:bottom w:val="nil"/>
              <w:right w:val="nil"/>
            </w:tcBorders>
            <w:hideMark/>
          </w:tcPr>
          <w:p w14:paraId="47C16E75" w14:textId="77777777" w:rsidR="00812792" w:rsidRDefault="00812792">
            <w:pPr>
              <w:rPr>
                <w:sz w:val="20"/>
                <w:szCs w:val="20"/>
              </w:rPr>
            </w:pPr>
          </w:p>
        </w:tc>
        <w:tc>
          <w:tcPr>
            <w:tcW w:w="0" w:type="auto"/>
            <w:tcBorders>
              <w:top w:val="nil"/>
              <w:left w:val="nil"/>
              <w:bottom w:val="nil"/>
              <w:right w:val="nil"/>
            </w:tcBorders>
            <w:vAlign w:val="center"/>
            <w:hideMark/>
          </w:tcPr>
          <w:p w14:paraId="62B75E8F" w14:textId="77777777" w:rsidR="00812792" w:rsidRDefault="00812792">
            <w:pPr>
              <w:spacing w:after="250"/>
              <w:rPr>
                <w:rFonts w:ascii="Times" w:hAnsi="Times" w:cs="Times"/>
                <w:sz w:val="25"/>
                <w:szCs w:val="25"/>
              </w:rPr>
            </w:pPr>
            <w:r>
              <w:rPr>
                <w:rFonts w:ascii="Times" w:hAnsi="Times" w:cs="Times"/>
                <w:sz w:val="25"/>
                <w:szCs w:val="25"/>
              </w:rPr>
              <w:t>- zákon č. 40/1964 Zb. Občiansky zákonník v znení neskorších predpisov, - zákon č. 513/1991 Zb. Obchodný zákonník v znení neskorších predpisov, - zákon č. 146/2000 Z. z. o ochrane topografií polovodičových výrobkov v znení zákona č. 84/2007 Z. z., - zákon č. 435/2001 Z. z. o patentoch, dodatkových ochranných osvedčeniach a o zmene a doplnení niektorých zákonov (patentový zákon) v znení neskorších predpisov, - zákon č. 444/2002 Z. z. o dizajnoch v znení neskorších predpisov, - zákon č. 469/2003 z. Z. o označeniach pôvodu výrobkov a zemepisných označeniach výrobkov a o zmene a doplnení niektorých zákonov v znení neskorších predpisov, - zákon č. 517/2007 Z. z. o úžitkových vzoroch a o zmene a doplnení niektorých zákonov v znení neskorších predpisov, - zákon č. 202/2009 Z. z. o právnej ochrane odrôd rastlín, - zákon č. 506/2009 Z. z. o ochranných známkach v znení neskorších predpisov, - zákon č. 160/2015 Z. z. Civilný sporový poriadok v znení neskorších predpisov, - zákon č. 185/2015 Z. z. Autorský zákon v znení neskorších predpisov.</w:t>
            </w:r>
            <w:r>
              <w:rPr>
                <w:rFonts w:ascii="Times" w:hAnsi="Times" w:cs="Times"/>
                <w:sz w:val="25"/>
                <w:szCs w:val="25"/>
              </w:rPr>
              <w:br/>
            </w:r>
          </w:p>
        </w:tc>
      </w:tr>
      <w:tr w:rsidR="00812792" w14:paraId="19B4AA2C" w14:textId="77777777">
        <w:trPr>
          <w:divId w:val="1643929061"/>
          <w:jc w:val="center"/>
        </w:trPr>
        <w:tc>
          <w:tcPr>
            <w:tcW w:w="0" w:type="auto"/>
            <w:tcBorders>
              <w:top w:val="nil"/>
              <w:left w:val="nil"/>
              <w:bottom w:val="nil"/>
              <w:right w:val="nil"/>
            </w:tcBorders>
            <w:hideMark/>
          </w:tcPr>
          <w:p w14:paraId="167E36E5" w14:textId="77777777" w:rsidR="00812792" w:rsidRDefault="00812792">
            <w:pPr>
              <w:rPr>
                <w:rFonts w:ascii="Times" w:hAnsi="Times" w:cs="Times"/>
                <w:b/>
                <w:bCs/>
                <w:sz w:val="25"/>
                <w:szCs w:val="25"/>
              </w:rPr>
            </w:pPr>
            <w:r>
              <w:rPr>
                <w:rFonts w:ascii="Times" w:hAnsi="Times" w:cs="Times"/>
                <w:b/>
                <w:bCs/>
                <w:sz w:val="25"/>
                <w:szCs w:val="25"/>
              </w:rPr>
              <w:t>5.</w:t>
            </w:r>
          </w:p>
        </w:tc>
        <w:tc>
          <w:tcPr>
            <w:tcW w:w="0" w:type="auto"/>
            <w:gridSpan w:val="2"/>
            <w:tcBorders>
              <w:top w:val="nil"/>
              <w:left w:val="nil"/>
              <w:bottom w:val="nil"/>
              <w:right w:val="nil"/>
            </w:tcBorders>
            <w:hideMark/>
          </w:tcPr>
          <w:p w14:paraId="030CB627" w14:textId="77777777" w:rsidR="00812792" w:rsidRDefault="00812792">
            <w:pPr>
              <w:spacing w:after="250"/>
              <w:rPr>
                <w:rFonts w:ascii="Times" w:hAnsi="Times" w:cs="Times"/>
                <w:b/>
                <w:bCs/>
                <w:sz w:val="25"/>
                <w:szCs w:val="25"/>
              </w:rPr>
            </w:pPr>
            <w:r>
              <w:rPr>
                <w:rFonts w:ascii="Times" w:hAnsi="Times" w:cs="Times"/>
                <w:b/>
                <w:bCs/>
                <w:sz w:val="25"/>
                <w:szCs w:val="25"/>
              </w:rPr>
              <w:t>Stupeň zlučiteľnosti návrhu právneho predpisu s právom Európskej únie:</w:t>
            </w:r>
          </w:p>
        </w:tc>
      </w:tr>
      <w:tr w:rsidR="00812792" w14:paraId="390B116C" w14:textId="77777777">
        <w:trPr>
          <w:divId w:val="1643929061"/>
          <w:jc w:val="center"/>
        </w:trPr>
        <w:tc>
          <w:tcPr>
            <w:tcW w:w="0" w:type="auto"/>
            <w:tcBorders>
              <w:top w:val="nil"/>
              <w:left w:val="nil"/>
              <w:bottom w:val="nil"/>
              <w:right w:val="nil"/>
            </w:tcBorders>
            <w:hideMark/>
          </w:tcPr>
          <w:p w14:paraId="42F10FB6" w14:textId="77777777" w:rsidR="00812792" w:rsidRDefault="00812792">
            <w:pPr>
              <w:spacing w:after="250"/>
              <w:rPr>
                <w:rFonts w:ascii="Times" w:hAnsi="Times" w:cs="Times"/>
                <w:b/>
                <w:bCs/>
                <w:sz w:val="25"/>
                <w:szCs w:val="25"/>
              </w:rPr>
            </w:pPr>
          </w:p>
        </w:tc>
        <w:tc>
          <w:tcPr>
            <w:tcW w:w="0" w:type="auto"/>
            <w:tcBorders>
              <w:top w:val="nil"/>
              <w:left w:val="nil"/>
              <w:bottom w:val="nil"/>
              <w:right w:val="nil"/>
            </w:tcBorders>
            <w:hideMark/>
          </w:tcPr>
          <w:p w14:paraId="34F48CAA" w14:textId="77777777" w:rsidR="00812792" w:rsidRDefault="00812792">
            <w:pPr>
              <w:rPr>
                <w:sz w:val="20"/>
                <w:szCs w:val="20"/>
              </w:rPr>
            </w:pPr>
          </w:p>
        </w:tc>
        <w:tc>
          <w:tcPr>
            <w:tcW w:w="0" w:type="auto"/>
            <w:tcBorders>
              <w:top w:val="nil"/>
              <w:left w:val="nil"/>
              <w:bottom w:val="nil"/>
              <w:right w:val="nil"/>
            </w:tcBorders>
            <w:vAlign w:val="center"/>
            <w:hideMark/>
          </w:tcPr>
          <w:p w14:paraId="24C51D8B" w14:textId="77777777" w:rsidR="00812792" w:rsidRDefault="00812792">
            <w:pPr>
              <w:spacing w:after="250"/>
              <w:rPr>
                <w:rFonts w:ascii="Times" w:hAnsi="Times" w:cs="Times"/>
                <w:sz w:val="25"/>
                <w:szCs w:val="25"/>
              </w:rPr>
            </w:pPr>
            <w:r>
              <w:rPr>
                <w:rFonts w:ascii="Times" w:hAnsi="Times" w:cs="Times"/>
                <w:sz w:val="25"/>
                <w:szCs w:val="25"/>
              </w:rPr>
              <w:t>úplne</w:t>
            </w:r>
          </w:p>
        </w:tc>
      </w:tr>
    </w:tbl>
    <w:p w14:paraId="0FF88273" w14:textId="55ABF9C1" w:rsidR="003D0DA4" w:rsidRPr="00117A7E" w:rsidRDefault="003D0DA4" w:rsidP="00814DF5">
      <w:pPr>
        <w:tabs>
          <w:tab w:val="left" w:pos="360"/>
        </w:tabs>
        <w:jc w:val="both"/>
      </w:pP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ShadeFormData/>
  <w:characterSpacingControl w:val="doNotCompress"/>
  <w:doNotValidateAgainstSchema/>
  <w:updateFields w:val="true"/>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6545"/>
    <w:rsid w:val="00632C56"/>
    <w:rsid w:val="006C0FA0"/>
    <w:rsid w:val="006E1D9C"/>
    <w:rsid w:val="006F3E6F"/>
    <w:rsid w:val="00785F65"/>
    <w:rsid w:val="007F5B72"/>
    <w:rsid w:val="00812792"/>
    <w:rsid w:val="00814DF5"/>
    <w:rsid w:val="00824CCF"/>
    <w:rsid w:val="00847169"/>
    <w:rsid w:val="008570D4"/>
    <w:rsid w:val="008655C8"/>
    <w:rsid w:val="008E2891"/>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428CDFCA-C862-4657-ACCD-C25CA8AC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08438">
      <w:bodyDiv w:val="1"/>
      <w:marLeft w:val="0"/>
      <w:marRight w:val="0"/>
      <w:marTop w:val="0"/>
      <w:marBottom w:val="0"/>
      <w:divBdr>
        <w:top w:val="none" w:sz="0" w:space="0" w:color="auto"/>
        <w:left w:val="none" w:sz="0" w:space="0" w:color="auto"/>
        <w:bottom w:val="none" w:sz="0" w:space="0" w:color="auto"/>
        <w:right w:val="none" w:sz="0" w:space="0" w:color="auto"/>
      </w:divBdr>
      <w:divsChild>
        <w:div w:id="409741185">
          <w:marLeft w:val="0"/>
          <w:marRight w:val="0"/>
          <w:marTop w:val="0"/>
          <w:marBottom w:val="0"/>
          <w:divBdr>
            <w:top w:val="none" w:sz="0" w:space="0" w:color="auto"/>
            <w:left w:val="none" w:sz="0" w:space="0" w:color="auto"/>
            <w:bottom w:val="none" w:sz="0" w:space="0" w:color="auto"/>
            <w:right w:val="none" w:sz="0" w:space="0" w:color="auto"/>
          </w:divBdr>
        </w:div>
      </w:divsChild>
    </w:div>
    <w:div w:id="543097691">
      <w:bodyDiv w:val="1"/>
      <w:marLeft w:val="0"/>
      <w:marRight w:val="0"/>
      <w:marTop w:val="0"/>
      <w:marBottom w:val="0"/>
      <w:divBdr>
        <w:top w:val="none" w:sz="0" w:space="0" w:color="auto"/>
        <w:left w:val="none" w:sz="0" w:space="0" w:color="auto"/>
        <w:bottom w:val="none" w:sz="0" w:space="0" w:color="auto"/>
        <w:right w:val="none" w:sz="0" w:space="0" w:color="auto"/>
      </w:divBdr>
      <w:divsChild>
        <w:div w:id="962662398">
          <w:marLeft w:val="0"/>
          <w:marRight w:val="0"/>
          <w:marTop w:val="0"/>
          <w:marBottom w:val="0"/>
          <w:divBdr>
            <w:top w:val="none" w:sz="0" w:space="0" w:color="auto"/>
            <w:left w:val="none" w:sz="0" w:space="0" w:color="auto"/>
            <w:bottom w:val="none" w:sz="0" w:space="0" w:color="auto"/>
            <w:right w:val="none" w:sz="0" w:space="0" w:color="auto"/>
          </w:divBdr>
        </w:div>
      </w:divsChild>
    </w:div>
    <w:div w:id="580675206">
      <w:bodyDiv w:val="1"/>
      <w:marLeft w:val="0"/>
      <w:marRight w:val="0"/>
      <w:marTop w:val="0"/>
      <w:marBottom w:val="0"/>
      <w:divBdr>
        <w:top w:val="none" w:sz="0" w:space="0" w:color="auto"/>
        <w:left w:val="none" w:sz="0" w:space="0" w:color="auto"/>
        <w:bottom w:val="none" w:sz="0" w:space="0" w:color="auto"/>
        <w:right w:val="none" w:sz="0" w:space="0" w:color="auto"/>
      </w:divBdr>
      <w:divsChild>
        <w:div w:id="361129462">
          <w:marLeft w:val="0"/>
          <w:marRight w:val="0"/>
          <w:marTop w:val="0"/>
          <w:marBottom w:val="0"/>
          <w:divBdr>
            <w:top w:val="none" w:sz="0" w:space="0" w:color="auto"/>
            <w:left w:val="none" w:sz="0" w:space="0" w:color="auto"/>
            <w:bottom w:val="none" w:sz="0" w:space="0" w:color="auto"/>
            <w:right w:val="none" w:sz="0" w:space="0" w:color="auto"/>
          </w:divBdr>
        </w:div>
      </w:divsChild>
    </w:div>
    <w:div w:id="671956288">
      <w:bodyDiv w:val="1"/>
      <w:marLeft w:val="0"/>
      <w:marRight w:val="0"/>
      <w:marTop w:val="0"/>
      <w:marBottom w:val="0"/>
      <w:divBdr>
        <w:top w:val="none" w:sz="0" w:space="0" w:color="auto"/>
        <w:left w:val="none" w:sz="0" w:space="0" w:color="auto"/>
        <w:bottom w:val="none" w:sz="0" w:space="0" w:color="auto"/>
        <w:right w:val="none" w:sz="0" w:space="0" w:color="auto"/>
      </w:divBdr>
      <w:divsChild>
        <w:div w:id="412312317">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1643929061">
      <w:bodyDiv w:val="1"/>
      <w:marLeft w:val="0"/>
      <w:marRight w:val="0"/>
      <w:marTop w:val="0"/>
      <w:marBottom w:val="0"/>
      <w:divBdr>
        <w:top w:val="none" w:sz="0" w:space="0" w:color="auto"/>
        <w:left w:val="none" w:sz="0" w:space="0" w:color="auto"/>
        <w:bottom w:val="none" w:sz="0" w:space="0" w:color="auto"/>
        <w:right w:val="none" w:sz="0" w:space="0" w:color="auto"/>
      </w:divBdr>
    </w:div>
    <w:div w:id="1740902020">
      <w:bodyDiv w:val="1"/>
      <w:marLeft w:val="0"/>
      <w:marRight w:val="0"/>
      <w:marTop w:val="0"/>
      <w:marBottom w:val="0"/>
      <w:divBdr>
        <w:top w:val="none" w:sz="0" w:space="0" w:color="auto"/>
        <w:left w:val="none" w:sz="0" w:space="0" w:color="auto"/>
        <w:bottom w:val="none" w:sz="0" w:space="0" w:color="auto"/>
        <w:right w:val="none" w:sz="0" w:space="0" w:color="auto"/>
      </w:divBdr>
      <w:divsChild>
        <w:div w:id="152570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2.9.2020 13:17:23"/>
    <f:field ref="objchangedby" par="" text="Administrator, System"/>
    <f:field ref="objmodifiedat" par="" text="2.9.2020 13:17:27"/>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E6D520-703B-42E9-A5AA-EB4C53BF0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2831</Words>
  <Characters>16143</Characters>
  <Application>Microsoft Office Word</Application>
  <DocSecurity>4</DocSecurity>
  <Lines>134</Lines>
  <Paragraphs>37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18937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2020-09-02T11:17:00Z</dcterms:created>
  <dc:creator>Pavol Gibala</dc:creator>
  <lastModifiedBy>ms.slx.P.fscsrv</lastModifiedBy>
  <dcterms:modified xsi:type="dcterms:W3CDTF">2020-09-02T11:17:00Z</dcterms:modified>
  <revision>2</revision>
</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COO.2145.1000.3.3993156</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Priemyselné právo_x000d__x000a_Správne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Mgr. Matúš Medvec</vt:lpwstr>
  </property>
  <property name="FSC#SKEDITIONSLOVLEX@103.510:nazovpredpis" pid="12" fmtid="{D5CDD505-2E9C-101B-9397-08002B2CF9AE}">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name="FSC#SKEDITIONSLOVLEX@103.510:cislopredpis" pid="13" fmtid="{D5CDD505-2E9C-101B-9397-08002B2CF9AE}">
    <vt:lpwstr/>
  </property>
  <property name="FSC#SKEDITIONSLOVLEX@103.510:zodpinstitucia" pid="14" fmtid="{D5CDD505-2E9C-101B-9397-08002B2CF9AE}">
    <vt:lpwstr>Úrad priemyselného vlastníctva Slovenskej republiky (Úrad vlády Slovenskej republiky, odbor legislatívy ostatných ústredných orgánov štátnej správy)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vt:lpwstr>
  </property>
  <property name="FSC#SKEDITIONSLOVLEX@103.510:plnynazovpredpis" pid="18" fmtid="{D5CDD505-2E9C-101B-9397-08002B2CF9AE}">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name="FSC#SKEDITIONSLOVLEX@103.510:rezortcislopredpis" pid="19" fmtid="{D5CDD505-2E9C-101B-9397-08002B2CF9AE}">
    <vt:lpwstr>00111/2020/63</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LP/2020/316</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je upravený v práve Európskej únie</vt:lpwstr>
  </property>
  <property name="FSC#SKEDITIONSLOVLEX@103.510:AttrStrListDocPropPrimarnePravoEU" pid="38" fmtid="{D5CDD505-2E9C-101B-9397-08002B2CF9AE}">
    <vt:lpwstr>čl. 42, 43 ods. 2, 114 ods. 1 Zmluvy o fungovaní Európskej únie</vt:lpwstr>
  </property>
  <property name="FSC#SKEDITIONSLOVLEX@103.510:AttrStrListDocPropSekundarneLegPravoPO" pid="39" fmtid="{D5CDD505-2E9C-101B-9397-08002B2CF9AE}">
    <vt:lpwstr>Smernica Európskeho parlamentu a Rady 2004/48/ES z 29. apríla 2004 o vymožiteľnosti práv duševného vlastníctva (Mimoriadne vydanie Ú. v. EÚ, kap. 17/zv. 2, Ú. v. EÚ L 157, 30.4.2004), gestor: MK SR a spolugestor: MS SR a ÚPV SR._x000d__x000a_Nariadenie Európskeho parlamentu a Rady (EÚ) č. 1151/2012 z 21. novembra 2012 o systémoch kvality pre poľnohospodárske výrobky a potraviny (Ú. v. EÚ L 343, 14.12.2012) v platnom znení, gestor: MPRV SR, ÚPV SR._x000d__x000a_Nariadenie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SR._x000d__x000a_Nariadenie Európskeho parlamentu a Rady (EÚ) č. 251/2014 z 26. februára 2014 o vymedzení, opise, obchodnej úprave, označovaní a ochrane zemepisných označení aromatizovaných vínnych výrobkov a o zrušení nariadenia Rady (EHS) č. 1601/91 (Ú. v. EÚ L 84, 20.3.2014), gestor: MPRV SR._x000d__x000a_Delegované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SR._x000d__x000a_Vykonávacie nariadenie Komisie (EÚ) č. 668/2014 z  13. júna 2014 , ktorým sa stanovujú pravidlá uplatňovania nariadenia Európskeho parlamentu a Rady (EÚ) č. 1151/2012 o systémoch kvality pre poľnohospodárske výrobky a potraviny (Ú. v. EÚ L 179, 19.6.2014), gestor: MPRV SR, ÚPV SR._x000d__x000a_Delegované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SR._x000d__x000a_Vykonávacie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SR._x000d__x000a_Nariadenie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SR._x000d__x000a_Nariadenie Európskeho parlamentu a Rady (EÚ) 2019/1753 z 23. októbra 2019 o činnosti Únie po jej pristúpení k Ženevskému aktu Lisabonskej dohody o označeniach pôvodu a zemepisných označeniach (Ú. v. EÚ L 271, 24.10.2019), gestor: MPRV SR, ÚPV SR. _x000d__x000a_Rozhodnutie Rady (EÚ) 2019/1754 zo 7. októbra 2019 o pristúpení Európskej únie k Ženevskému aktu Lisabonskej dohody o označeniach pôvodu a zemepisných označeniach (Ú. v. EÚ L 271, 24.10.2019), gestor: ÚPV SR._x000d__x000a_Vykonávacie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ZFEÚ.)“._x000d__x000a_Existuje relevantná judikatúra Súdneho dvora EÚ vo veciach označení pôvodu výrobkov a zemepisných označení výrobkov. Z ostatných piatich rokov napr. rozsudky vo veciach C-75/15, C-393/16, C-44/17, C-367/17, C-614/17, C-569/18._x000d__x000a_Rozsudok Súdneho dvora z 21. januára 2016 vo veci C-75/15 Viiniverla Oy/Sosiaali- ja terveysalan lupa- ja valvontavirasto, ECLI:EU:C:2016:35. Právne vety:  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2.      Článok 16 písm. b) nariadenia č. 110/2008 sa má vykladať v tom zmysle, že pri posúdení, či pri názve „Verlados“ ide o „napodobenie“ chráneného zemepisného označenia „Calvados“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zámeny._x000d__x000a_Rozsudok Súdneho dvora z 20. decembra 2017 vo veci  C-393/16 Comité Interprofessionnel du Vin de Champagne proti Aldi Süd Dienstleistungs-GmbH &amp; Co.OHG, ECLI:EU:C:2017:991. Právne vety:  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„Champagner Sorbet“, ktorá síce nezodpovedá špecifikáciám týkajúcim sa tohto chráneného označenia pôvodu, ale obsahuje zložku zodpovedajúcu uvedeným špecifikáciám. 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„Champagner Sorbet“, ktorá síce nezodpovedá špecifikáciám týkajúcim sa tohto chráneného označenia pôvodu, ale obsahuje zložku, ktorá zodpovedá uvedeným špecifikáciám, nepredstavuje zneužitie, napodobenie ani vyvolanie mylnej predstavy v zmysle týchto ustanovení. 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výrobku._x000d__x000a_Rozsudok Súdneho dvora (piata komora) zo 7. júna 2018 vo veci C-44/17 Scotch Whisky Association, The Registered Office, proti Michaelovi Klotzovi, ECLI:EU:C:2018:415. Právne vety:  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3.      Článok 16 písm. c) nariadenia č. 110/2008 sa má vykladať v tom zmysle, že na účely zistenia existencie „nepravého alebo zavádzajúceho označenia“ zakázaného týmto ustanovením netreba zohľadňovať kontext, v ktorom je sporná zložka použitá._x000d__x000a_Rozsudok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„Schwarzwälder Schinken“._x000d__x000a_Rozsudok Súdneho dvora z 2. mája 2019 vo veci C-614/17 Fundación Consejo Regulador de la Denominación de Origen Protegida Queso Manchego proti Industrial Quesera Cuquerella SL a Juan Ramón Cuquerella Montagud, ECLI:EU:C:2019:344. Právne vety:  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vyrába výrobok, ktorý vedie k mylnej predstave o chránenom názve alebo na ktorý sa tento názov zo zemepisného hľadiska viaže, a v ktorom sa tento výrobok prevažne spotrebúva._x000d__x000a_Rozsudok Súdneho dvora zo 17. októbra 2019 vo veci C-569/18 Caseificio Cirigliana Srl a i. proti Ministero delle Politiche agricole, alimentari e forestali a i., ECLI:EU:C:2019:873. Práva veta: Článok 4 písm. c) a článok 7 ods. 1 písm. e) nariadenia Európskeho parlamentu a Rady (EÚ) č. 1151/2012 z 21. novembra 2012 o systémoch kvality pre poľnohospodárske výrobky a potraviny, ako aj špecifikácia výrobku „Mozzarella di bufala Campana CHOP“ sa majú vykladať v tom zmysle, že nebránia takej vnútroštátnej právnej úprave, o akú ide vo veci samej, ktorá stanovuje, že výroba syra „Mozzarella di bufala Campana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„Mozzarella di bufala“, ak táto právna úprava predstavuje nevyhnutný a primeraný prostriedok na zabezpečenie kvality takého výrobku alebo na zabezpečenie kontroly špecifikácie tohto CHOP, čo musí overiť vnútroštátny súd.</vt:lpwstr>
  </property>
  <property name="FSC#SKEDITIONSLOVLEX@103.510:AttrStrListDocPropLehotaPrebratieSmernice" pid="44" fmtid="{D5CDD505-2E9C-101B-9397-08002B2CF9A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Voči Slovenskej republike nebolo začaté žiadne z uvedených konaní ani uvedený postup Európskej komisie.</vt:lpwstr>
  </property>
  <property name="FSC#SKEDITIONSLOVLEX@103.510:AttrStrListDocPropInfoUzPreberanePP" pid="47" fmtid="{D5CDD505-2E9C-101B-9397-08002B2CF9AE}">
    <vt:lpwstr>- zákon č. 40/1964 Zb. Občiansky zákonník v znení neskorších predpisov,_x000d__x000a_- zákon č. 513/1991 Zb. Obchodný zákonník v znení neskorších predpisov,_x000d__x000a_- zákon č. 146/2000 Z. z. o ochrane topografií polovodičových výrobkov v znení zákona č. 84/2007 Z. z.,_x000d__x000a_- zákon č. 435/2001 Z. z. o patentoch, dodatkových ochranných osvedčeniach a o zmene a doplnení niektorých zákonov (patentový zákon) v znení neskorších predpisov,_x000d__x000a_- zákon č. 444/2002 Z. z. o dizajnoch v znení neskorších predpisov,_x000d__x000a_- zákon č. 469/2003 z. Z. o označeniach pôvodu výrobkov a zemepisných označeniach výrobkov a o zmene a doplnení niektorých zákonov v znení neskorších predpisov,_x000d__x000a_- zákon č. 517/2007 Z. z. o úžitkových vzoroch a o zmene a doplnení niektorých zákonov v znení neskorších predpisov,_x000d__x000a_- zákon č. 202/2009 Z. z. o právnej ochrane odrôd rastlín,_x000d__x000a_- zákon č. 506/2009 Z. z. o ochranných známkach v znení neskorších predpisov,_x000d__x000a_- zákon č. 160/2015 Z. z. Civilný sporový poriadok v znení neskorších predpisov,_x000d__x000a_- zákon č. 185/2015 Z. z. Autorský zákon v znení neskorších predpisov.</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&lt;p style="margin-left: 21.3pt; text-align: justify;"&gt;Navrhovaný zákon nezavádza nové služby verejnej správy pre občana, nové práva ani povinnosti dotknutých subjektov, nemá vplyvy na podnikateľské prostredie, nepredstavuje žiadnu finančnú ani administratívnu záťaž. V&amp;nbsp;zásade je možné konštatovať, že &lt;u&gt;navrhovaný predpis reflektuje &lt;em&gt;status quo&lt;/em&gt; daný relevantnými aktmi sekundárneho práva EÚ, ktorých vplyvy boli analyzované na úrovni EÚ&lt;/u&gt;.&lt;/p&gt;&lt;p style="text-align: justify;"&gt;Navrhovaný zákon zabezpečuje prehľadnú právnu úpravu vo vzťahu k&amp;nbsp;oblasti ochrany označení pôvodu výrobkov a zemepisných označení výrobkov na národnej úrovni a&amp;nbsp;poskytuje ucelený a&amp;nbsp;všeobecne použiteľný rámec opatrení na vnútroštátnej úrovni k relevantným&amp;nbsp;nariadeniam EÚ.&lt;/p&gt;</vt:lpwstr>
  </property>
  <property name="FSC#SKEDITIONSLOVLEX@103.510:AttrStrListDocPropAltRiesenia" pid="58" fmtid="{D5CDD505-2E9C-101B-9397-08002B2CF9AE}">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vt:lpwstr>
  </property>
  <property name="FSC#SKEDITIONSLOVLEX@103.510:AttrStrListDocPropStanoviskoGest" pid="59" fmtid="{D5CDD505-2E9C-101B-9397-08002B2CF9AE}">
    <vt:lpwstr>&lt;p style="text-align: justify;"&gt;Vzhľadom na to, že predkladateľom neboli identifikované žiadne vplyvy predkladaného návrhu zákona, predbežné pripomienkové konanie sa neuskutočnilo.&lt;/p&gt;</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republiky_x000d__x000a_podpredseda vlády Slovenskej republiky_x000d__x000a_predseda Úradu priemyselného vlastníctva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justify;"&gt;Úrad priemyselného vlastníctva Slovenskej republiky predkladá do legislatívneho procesu&amp;nbsp;návrh zákona, ktorým sa mení a&amp;nbsp;dopĺňa zákon č. 469/2003 Z. z. o&amp;nbsp;označeniach pôvodu výrobkov a&amp;nbsp;zemepisných označeniach výrobkov a&amp;nbsp;o&amp;nbsp;zmene a&amp;nbsp;doplnení niektorých zákonov v&amp;nbsp;znení neskorších predpisov a&amp;nbsp;ktorým sa mení zákon Národnej rady Slovenskej republiky č.&amp;nbsp;152/1995 Z.&amp;nbsp;z. o&amp;nbsp;potravinách v&amp;nbsp;znení neskorších predpisov na základe uznesenia&amp;nbsp;vlády Slovenskej republiky č. 4 z&amp;nbsp;15. januára 2020 k návrhu na určenie zodpovednosti ministerstiev, ostatných ústredných orgánov štátnej správy a niektorých orgánov verejnej moci za aplikáciu a prijatie opatrení na vnútroštátnej úrovni k nariadeniam Európskej únie a rozhodnutiam Európskej únie, ktorým bolo predsedovi Úradu priemyselného vlastníctva Slovenskej republiky&amp;nbsp;uložené prijať opatrenia na vnútroštátnej úrovni na implementáciu nariadenia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v&amp;nbsp;alkoholických nápojoch a o zrušení nariadenia (ES) č. 110/2008 (Ú. v. EÚ L 130, 17.5.2019).&lt;/p&gt;&lt;p style="text-align: justify;"&gt;Systém ochrany označení pôvodu výrobkov a&amp;nbsp;zemepisných označení výrobkov je v&amp;nbsp;Európskej únii (ďalej len „EÚ“) charakterizovaný existenciou rôznych a&amp;nbsp;rozdielnych úrovní právnej ochrany. Pri určitých druhoch výrobkov je ochrana zabezpečená na úrovni EÚ prostredníctvom nariadení, tzn. prostredníctvom právnych aktov EÚ, ktoré majú všeobecnú platnosť, sú záväzné vo svojej celistvosti a&amp;nbsp;sú priamo uplatniteľné vo všetkých členských štátoch (čl. 288 ZFEÚ).&lt;/p&gt;&lt;p style="text-align: justify;"&gt;Pre iné druhy výrobkov, ktoré sú súhrnne nazývané ako tzv. nepoľnohospodárske výrobky (non-agricultural goods) v&amp;nbsp;súčasnosti neexistuje ochrana označení pôvodu výrobkov a&amp;nbsp;zemepisných označení výrobkov na úrovni EÚ. Tieto sú v&amp;nbsp;niektorých členských štátoch chránené prostredníctvom špecifických právnych noriem týkajúcich sa konkrétnych výrobkov, resp. prostredníctvom národných právnych predpisov súhrnne upravujúcich oblasť označení pôvodu výrobkov a&amp;nbsp;zemepisných označení výrobkov. Druhá z&amp;nbsp;uvedených možností platí aj pre Slovenskú republiku; v súčasnosti je ochrana na vnútroštátnej úrovni zabezpečená prostredníctvom zákona č. 469/2003 Z. z. o&amp;nbsp;označeniach pôvodu výrobkov a&amp;nbsp;zemepisných označeniach výrobkov a&amp;nbsp;o&amp;nbsp;zmene a&amp;nbsp;doplnení niektorých zákonov v&amp;nbsp;znení neskorších predpisov. Ochrana označení pôvodu výrobkov a zemepisných označení výrobkov na vnútroštátnej úrovni má v&amp;nbsp;Slovenskej republike dlhodobú tradíciu a existovala už pred pristúpením Slovenskej republiky k&amp;nbsp;EÚ, a&amp;nbsp;to bez obmedzenia na určité druhy výrobkov.&lt;/p&gt;&lt;p style="text-align: justify;"&gt;Pristúpenie Slovenskej republiky k&amp;nbsp;EÚ ako aj vývoj v&amp;nbsp;oblasti ochrany označení pôvodu výrobkov a zemepisných označení výrobkov zabezpečovanej na úrovni EÚ v&amp;nbsp;ostatnom období obmedzuje možnú ochranu poskytovanú na vnútroštátnej úrovni členských štátov len na určité typy výrobkov (tzv. nepoľnohospodárske výrobky, na ktoré nie je možné udeliť ochranu podľa&amp;nbsp;existujúcich nariadení EÚ). V&amp;nbsp;súvislosti s&amp;nbsp;uvedenými druhmi výrobkov je potrebné zmieniť aj Vyhlásenie Komisie 2019/C 360/02, konkrétne: „&lt;em&gt;Komisia by ďalej chcela pripomenúť, že vzhľadom na to, že Únia uplatňuje v&amp;nbsp;oblasti poľnohospodárskych zemepisných označení svoju vnútornú právomoc, členské štáty EÚ nemôžu mať vlastné vnútroštátne systémy ochrany zemepisných označení&lt;/em&gt;“.&lt;/p&gt;&lt;p style="text-align: justify;"&gt;V&amp;nbsp;nadväznosti na uvedené je možné konštatovať, že cieľmi predkladaného návrhu zákona sú:&lt;/p&gt;&lt;ul&gt;_x0009_&lt;li style="text-align: justify;"&gt;_x0009_&lt;p&gt;jednoznačné vymedzenie pôsobnosti právnej úpravy označení pôvodu výrobkov a&amp;nbsp;zemepisných označení výrobkov v&amp;nbsp;právnom poriadku Slovenskej republiky; konkrétne ide o&amp;nbsp;poskytnutie ochrany na vnútroštátnej úrovni kategórii výrobkov, pri ktorej právo EÚ existenciu ochrany na vnútroštátnej úrovni členských štátov pripúšťa, tzn. kategórii tzv. nepoľnohospodárskych výrobkov,&lt;/p&gt;_x0009_&lt;/li&gt;_x0009_&lt;li style="text-align: justify;"&gt;_x0009_&lt;p&gt;reflektovanie zmien vyplývajúcich z&amp;nbsp;pristúpenia EÚ k&amp;nbsp;Ženevskému aktu Lisabonskej dohody o&amp;nbsp;označeniach pôvodu a&amp;nbsp;zemepisných označeniach pri rešpektovaní kompetencií Komisie ustanovených nariadením Európskeho parlamentu a&amp;nbsp;Rady (EÚ) 2019/1753 z&amp;nbsp;23. októbra 2019 o&amp;nbsp;činnosti Únie po jej pristúpení k&amp;nbsp;Ženevskému aktu Lisabonskej dohody o&amp;nbsp;označeniach pôvodu a&amp;nbsp;zemepisných označeniach,&lt;/p&gt;_x0009_&lt;/li&gt;_x0009_&lt;li style="text-align: justify;"&gt;_x0009_&lt;p&gt;potreba úpravy tzv. „národných“ fáz postupov, ktorých vykonávanie je v&amp;nbsp;systéme ochrany označení pôvodu výrobkov a zemepisných označení výrobkov ponechané nariadeniami EÚ na členské štáty, a&amp;nbsp;to predovšetkým v&amp;nbsp;súvislosti s&amp;nbsp;novým nariadením o&amp;nbsp;liehovinách [nariadenie (EÚ) 2019/787].&lt;/p&gt;_x0009_&lt;/li&gt;&lt;/ul&gt;&lt;p style="text-align: justify;"&gt;Súčasťou predkladaného návrhu je aj zmena zákona Národnej rady Slovenskej republiky č.&amp;nbsp;152/1995 Z. z. o&amp;nbsp;potravinách v&amp;nbsp;znení neskorších predpisov; zmena implementačného charakteru sleduje&amp;nbsp;prispôsobenie textu zákona terminológii použitej v&amp;nbsp;legislatíve EÚ.&lt;/p&gt;&lt;p style="text-align: justify;"&gt;Návrh zákona nemá vplyvy na rozpočet verejnej správy, podnikateľské prostredie, sociálne vplyvy, vplyvy na životné prostredie, na informatizáciu spoločnosti, vplyvy na služby verejnej správy pre občana a&amp;nbsp;ani vplyvy na manželstvo, rodičovstvo a&amp;nbsp;rodinu, preto návrh zákona nebol predmetom predbežného pripomienkového konania.&lt;/p&gt;&lt;p style="text-align: justify;"&gt;Návrh zákona nemá byť predmetom vnútrokomunitárneho pripomienkového konania.&lt;/p&gt;&lt;p style="text-align: justify;"&gt;Návrh zákona je v súlade s Ústavou Slovenskej republiky, ústavnými zákonmi,&amp;nbsp;zákonmi, nálezmi Ústavného súdu Slovenskej republiky a medzinárodnými zmluvami [Parížsky dohovor na&amp;nbsp;ochranu priemyselného vlastníctva; &lt;strong&gt;&lt;a href="https://www.slov-lex.sk/pravne-predpisy/SK/ZZ/2000/152" title="Presmerovanie na externý web (www.slov-lex.sk) - Dohoda o obchodných aspektoch práv duševného vlastníctva (Dohoda TRIPS) (Oznámenie Ministerstva zahraničných vecí Slovenskej republiky č. 152/2000 Z. z.)"&gt;&lt;strong&gt;Dohoda o obchodných aspektoch práv duševného vlastníctva (Dohoda TRIPS)&lt;/strong&gt;&lt;/a&gt;&lt;/strong&gt;;&lt;strong&gt; &lt;a href="https://www.slov-lex.sk/pravne-predpisy/SK/ZZ/1975/67" title="Presmerovanie na externý web (www.slov-lex.sk) - Lisabonská dohoda o ochrane označení pôvodu a o medzinárodnom zápise označení pôvodu (Vyhláška ministra zahraničných vecí č. 67/1975 Zb., v znení vyhl. č. 79/1985 Zb.)"&gt;&lt;strong&gt;Lisabonská dohoda o ochrane označení pôvodu a&amp;nbsp;o&amp;nbsp;medzinárodnom zápise označení pôvodu&lt;/strong&gt;&lt;/a&gt;&lt;/strong&gt;], ktorými je Slovenská republika viazaná a je v&amp;nbsp;súlade s právom EÚ.&lt;/p&gt;&lt;p style="text-align: justify;"&gt;Navrhuje sa, aby zákon nadobudol účinnosť 25. mája 2021. Tento dátum sa odvíja od účinnosti ustanovení nariadenia Európskeho parlamentu a Rady (EÚ) 2019/787 týkajúcich sa inštitútu zemepisného označenia tak, aby opatrenia na vnútroštátnej úrovni k&amp;nbsp;tomuto nariadeniu k&amp;nbsp;relevantnému dátumu dotvárali funkčný právny rámec ochrany zemepisných označení.&lt;/p&gt;&lt;p style="text-align: justify;"&gt;Návrh zákona sa predkladá na rokovanie bez rozporov s povinne pripomienkujúcimi subjektmi a bez rozporov s verejnosťou.&lt;/p&gt;</vt:lpwstr>
  </property>
  <property name="FSC#SKEDITIONSLOVLEX@103.510:dalsipredkladatel" pid="132" fmtid="{D5CDD505-2E9C-101B-9397-08002B2CF9AE}">
    <vt:lpwstr/>
  </property>
  <property name="FSC#SKEDITIONSLOVLEX@103.510:spravaucastverej" pid="133" fmtid="{D5CDD505-2E9C-101B-9397-08002B2CF9AE}">
    <vt:lpwstr>&lt;table align="center" border="1" cellpadding="0" cellspacing="0" style="width:100.0%;" width="100%"&gt;_x0009_&lt;tbody&gt;_x0009__x0009_&lt;tr&gt;_x0009__x0009__x0009_&lt;td colspan="5" style="width:100.0%;height:15px;"&gt;_x0009__x0009__x0009_&lt;p&gt;&lt;strong&gt;Scenár 1: Verejnosť je informovaná o tvorbe právneho predpisu &lt;/strong&gt;&lt;/p&gt;_x0009__x0009__x0009_&lt;/td&gt;_x0009__x0009_&lt;/tr&gt;_x0009__x0009_&lt;tr&gt;_x0009__x0009__x0009_&lt;td style="width:16.02%;height:4px;"&gt;_x0009__x0009__x0009_&lt;p&gt;&lt;strong&gt;Fáza procesu &lt;/strong&gt;&lt;/p&gt;_x0009__x0009__x0009_&lt;/td&gt;_x0009__x0009__x0009_&lt;td style="width:22.38%;height:4px;"&gt;_x0009__x0009__x0009_&lt;p&gt;&lt;strong&gt;Subfáza &lt;/strong&gt;&lt;/p&gt;_x0009__x0009__x0009_&lt;/td&gt;_x0009__x0009__x0009_&lt;td style="width:49.52%;height:4px;"&gt;_x0009__x0009__x0009_&lt;p&gt;&lt;strong&gt;Kontrolná otázka &lt;/strong&gt;&lt;/p&gt;_x0009__x0009__x0009_&lt;/td&gt;_x0009__x0009__x0009_&lt;td style="width:6.04%;height:4px;"&gt;_x0009__x0009__x0009_&lt;p&gt;&lt;strong&gt;Á &lt;/strong&gt;&lt;/p&gt;_x0009__x0009__x0009_&lt;/td&gt;_x0009__x0009__x0009_&lt;td style="width:6.04%;height:4px;"&gt;_x0009__x0009__x0009_&lt;p&gt;&lt;strong&gt;N &lt;/strong&gt;&lt;/p&gt;_x0009__x0009__x0009_&lt;/td&gt;_x0009__x0009_&lt;/tr&gt;_x0009__x0009_&lt;tr&gt;_x0009__x0009__x0009_&lt;td rowspan="2" style="width:16.02%;height:27px;"&gt;_x0009__x0009__x0009_&lt;p&gt;&lt;strong&gt;1. Príprava tvorby právne-ho predpisu &lt;/strong&gt;&lt;/p&gt;_x0009__x0009__x0009_&lt;/td&gt;_x0009__x0009__x0009_&lt;td style="width:22.38%;height:27px;"&gt;_x0009__x0009__x0009_&lt;p&gt;1.1 Identifikácia cieľa&lt;/p&gt;_x0009__x0009__x0009_&lt;/td&gt;_x0009__x0009__x0009_&lt;td style="width:49.52%;height:27px;"&gt;_x0009__x0009__x0009_&lt;p&gt;Bol zadefinovaný cieľ účasti verejnosti na tvorbe právneho predpisu?&lt;sup&gt;1)&lt;/sup&gt;&lt;/p&gt;_x0009__x0009__x0009_&lt;/td&gt;_x0009__x0009__x0009_&lt;td style="width:6.04%;height:27px;"&gt;_x0009__x0009__x0009_&lt;p align="center" style="margin-left:-5.35pt;"&gt;☒&lt;/p&gt;_x0009__x0009__x0009_&lt;/td&gt;_x0009__x0009__x0009_&lt;td style="width:6.04%;height:27px;"&gt;_x0009__x0009__x0009_&lt;p align="center"&gt;☐&lt;/p&gt;_x0009__x0009__x0009_&lt;/td&gt;_x0009__x0009_&lt;/tr&gt;_x0009__x0009_&lt;tr&gt;_x0009__x0009__x0009_&lt;td style="width:22.38%;height:13px;"&gt;_x0009__x0009__x0009_&lt;p&gt;1.2 Identifikácia problému a alternatív&lt;/p&gt;_x0009__x0009__x0009_&lt;/td&gt;_x0009__x0009__x0009_&lt;td style="width:49.52%;height:13px;"&gt;_x0009__x0009__x0009_&lt;p&gt;Bola vykonaná identifikácia problému a alternatív riešení?&lt;sup&gt;2)&lt;/sup&gt;&lt;/p&gt;_x0009__x0009__x0009_&lt;/td&gt;_x0009__x0009__x0009_&lt;td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rowspan="9" style="width:16.02%;"&gt;_x0009__x0009__x0009_&lt;p&gt;&lt;strong&gt;2. Informova-nie verejnosti o&amp;nbsp;tvorbe práv-neho predpisu &lt;/strong&gt;&lt;/p&gt;_x0009__x0009__x0009_&lt;/td&gt;_x0009__x0009__x0009_&lt;td rowspan="3" style="width:22.38%;"&gt;_x0009__x0009__x0009_&lt;p&gt;2.1 Rozsah informácií&lt;/p&gt;_x0009__x0009__x0009_&lt;/td&gt;_x0009__x0009__x0009_&lt;td style="width:49.52%;"&gt;_x0009__x0009__x0009_&lt;p&gt;Boli verejnosti poskytnuté informácie o probléme, ktorý má predmetný právny predpis riešiť?&lt;/p&gt;_x0009__x0009__x0009_&lt;/td&gt;_x0009__x0009__x0009_&lt;td style="width:6.04%;"&gt;_x0009__x0009__x0009_&lt;p align="center" style="margin-left:-5.35pt;"&gt;☒&lt;/p&gt;_x0009__x0009__x0009_&lt;/td&gt;_x0009__x0009__x0009_&lt;td style="width:6.04%;"&gt;_x0009__x0009__x0009_&lt;p align="center"&gt;☐&lt;/p&gt;_x0009__x0009__x0009_&lt;/td&gt;_x0009__x0009_&lt;/tr&gt;_x0009__x0009_&lt;tr&gt;_x0009__x0009__x0009_&lt;td style="width:49.52%;height:20px;"&gt;_x0009__x0009__x0009_&lt;p&gt;Boli verejnosti poskytnuté informácie o cieli účasti verejnosti na tvorbe právneho predpisu spolu s&amp;nbsp;časovým rámcom jeho tvorby?&lt;/p&gt;_x0009__x0009__x0009_&lt;/td&gt;_x0009__x0009__x0009_&lt;td style="width:6.04%;height:20px;"&gt;_x0009__x0009__x0009_&lt;p align="center" style="margin-left:-5.35pt;"&gt;☐&lt;/p&gt;_x0009__x0009__x0009_&lt;/td&gt;_x0009__x0009__x0009_&lt;td style="width:6.04%;height:20px;"&gt;_x0009__x0009__x0009_&lt;p align="center"&gt;☒&lt;/p&gt;_x0009__x0009__x0009_&lt;/td&gt;_x0009__x0009_&lt;/tr&gt;_x0009__x0009_&lt;tr&gt;_x0009__x0009__x0009_&lt;td style="width:49.52%;height:13px;"&gt;_x0009__x0009__x0009_&lt;p&gt;Boli verejnosti poskytnuté informácie o plánovanom procese tvorby právneho predpisu?&lt;/p&gt;_x0009__x0009__x0009_&lt;/td&gt;_x0009__x0009__x0009_&lt;td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rowspan="3" style="width:22.38%;height:33px;"&gt;_x0009__x0009__x0009_&lt;p&gt;2.2 Kontinuita informovania&lt;/p&gt;_x0009__x0009__x0009_&lt;/td&gt;_x0009__x0009__x0009_&lt;td style="width:49.52%;height:33px;"&gt;_x0009__x0009__x0009_&lt;p&gt;Boli verejnosti poskytnuté relevantné informácie pred začatím tvorby právneho predpisu?&lt;/p&gt;_x0009__x0009__x0009_&lt;/td&gt;_x0009__x0009__x0009_&lt;td style="width:6.04%;height:33px;"&gt;_x0009__x0009__x0009_&lt;p align="center" style="margin-left:-5.35pt;"&gt;☒&lt;/p&gt;_x0009__x0009__x0009_&lt;/td&gt;_x0009__x0009__x0009_&lt;td style="width:6.04%;height:33px;"&gt;_x0009__x0009__x0009_&lt;p align="center"&gt;☐&lt;/p&gt;_x0009__x0009__x0009_&lt;/td&gt;_x0009__x0009_&lt;/tr&gt;_x0009__x0009_&lt;tr&gt;_x0009__x0009__x0009_&lt;td style="width:49.52%;height:13px;"&gt;_x0009__x0009__x0009_&lt;p&gt;Boli verejnosti poskytnuté relevantné informácie počas tvorby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style="margin-left:-5.35pt;"&gt;☒&lt;/p&gt;_x0009__x0009__x0009_&lt;/td&gt;_x0009__x0009_&lt;/tr&gt;_x0009__x0009_&lt;tr&gt;_x0009__x0009__x0009_&lt;td style="width:49.52%;height:13px;"&gt;_x0009__x0009__x0009_&lt;p&gt;Boli verejnosti poskytnuté relevantné informácie aj po ukončení tvorby právneho predpisu?&lt;/p&gt;_x0009__x0009__x0009_&lt;/td&gt;_x0009__x0009__x0009_&lt;td style="width:6.04%;height:13px;"&gt;_x0009__x0009__x0009_&lt;p align="center"&gt;☐&lt;/p&gt;_x0009__x0009__x0009_&lt;/td&gt;_x0009__x0009__x0009_&lt;td style="width:6.04%;height:13px;"&gt;_x0009__x0009__x0009_&lt;p align="center"&gt;☒&lt;/p&gt;_x0009__x0009__x0009_&lt;/td&gt;_x0009__x0009_&lt;/tr&gt;_x0009__x0009_&lt;tr&gt;_x0009__x0009__x0009_&lt;td rowspan="2" style="width:22.38%;height:25px;"&gt;_x0009__x0009__x0009_&lt;p&gt;2.3 Kvalita a včasnosť informácií&lt;/p&gt;_x0009__x0009__x0009_&lt;/td&gt;_x0009__x0009__x0009_&lt;td style="width:49.52%;height:25px;"&gt;_x0009__x0009__x0009_&lt;p&gt;Boli relevantné informácie o tvorbe právneho predpisu verejnosti poskytnuté včas?&lt;/p&gt;_x0009__x0009__x0009_&lt;/td&gt;_x0009__x0009__x0009_&lt;td style="width:6.04%;height:25px;"&gt;_x0009__x0009__x0009_&lt;p align="center"&gt;☒&lt;/p&gt;_x0009__x0009__x0009_&lt;/td&gt;_x0009__x0009__x0009_&lt;td style="width:6.04%;height:25px;"&gt;_x0009__x0009__x0009_&lt;p align="center"&gt;☐&lt;/p&gt;_x0009__x0009__x0009_&lt;/td&gt;_x0009__x0009_&lt;/tr&gt;_x0009__x0009_&lt;tr&gt;_x0009__x0009__x0009_&lt;td style="width:49.52%;height:20px;"&gt;_x0009__x0009__x0009_&lt;p&gt;Boli relevantné informácie o tvorbe právneho predpisu a o samotnom právnom predpise poskytnuté vo vyhovujúcej technickej kvalite?&lt;sup&gt;3)&lt;/sup&gt;&lt;/p&gt;_x0009__x0009__x0009_&lt;/td&gt;_x0009__x0009__x0009_&lt;td style="width:6.04%;height:20px;"&gt;_x0009__x0009__x0009_&lt;p align="center"&gt;☒&lt;/p&gt;_x0009__x0009__x0009_&lt;/td&gt;_x0009__x0009__x0009_&lt;td style="width:6.04%;height:20px;"&gt;_x0009__x0009__x0009_&lt;p align="center"&gt;☐&lt;/p&gt;_x0009__x0009__x0009_&lt;/td&gt;_x0009__x0009_&lt;/tr&gt;_x0009__x0009_&lt;tr&gt;_x0009__x0009__x0009_&lt;td style="width:22.38%;height:20px;"&gt;_x0009__x0009__x0009_&lt;p&gt;2.4 Adresnosť informácií&lt;/p&gt;_x0009__x0009__x0009_&lt;/td&gt;_x0009__x0009__x0009_&lt;td style="width:49.52%;height:20px;"&gt;_x0009__x0009__x0009_&lt;p&gt;Boli zvolené komunikačné kanály dostatočné vzhľadom na prenos relevantných informácií o&amp;nbsp;právnom predpise smerom k verejnosti?&lt;/p&gt;_x0009__x0009__x0009_&lt;/td&gt;_x0009__x0009__x0009_&lt;td style="width:6.04%;height:20px;"&gt;_x0009__x0009__x0009_&lt;p align="center"&gt;☒&lt;/p&gt;_x0009__x0009__x0009_&lt;/td&gt;_x0009__x0009__x0009_&lt;td style="width:6.04%;height:20px;"&gt;_x0009__x0009__x0009_&lt;p align="center" style="margin-left:-5.35pt;"&gt;☐&lt;/p&gt;_x0009__x0009__x0009_&lt;/td&gt;_x0009__x0009_&lt;/tr&gt;_x0009__x0009_&lt;tr&gt;_x0009__x0009__x0009_&lt;td rowspan="3" style="width:16.02%;"&gt;_x0009__x0009__x0009_&lt;p&gt;&lt;strong&gt;3. Vyhodnote-nie procesu tvorby právne-ho predpisu &lt;/strong&gt;&lt;/p&gt;_x0009__x0009__x0009_&lt;/td&gt;_x0009__x0009__x0009_&lt;td rowspan="3" style="width:22.38%;"&gt;_x0009__x0009__x0009_&lt;p&gt;3.1 Hodnotenie procesu&lt;/p&gt;_x0009__x0009__x0009_&lt;/td&gt;_x0009__x0009__x0009_&lt;td style="width:49.52%;"&gt;_x0009__x0009__x0009_&lt;p&gt;Bolo vykonané hodnotenie procesu tvorby právneho predpisu?&lt;/p&gt;_x0009__x0009__x0009_&lt;/td&gt;_x0009__x0009__x0009_&lt;td style="width:6.04%;"&gt;_x0009__x0009__x0009_&lt;p align="center"&gt;☐&lt;/p&gt;_x0009__x0009__x0009_&lt;/td&gt;_x0009__x0009__x0009_&lt;td style="width:6.04%;"&gt;_x0009__x0009__x0009_&lt;p align="center" style="margin-left:-5.35pt;"&gt;☒&lt;/p&gt;_x0009__x0009__x0009_&lt;/td&gt;_x0009__x0009_&lt;/tr&gt;_x0009__x0009_&lt;tr&gt;_x0009__x0009__x0009_&lt;td style="width:49.52%;height:13px;"&gt;_x0009__x0009__x0009_&lt;p&gt;Bola zverejnená hodnotiaca správa procesu tvorby právneho predpisu?&lt;sup&gt;4)&lt;/sup&gt;&lt;/p&gt;_x0009__x0009__x0009_&lt;/td&gt;_x0009__x0009__x0009_&lt;td style="width:6.04%;height:13px;"&gt;_x0009__x0009__x0009_&lt;p align="center" style="margin-left:-5.35pt;"&gt;☐&lt;/p&gt;_x0009__x0009__x0009_&lt;/td&gt;_x0009__x0009__x0009_&lt;td style="width:6.04%;height:13px;"&gt;_x0009__x0009__x0009_&lt;p align="center"&gt;☒&lt;/p&gt;_x0009__x0009__x0009_&lt;/td&gt;_x0009__x0009_&lt;/tr&gt;_x0009__x0009_&lt;tr&gt;_x0009__x0009__x0009_&lt;td style="width:49.52%;height:13px;"&gt;_x0009__x0009__x0009_&lt;p&gt;Bol splnený cieľ účasti verejnosti na tvorbe právneho predpisu?&lt;/p&gt;_x0009__x0009__x0009_&lt;/td&gt;_x0009__x0009__x0009_&lt;td style="width:6.04%;height:13px;"&gt;_x0009__x0009__x0009_&lt;p align="center"&gt;☒&lt;/p&gt;_x0009__x0009__x0009_&lt;/td&gt;_x0009__x0009__x0009_&lt;td style="width:6.04%;height:13px;"&gt;_x0009__x0009__x0009_&lt;p align="center" style="margin-left:-5.35pt;"&gt;☐&lt;/p&gt;_x0009__x0009__x0009_&lt;/td&gt;_x0009__x0009_&lt;/tr&gt;_x0009_&lt;/tbody&gt;&lt;/table&gt;&lt;div style="clear:both;"&gt;&amp;nbsp;&lt;/div&gt;&amp;nbsp;&lt;p&gt;&lt;span style="text-align: justify;"&gt;Vzhľadom na skutočnosť, že navrhovaný predpis reflektuje &lt;/span&gt;&lt;em style="text-align: justify;"&gt;status quo&lt;/em&gt;&lt;span style="text-align: justify;"&gt; daný relevantnými aktmi sekundárneho práva EÚ ako aj skutočnosť, že prevažne predstavuje vykonanie opatrení na vnútroštátnej úrovni k&amp;nbsp;právnym predpisom EÚ, &amp;nbsp;predkladateľ zvolil ako cieľ účasti verejnosti na tvorbe právneho predpisu scenár 1 – informovať verejnosť o&amp;nbsp;procese tvorby právneho predpisu.&lt;/span&gt;&lt;/p&gt;&lt;p style="text-align: justify;"&gt;Intenzívnejšie zapojenie verejnosti by, vzhľadom na vyššie opísané skutočnosti ako aj na možnosť verejnosti pripomienkovať návrh právneho predpisu v&amp;nbsp;priebehu legislatívneho procesu (MPK), nebolo účelné.&lt;/p&gt;&lt;p style="text-align: justify;"&gt;Verejnosť bola informovaná prostredníctvom predbežnej informácie č. PI/2020/103 uverejnenej 16. júna 2020 na portáli Slov-lex v&amp;nbsp;súlade s § 9 zákona č. 400/2015 Z. z. o&amp;nbsp;tvorbe právnych predpisov a&amp;nbsp;o&amp;nbsp;Zbierke zákonov Slovenskej republiky a&amp;nbsp;o&amp;nbsp;zmene a&amp;nbsp;doplnení niektorých zákonov. Prostredníctvom predbežnej informácie predkladateľ zhodnotil súčasný stav a&amp;nbsp;potrebu jeho zmeny a&amp;nbsp;súčasne bola verejnosť informovaná o&amp;nbsp;základných cieľoch pripravovaného návrhu právneho predpisu.&lt;/p&gt;&lt;p style="text-align: justify;"&gt;K&amp;nbsp;predbežnej informácii neboli uplatnené prostredníctvom Slov-Lex-u žiadne pripomienky ani podnety.&lt;/p&gt;&lt;p style="text-align: justify;"&gt;Osobitne predkladateľ informoval o&amp;nbsp;uverejnení predbežnej informácie Slovenskú komoru patentových zástupcov, ako relevantnú zainteresovanú stranu, a&amp;nbsp;to prostredníctvom e-mailu zo dňa 16.6.2020 obsahujúceho základné informácie o&amp;nbsp;pripravovanom právnom predpise a&amp;nbsp;aktívny link na predbežnú informáciu uverejnenú v&amp;nbsp;Slov-lex-e. Predkladateľ o&amp;nbsp;pripravovanom právnom predpise informoval predstaviteľov opätovne aj na osobnom stretnutí zástupcov SKPZ a&amp;nbsp;ÚPV SR v&amp;nbsp;júli 2020 (20/7/2020). SKPZ zobrala informáciu na vedomie; ani zo strany SKPZ neboli uplatnené žiadne pripomienky.&lt;/p&gt;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predseda Úradu priemyselného vlastníctva Slovenskej republiky</vt:lpwstr>
  </property>
  <property name="FSC#SKEDITIONSLOVLEX@103.510:funkciaZodpPredAkuzativ" pid="138" fmtid="{D5CDD505-2E9C-101B-9397-08002B2CF9AE}">
    <vt:lpwstr>predsedu Úradu priemyselného vlastníctva Slovenskej republiky</vt:lpwstr>
  </property>
  <property name="FSC#SKEDITIONSLOVLEX@103.510:funkciaZodpPredDativ" pid="139" fmtid="{D5CDD505-2E9C-101B-9397-08002B2CF9AE}">
    <vt:lpwstr>predsedovi Úradu priemyselného vlastníctva Slovenskej republiky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Mgr. Matúš Medvec_x000d__x000a_predseda Úradu priemyselného vlastníctva Slovenskej republiky</vt:lpwstr>
  </property>
  <property name="FSC#SKEDITIONSLOVLEX@103.510:cisloparlamenttlac" pid="144" fmtid="{D5CDD505-2E9C-101B-9397-08002B2CF9AE}">
    <vt:lpwstr/>
  </property>
  <property name="FSC#SKEDITIONSLOVLEX@103.510:nazovpredpis1" pid="145" fmtid="{D5CDD505-2E9C-101B-9397-08002B2CF9AE}">
    <vt:lpwstr>Z. z. o potravinách v znení neskorších predpisov</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1995 Z. z. o potravinách v znení neskorších predpisov</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2020</vt:lpwstr>
  </property>
  <property name="FSC#SKEDITIONSLOVLEX@103.510:vytvorenedna" pid="152" fmtid="{D5CDD505-2E9C-101B-9397-08002B2CF9AE}">
    <vt:lpwstr>2. 9. 2020</vt:lpwstr>
  </property>
</Properties>
</file>