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1" w:rsidRPr="00A179AE" w:rsidRDefault="003501A1" w:rsidP="003501A1">
      <w:pPr>
        <w:jc w:val="center"/>
        <w:rPr>
          <w:b/>
          <w:bCs/>
          <w:sz w:val="28"/>
          <w:szCs w:val="28"/>
        </w:rPr>
      </w:pPr>
      <w:bookmarkStart w:id="0" w:name="_GoBack"/>
      <w:bookmarkEnd w:id="0"/>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E52D02">
        <w:trPr>
          <w:trHeight w:val="586"/>
        </w:trPr>
        <w:tc>
          <w:tcPr>
            <w:tcW w:w="9180" w:type="dxa"/>
            <w:gridSpan w:val="10"/>
            <w:tcBorders>
              <w:top w:val="single" w:sz="4" w:space="0" w:color="FFFFFF" w:themeColor="background1"/>
              <w:bottom w:val="single" w:sz="4" w:space="0" w:color="auto"/>
            </w:tcBorders>
          </w:tcPr>
          <w:p w:rsidR="003501A1" w:rsidRPr="00A179AE" w:rsidRDefault="0015436D" w:rsidP="00E52D02">
            <w:pPr>
              <w:jc w:val="both"/>
            </w:pPr>
            <w:r>
              <w:t>Návrh zákona</w:t>
            </w:r>
            <w:r w:rsidR="006353D2">
              <w:t xml:space="preserve"> č.........</w:t>
            </w:r>
            <w:r>
              <w:t>, ktorým sa mení a dopĺňa zákon č.</w:t>
            </w:r>
            <w:r w:rsidR="00AD6AE8">
              <w:t> </w:t>
            </w:r>
            <w:r>
              <w:t>443/2010 Z.</w:t>
            </w:r>
            <w:r w:rsidR="00AD6AE8">
              <w:t> </w:t>
            </w:r>
            <w:r>
              <w:t>z. o dotáciách na rozvoj bývania a o sociálnom bývaní v znení neskorších predpisov</w:t>
            </w:r>
            <w:r w:rsidR="00B701A5">
              <w:t xml:space="preserve"> </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15436D" w:rsidP="007B71A4">
            <w:r>
              <w:t>Ministerstvo dopravy a výstavby Slovenskej republiky</w:t>
            </w:r>
            <w:r w:rsidR="004B6DF1">
              <w:t xml:space="preserve"> (ďalej ako „</w:t>
            </w:r>
            <w:r w:rsidR="004B6DF1" w:rsidRPr="00FF1E0D">
              <w:t>MDV SR</w:t>
            </w:r>
            <w:r w:rsidR="004B6DF1">
              <w:t>“)</w:t>
            </w:r>
          </w:p>
          <w:p w:rsidR="003501A1" w:rsidRPr="00A179AE" w:rsidRDefault="003501A1" w:rsidP="007B71A4"/>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15436D"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r w:rsidRPr="00A179AE">
              <w:rPr>
                <w:i/>
              </w:rPr>
              <w:t>V prípade transpozície uveďte zoznam transponovaných predpisov:</w:t>
            </w:r>
          </w:p>
          <w:p w:rsidR="003501A1" w:rsidRPr="00A179AE" w:rsidRDefault="006353D2" w:rsidP="007B71A4">
            <w:r>
              <w:t>Žiadne.</w:t>
            </w:r>
          </w:p>
          <w:p w:rsidR="003501A1" w:rsidRPr="00A179AE" w:rsidRDefault="003501A1" w:rsidP="007B71A4"/>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A179AE" w:rsidRDefault="006353D2" w:rsidP="007B71A4">
            <w:pPr>
              <w:rPr>
                <w:i/>
              </w:rPr>
            </w:pPr>
            <w:r>
              <w:rPr>
                <w:i/>
              </w:rPr>
              <w:t>júl 2020</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91449C" w:rsidP="007B71A4">
            <w:pPr>
              <w:rPr>
                <w:i/>
              </w:rPr>
            </w:pPr>
            <w:r>
              <w:rPr>
                <w:i/>
              </w:rPr>
              <w:t>august</w:t>
            </w:r>
            <w:r w:rsidR="0015436D">
              <w:rPr>
                <w:i/>
              </w:rPr>
              <w:t xml:space="preserve"> 2020</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15436D" w:rsidP="007B71A4">
            <w:pPr>
              <w:rPr>
                <w:i/>
              </w:rPr>
            </w:pPr>
            <w:r>
              <w:rPr>
                <w:i/>
              </w:rPr>
              <w:t>september 2020</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B06B07" w:rsidRPr="00A179AE" w:rsidRDefault="00B06B07"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1955B6" w:rsidP="004B6DF1">
            <w:pPr>
              <w:jc w:val="both"/>
              <w:rPr>
                <w:b/>
              </w:rPr>
            </w:pPr>
            <w:r w:rsidRPr="00306115">
              <w:t>Významnou formou podpory štátu</w:t>
            </w:r>
            <w:r>
              <w:t xml:space="preserve"> do oblasti bývania</w:t>
            </w:r>
            <w:r w:rsidRPr="00306115">
              <w:t xml:space="preserve"> je poskytovanie dotácií pre vybrané oblasti rozvoja bývania, ktoré sú poskytované </w:t>
            </w:r>
            <w:r>
              <w:t>podľa</w:t>
            </w:r>
            <w:r w:rsidRPr="00306115">
              <w:t xml:space="preserve"> zákon</w:t>
            </w:r>
            <w:r>
              <w:t>a</w:t>
            </w:r>
            <w:r w:rsidRPr="00306115">
              <w:t xml:space="preserve"> č. 443/2010 Z. z. o dotáciách na rozvoj bývania a o sociálnom býva</w:t>
            </w:r>
            <w:r>
              <w:t>ní v znení neskorších predpisov.</w:t>
            </w:r>
            <w:r w:rsidRPr="002E792A">
              <w:t xml:space="preserve"> Účelom</w:t>
            </w:r>
            <w:r>
              <w:t xml:space="preserve"> návrhu zákona je v súlade s Programovým vyhlásením vlády</w:t>
            </w:r>
            <w:r w:rsidR="004B6DF1">
              <w:t xml:space="preserve"> Slovenskej republiky na obdobie rokov</w:t>
            </w:r>
            <w:r>
              <w:t xml:space="preserve"> 2020 – 2024 zvýšenie atraktivity nájomného bývania a zefektívnenie čerpania podpory obstarávania nájomných bytov a s tým súvisiaca úprava niektorých podmienok a postupov pri</w:t>
            </w:r>
            <w:r w:rsidR="004B6DF1">
              <w:t> </w:t>
            </w:r>
            <w:r>
              <w:t>poskytovaní dotácií na rozvoj bývania, ako aj ďalšie úpravy, ktoré vyplynuli z aplikačnej praxe.</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F364E3" w:rsidP="004B6DF1">
            <w:pPr>
              <w:jc w:val="both"/>
            </w:pPr>
            <w:r>
              <w:t xml:space="preserve">Návrhom zákona sa </w:t>
            </w:r>
            <w:r w:rsidR="0040360F">
              <w:t>zavádza</w:t>
            </w:r>
            <w:r>
              <w:t xml:space="preserve"> jednoduchší výpočet podlahovej plochy nájomných bytov</w:t>
            </w:r>
            <w:r w:rsidR="0040360F">
              <w:t xml:space="preserve"> pre žiadateľov</w:t>
            </w:r>
            <w:r>
              <w:t xml:space="preserve">, </w:t>
            </w:r>
            <w:r w:rsidR="00B651E4">
              <w:t>upravuje sa definícia účelov poskytnutia dotácie na obstaranie nájomného bytu a jej zosúladenie s</w:t>
            </w:r>
            <w:r w:rsidR="0040360F">
              <w:t xml:space="preserve"> poskytovaním podpory zo ŠFRB podľa novelizovaného znenia zákona č. 150/2013 Z. z., </w:t>
            </w:r>
            <w:r w:rsidR="00B651E4">
              <w:t>upravuje sa podiel dotácie v závislosti od</w:t>
            </w:r>
            <w:r w:rsidR="004B6DF1">
              <w:t> </w:t>
            </w:r>
            <w:r w:rsidR="00B651E4">
              <w:t>priemernej podlahovej plochy bytov</w:t>
            </w:r>
            <w:r w:rsidR="0040360F">
              <w:t xml:space="preserve">, upresňuje sa postup pri </w:t>
            </w:r>
            <w:r w:rsidR="00A37D69">
              <w:t>overovaní príjmu oprávnenej fyzickej osoby a rozširuje sa okruh oprávnených fyzických osôb pre poskytnutie nájomného bytu, upravuje sa postup pri</w:t>
            </w:r>
            <w:r w:rsidR="004B6DF1">
              <w:t> </w:t>
            </w:r>
            <w:r w:rsidR="00A37D69">
              <w:t xml:space="preserve">poskytovaní dotácie. </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1955B6" w:rsidP="00B701A5">
            <w:pPr>
              <w:jc w:val="both"/>
              <w:rPr>
                <w:i/>
              </w:rPr>
            </w:pPr>
            <w:r w:rsidRPr="006F5827">
              <w:t>Ob</w:t>
            </w:r>
            <w:r w:rsidR="00F6352C">
              <w:t>e</w:t>
            </w:r>
            <w:r w:rsidRPr="006F5827">
              <w:t>c, mest</w:t>
            </w:r>
            <w:r w:rsidR="00F6352C">
              <w:t>o</w:t>
            </w:r>
            <w:r w:rsidRPr="006F5827">
              <w:t>, v hlavnom meste Slovenskej republiky Bratislave a v meste Košice mestsk</w:t>
            </w:r>
            <w:r w:rsidR="00F6352C">
              <w:t>á</w:t>
            </w:r>
            <w:r w:rsidRPr="006F5827">
              <w:t xml:space="preserve"> čas</w:t>
            </w:r>
            <w:r w:rsidR="00F6352C">
              <w:t>ť</w:t>
            </w:r>
            <w:r w:rsidRPr="006F5827">
              <w:t>, vyšš</w:t>
            </w:r>
            <w:r w:rsidR="00F6352C">
              <w:t>í</w:t>
            </w:r>
            <w:r w:rsidRPr="006F5827">
              <w:t xml:space="preserve"> územn</w:t>
            </w:r>
            <w:r w:rsidR="00F6352C">
              <w:t>ý</w:t>
            </w:r>
            <w:r>
              <w:t xml:space="preserve"> cel</w:t>
            </w:r>
            <w:r w:rsidR="00F6352C">
              <w:t>o</w:t>
            </w:r>
            <w:r w:rsidRPr="006F5827">
              <w:t>k</w:t>
            </w:r>
            <w:r>
              <w:t xml:space="preserve"> a neziskov</w:t>
            </w:r>
            <w:r w:rsidR="00F6352C">
              <w:t>á</w:t>
            </w:r>
            <w:r w:rsidRPr="006F5827">
              <w:t xml:space="preserve"> organizáci</w:t>
            </w:r>
            <w:r w:rsidR="00F6352C">
              <w:t>a</w:t>
            </w:r>
            <w:r w:rsidRPr="006F5827">
              <w:t xml:space="preserve"> s minimálnou 51 %-</w:t>
            </w:r>
            <w:proofErr w:type="spellStart"/>
            <w:r w:rsidRPr="006F5827">
              <w:t>nou</w:t>
            </w:r>
            <w:proofErr w:type="spellEnd"/>
            <w:r w:rsidRPr="006F5827">
              <w:t xml:space="preserve"> majetkovou účasťou obce alebo vyššieho územného celku</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F6352C">
        <w:trPr>
          <w:trHeight w:val="250"/>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40360F" w:rsidRPr="00B06B07" w:rsidRDefault="002D3A79" w:rsidP="009958F1">
            <w:pPr>
              <w:jc w:val="both"/>
            </w:pPr>
            <w:r w:rsidRPr="00B06B07">
              <w:t>Alternatívou je nulový variant,</w:t>
            </w:r>
            <w:r w:rsidR="00813FEA" w:rsidRPr="00B06B07">
              <w:t xml:space="preserve"> kedy by sa návrh zákona nerealizoval, t. j. Ministerstvo dopravy a výstavby SR by poskytovalo dotácie na rozvoj bývania podľa zákona č. 443/2010 Z. z. o dotáciách na rozvoj bývania a o sociálnom bývaní v znení neskorších predpisov za súčasných podmienok.</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AD6AE8" w:rsidP="007B71A4">
            <w:pPr>
              <w:rPr>
                <w:i/>
              </w:rPr>
            </w:pPr>
            <w:r>
              <w:rPr>
                <w:i/>
              </w:rPr>
              <w:t>Predpokladá sa prijatie/zmena</w:t>
            </w:r>
            <w:r w:rsidR="003501A1" w:rsidRPr="00A179AE">
              <w:rPr>
                <w:i/>
              </w:rPr>
              <w:t xml:space="preserve">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A76FC8" w:rsidP="00AD6AE8">
            <w:pPr>
              <w:jc w:val="center"/>
            </w:pPr>
            <w:sdt>
              <w:sdtPr>
                <w:id w:val="-1407611648"/>
                <w14:checkbox>
                  <w14:checked w14:val="1"/>
                  <w14:checkedState w14:val="2612" w14:font="MS Gothic"/>
                  <w14:uncheckedState w14:val="2610" w14:font="MS Gothic"/>
                </w14:checkbox>
              </w:sdtPr>
              <w:sdtEndPr/>
              <w:sdtContent>
                <w:r w:rsidR="001955B6">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A76FC8" w:rsidP="00AD6AE8">
            <w:pPr>
              <w:jc w:val="center"/>
            </w:pPr>
            <w:sdt>
              <w:sdtPr>
                <w:id w:val="-1625842802"/>
                <w14:checkbox>
                  <w14:checked w14:val="0"/>
                  <w14:checkedState w14:val="2612" w14:font="MS Gothic"/>
                  <w14:uncheckedState w14:val="2610" w14:font="MS Gothic"/>
                </w14:checkbox>
              </w:sdtPr>
              <w:sdtEndPr/>
              <w:sdtContent>
                <w:r w:rsidR="00D13B6F">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6352C" w:rsidRDefault="001955B6" w:rsidP="001955B6">
            <w:pPr>
              <w:jc w:val="both"/>
            </w:pPr>
            <w:r w:rsidRPr="000D02A0">
              <w:t>Vyhláška</w:t>
            </w:r>
            <w:r>
              <w:t xml:space="preserve"> </w:t>
            </w:r>
            <w:r w:rsidRPr="000D02A0">
              <w:t>Ministerstva dopravy</w:t>
            </w:r>
            <w:r>
              <w:t xml:space="preserve"> a</w:t>
            </w:r>
            <w:r w:rsidRPr="000D02A0">
              <w:t xml:space="preserve"> výstavby </w:t>
            </w:r>
            <w:r>
              <w:t>S</w:t>
            </w:r>
            <w:r w:rsidR="004B6DF1">
              <w:t>lovenskej republiky</w:t>
            </w:r>
            <w:r w:rsidRPr="000D02A0">
              <w:t xml:space="preserve"> č. </w:t>
            </w:r>
            <w:r>
              <w:t>181</w:t>
            </w:r>
            <w:r w:rsidRPr="000D02A0">
              <w:t>/201</w:t>
            </w:r>
            <w:r>
              <w:t>9</w:t>
            </w:r>
            <w:r w:rsidRPr="000D02A0">
              <w:t xml:space="preserve"> Z. z. o výške dotácie na obstaranie nájomného bytu, obstaranie technickej vybavenosti a odstránenie systémovej poruchy</w:t>
            </w:r>
            <w:r>
              <w:t xml:space="preserve"> bytového domu</w:t>
            </w:r>
            <w:r w:rsidRPr="000D02A0">
              <w:t xml:space="preserve"> a</w:t>
            </w:r>
            <w:r>
              <w:t> o </w:t>
            </w:r>
            <w:r w:rsidRPr="000D02A0">
              <w:t>výške oprávnených nákladov na obstaranie nájomného bytu</w:t>
            </w:r>
            <w:r>
              <w:t xml:space="preserve"> </w:t>
            </w:r>
          </w:p>
          <w:p w:rsidR="003501A1" w:rsidRPr="00A179AE" w:rsidRDefault="001955B6" w:rsidP="004B6DF1">
            <w:pPr>
              <w:jc w:val="both"/>
            </w:pPr>
            <w:r>
              <w:t>Opatrenie Ministerstva dopravy a výstavby S</w:t>
            </w:r>
            <w:r w:rsidR="004B6DF1">
              <w:t>lovenskej republiky</w:t>
            </w:r>
            <w:r>
              <w:t xml:space="preserve"> č. 304/2017 Z. z., ktorým sa ustanovujú vzory žiadostí o poskytnutie dotácie na rozvoj bývania v znení opatrenia č. 335/2018 Z. z. a opatrenia č. 349/2019 Z. z. </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834607" w:rsidP="00F6352C">
            <w:r>
              <w:t>Navrhovaná právna úprava nie je transpozíciou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F6352C" w:rsidP="00F6352C">
            <w:pPr>
              <w:rPr>
                <w:i/>
              </w:rPr>
            </w:pPr>
            <w:r w:rsidRPr="00F6352C">
              <w:t>Žiadne.</w:t>
            </w: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4C60B8">
            <w:pPr>
              <w:ind w:left="142" w:hanging="142"/>
            </w:pPr>
          </w:p>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15436D">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3501A1" w:rsidRPr="00A179AE" w:rsidRDefault="00F6352C" w:rsidP="0015436D">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vAlign w:val="center"/>
          </w:tcPr>
          <w:p w:rsidR="003501A1" w:rsidRPr="00A179AE" w:rsidRDefault="003501A1" w:rsidP="0015436D">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vAlign w:val="center"/>
              </w:tcPr>
              <w:p w:rsidR="003501A1" w:rsidRPr="00A179AE" w:rsidRDefault="003501A1" w:rsidP="0015436D">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vAlign w:val="center"/>
          </w:tcPr>
          <w:p w:rsidR="003501A1" w:rsidRPr="00A179AE" w:rsidRDefault="003501A1" w:rsidP="0015436D">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3501A1" w:rsidRPr="00A179AE" w:rsidRDefault="0015436D" w:rsidP="0015436D">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vAlign w:val="center"/>
          </w:tcPr>
          <w:p w:rsidR="003501A1" w:rsidRPr="00A179AE" w:rsidRDefault="003501A1" w:rsidP="0015436D">
            <w:pPr>
              <w:ind w:left="34"/>
              <w:rPr>
                <w:b/>
              </w:rPr>
            </w:pPr>
            <w:r w:rsidRPr="00A179AE">
              <w:rPr>
                <w:b/>
              </w:rPr>
              <w:t>Negatívne</w:t>
            </w:r>
          </w:p>
        </w:tc>
      </w:tr>
      <w:tr w:rsidR="003501A1" w:rsidRPr="00A179AE" w:rsidTr="0015436D">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3501A1" w:rsidRPr="00A179AE" w:rsidRDefault="00F364E3" w:rsidP="0015436D">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vAlign w:val="center"/>
          </w:tcPr>
          <w:p w:rsidR="003501A1" w:rsidRPr="00D1220B" w:rsidRDefault="003501A1" w:rsidP="0015436D">
            <w:r w:rsidRPr="00D1220B">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vAlign w:val="center"/>
              </w:tcPr>
              <w:p w:rsidR="003501A1" w:rsidRPr="00D1220B" w:rsidRDefault="00F6352C" w:rsidP="0015436D">
                <w:pPr>
                  <w:jc w:val="center"/>
                </w:pPr>
                <w:r w:rsidRPr="00D1220B">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vAlign w:val="center"/>
          </w:tcPr>
          <w:p w:rsidR="003501A1" w:rsidRPr="00D1220B" w:rsidRDefault="003501A1" w:rsidP="0015436D">
            <w:r w:rsidRPr="00D1220B">
              <w:t>Nie</w:t>
            </w:r>
          </w:p>
        </w:tc>
        <w:sdt>
          <w:sdtPr>
            <w:id w:val="361940775"/>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3501A1" w:rsidRPr="00D1220B" w:rsidRDefault="00F364E3" w:rsidP="0015436D">
                <w:pPr>
                  <w:ind w:left="-107" w:right="-108"/>
                  <w:jc w:val="center"/>
                </w:pPr>
                <w:r w:rsidRPr="00D1220B">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vAlign w:val="center"/>
          </w:tcPr>
          <w:p w:rsidR="003501A1" w:rsidRPr="00D1220B" w:rsidRDefault="003501A1" w:rsidP="0015436D">
            <w:pPr>
              <w:ind w:left="34"/>
            </w:pPr>
            <w:r w:rsidRPr="00D1220B">
              <w:t>Čiastočne</w:t>
            </w:r>
          </w:p>
        </w:tc>
      </w:tr>
      <w:tr w:rsidR="003501A1" w:rsidRPr="00A179AE" w:rsidTr="0015436D">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3501A1" w:rsidRPr="00A179AE" w:rsidRDefault="006353D2" w:rsidP="0015436D">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vAlign w:val="center"/>
          </w:tcPr>
          <w:p w:rsidR="003501A1" w:rsidRPr="00A179AE" w:rsidRDefault="003501A1" w:rsidP="0015436D">
            <w:pPr>
              <w:ind w:right="-108"/>
              <w:rPr>
                <w:b/>
              </w:rPr>
            </w:pPr>
            <w:r w:rsidRPr="00A179AE">
              <w:rPr>
                <w:b/>
              </w:rPr>
              <w:t>Pozitívne</w:t>
            </w:r>
          </w:p>
        </w:tc>
        <w:sdt>
          <w:sdtPr>
            <w:rPr>
              <w:b/>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vAlign w:val="center"/>
              </w:tcPr>
              <w:p w:rsidR="003501A1" w:rsidRPr="00A179AE" w:rsidRDefault="00F6352C" w:rsidP="0015436D">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vAlign w:val="center"/>
          </w:tcPr>
          <w:p w:rsidR="003501A1" w:rsidRPr="00A179AE" w:rsidRDefault="003501A1" w:rsidP="0015436D">
            <w:pPr>
              <w:rPr>
                <w:b/>
              </w:rPr>
            </w:pPr>
            <w:r w:rsidRPr="00A179AE">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3501A1" w:rsidRPr="00A179AE" w:rsidRDefault="003501A1" w:rsidP="0015436D">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vAlign w:val="center"/>
          </w:tcPr>
          <w:p w:rsidR="003501A1" w:rsidRPr="00A179AE" w:rsidRDefault="003501A1" w:rsidP="0015436D">
            <w:pPr>
              <w:ind w:left="54"/>
              <w:rPr>
                <w:b/>
              </w:rPr>
            </w:pPr>
            <w:r w:rsidRPr="00A179AE">
              <w:rPr>
                <w:b/>
              </w:rPr>
              <w:t>Negatívne</w:t>
            </w:r>
          </w:p>
        </w:tc>
      </w:tr>
      <w:tr w:rsidR="003501A1" w:rsidRPr="00A179AE" w:rsidTr="0015436D">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vAlign w:val="center"/>
              </w:tcPr>
              <w:p w:rsidR="003501A1" w:rsidRPr="00A179AE" w:rsidRDefault="003501A1" w:rsidP="0015436D">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vAlign w:val="center"/>
          </w:tcPr>
          <w:p w:rsidR="003501A1" w:rsidRPr="00A179AE" w:rsidRDefault="003501A1" w:rsidP="0015436D">
            <w:pPr>
              <w:ind w:right="-108"/>
            </w:pPr>
            <w:r w:rsidRPr="00A179AE">
              <w:t>Pozitívne</w:t>
            </w:r>
          </w:p>
        </w:tc>
        <w:sdt>
          <w:sdtPr>
            <w:id w:val="-16960637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vAlign w:val="center"/>
              </w:tcPr>
              <w:p w:rsidR="003501A1" w:rsidRPr="00A179AE" w:rsidRDefault="00F6352C" w:rsidP="0015436D">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vAlign w:val="center"/>
          </w:tcPr>
          <w:p w:rsidR="003501A1" w:rsidRPr="00A179AE" w:rsidRDefault="003501A1" w:rsidP="0015436D">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3501A1" w:rsidRPr="00A179AE" w:rsidRDefault="003501A1" w:rsidP="0015436D">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vAlign w:val="center"/>
          </w:tcPr>
          <w:p w:rsidR="003501A1" w:rsidRPr="00A179AE" w:rsidRDefault="003501A1" w:rsidP="0015436D">
            <w:pPr>
              <w:ind w:left="54"/>
            </w:pPr>
            <w:r w:rsidRPr="00A179AE">
              <w:t>Negatívne</w:t>
            </w:r>
          </w:p>
        </w:tc>
      </w:tr>
      <w:tr w:rsidR="003501A1" w:rsidRPr="00A179AE" w:rsidTr="0015436D">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3501A1" w:rsidRPr="00A179AE" w:rsidRDefault="0015436D" w:rsidP="0015436D">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vAlign w:val="center"/>
          </w:tcPr>
          <w:p w:rsidR="003501A1" w:rsidRPr="00A179AE" w:rsidRDefault="003501A1" w:rsidP="0015436D">
            <w:pPr>
              <w:ind w:right="-108"/>
              <w:rPr>
                <w:b/>
              </w:rPr>
            </w:pPr>
            <w:r w:rsidRPr="00A179AE">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vAlign w:val="center"/>
              </w:tcPr>
              <w:p w:rsidR="003501A1" w:rsidRPr="00A179AE" w:rsidRDefault="003501A1" w:rsidP="0015436D">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vAlign w:val="center"/>
          </w:tcPr>
          <w:p w:rsidR="003501A1" w:rsidRPr="00A179AE" w:rsidRDefault="003501A1" w:rsidP="0015436D">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3501A1" w:rsidRPr="00A179AE" w:rsidRDefault="00F6352C" w:rsidP="0015436D">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vAlign w:val="center"/>
          </w:tcPr>
          <w:p w:rsidR="003501A1" w:rsidRPr="00A179AE" w:rsidRDefault="003501A1" w:rsidP="0015436D">
            <w:pPr>
              <w:ind w:left="54"/>
              <w:rPr>
                <w:b/>
              </w:rPr>
            </w:pPr>
            <w:r w:rsidRPr="00A179AE">
              <w:rPr>
                <w:b/>
              </w:rPr>
              <w:t>Negatívne</w:t>
            </w:r>
          </w:p>
        </w:tc>
      </w:tr>
      <w:tr w:rsidR="003501A1" w:rsidRPr="00A179AE" w:rsidTr="0015436D">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3501A1" w:rsidRPr="00A179AE" w:rsidRDefault="003501A1" w:rsidP="0015436D">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vAlign w:val="center"/>
          </w:tcPr>
          <w:p w:rsidR="003501A1" w:rsidRPr="00A179AE" w:rsidRDefault="003501A1" w:rsidP="0015436D">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vAlign w:val="center"/>
              </w:tcPr>
              <w:p w:rsidR="003501A1" w:rsidRPr="00A179AE" w:rsidRDefault="0015436D" w:rsidP="0015436D">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vAlign w:val="center"/>
          </w:tcPr>
          <w:p w:rsidR="003501A1" w:rsidRPr="00A179AE" w:rsidRDefault="003501A1" w:rsidP="0015436D">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3501A1" w:rsidRPr="00A179AE" w:rsidRDefault="003501A1" w:rsidP="0015436D">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vAlign w:val="center"/>
          </w:tcPr>
          <w:p w:rsidR="003501A1" w:rsidRPr="00A179AE" w:rsidRDefault="003501A1" w:rsidP="0015436D">
            <w:pPr>
              <w:ind w:left="54"/>
              <w:rPr>
                <w:b/>
              </w:rPr>
            </w:pPr>
            <w:r w:rsidRPr="00A179AE">
              <w:rPr>
                <w:b/>
              </w:rPr>
              <w:t>Negatívne</w:t>
            </w:r>
          </w:p>
        </w:tc>
      </w:tr>
      <w:tr w:rsidR="003501A1" w:rsidRPr="00A179AE" w:rsidTr="0015436D">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3501A1" w:rsidRPr="00A179AE" w:rsidRDefault="0015436D" w:rsidP="0015436D">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vAlign w:val="center"/>
          </w:tcPr>
          <w:p w:rsidR="003501A1" w:rsidRPr="00A179AE" w:rsidRDefault="003501A1" w:rsidP="0015436D">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vAlign w:val="center"/>
              </w:tcPr>
              <w:p w:rsidR="003501A1" w:rsidRPr="00A179AE" w:rsidRDefault="006353D2" w:rsidP="0015436D">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vAlign w:val="center"/>
          </w:tcPr>
          <w:p w:rsidR="003501A1" w:rsidRPr="00A179AE" w:rsidRDefault="003501A1" w:rsidP="0015436D">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3501A1" w:rsidRPr="00A179AE" w:rsidRDefault="003501A1" w:rsidP="0015436D">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vAlign w:val="center"/>
          </w:tcPr>
          <w:p w:rsidR="003501A1" w:rsidRPr="00A179AE" w:rsidRDefault="003501A1" w:rsidP="0015436D">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15436D">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vAlign w:val="center"/>
          </w:tcPr>
          <w:p w:rsidR="0045465B" w:rsidRPr="00653ADA" w:rsidRDefault="0045465B" w:rsidP="0015436D">
            <w:pPr>
              <w:jc w:val="center"/>
              <w:rPr>
                <w:rFonts w:eastAsia="MS Mincho"/>
                <w:b/>
              </w:rPr>
            </w:pPr>
          </w:p>
        </w:tc>
        <w:tc>
          <w:tcPr>
            <w:tcW w:w="1281" w:type="dxa"/>
            <w:tcBorders>
              <w:top w:val="single" w:sz="4" w:space="0" w:color="auto"/>
              <w:left w:val="nil"/>
              <w:bottom w:val="nil"/>
              <w:right w:val="nil"/>
            </w:tcBorders>
            <w:shd w:val="clear" w:color="auto" w:fill="auto"/>
            <w:vAlign w:val="center"/>
          </w:tcPr>
          <w:p w:rsidR="0045465B" w:rsidRPr="00653ADA" w:rsidRDefault="0045465B" w:rsidP="0015436D">
            <w:pPr>
              <w:ind w:right="-108"/>
              <w:rPr>
                <w:b/>
              </w:rPr>
            </w:pPr>
          </w:p>
        </w:tc>
        <w:tc>
          <w:tcPr>
            <w:tcW w:w="569" w:type="dxa"/>
            <w:tcBorders>
              <w:top w:val="single" w:sz="4" w:space="0" w:color="auto"/>
              <w:left w:val="nil"/>
              <w:bottom w:val="nil"/>
              <w:right w:val="nil"/>
            </w:tcBorders>
            <w:shd w:val="clear" w:color="auto" w:fill="auto"/>
            <w:vAlign w:val="center"/>
          </w:tcPr>
          <w:p w:rsidR="0045465B" w:rsidRPr="00653ADA" w:rsidRDefault="0045465B" w:rsidP="0015436D">
            <w:pPr>
              <w:jc w:val="center"/>
              <w:rPr>
                <w:rFonts w:eastAsia="MS Mincho"/>
                <w:b/>
              </w:rPr>
            </w:pPr>
          </w:p>
        </w:tc>
        <w:tc>
          <w:tcPr>
            <w:tcW w:w="1133" w:type="dxa"/>
            <w:tcBorders>
              <w:top w:val="single" w:sz="4" w:space="0" w:color="auto"/>
              <w:left w:val="nil"/>
              <w:bottom w:val="nil"/>
              <w:right w:val="nil"/>
            </w:tcBorders>
            <w:shd w:val="clear" w:color="auto" w:fill="auto"/>
            <w:vAlign w:val="center"/>
          </w:tcPr>
          <w:p w:rsidR="0045465B" w:rsidRPr="00653ADA" w:rsidRDefault="0045465B" w:rsidP="0015436D">
            <w:pPr>
              <w:rPr>
                <w:b/>
              </w:rPr>
            </w:pPr>
          </w:p>
        </w:tc>
        <w:tc>
          <w:tcPr>
            <w:tcW w:w="547" w:type="dxa"/>
            <w:tcBorders>
              <w:top w:val="single" w:sz="4" w:space="0" w:color="auto"/>
              <w:left w:val="nil"/>
              <w:bottom w:val="nil"/>
              <w:right w:val="nil"/>
            </w:tcBorders>
            <w:shd w:val="clear" w:color="auto" w:fill="auto"/>
            <w:vAlign w:val="center"/>
          </w:tcPr>
          <w:p w:rsidR="0045465B" w:rsidRPr="00653ADA" w:rsidRDefault="0045465B" w:rsidP="0015436D">
            <w:pPr>
              <w:jc w:val="center"/>
              <w:rPr>
                <w:rFonts w:eastAsia="MS Mincho"/>
                <w:b/>
              </w:rPr>
            </w:pPr>
          </w:p>
        </w:tc>
        <w:tc>
          <w:tcPr>
            <w:tcW w:w="1297" w:type="dxa"/>
            <w:tcBorders>
              <w:top w:val="single" w:sz="4" w:space="0" w:color="auto"/>
              <w:left w:val="nil"/>
              <w:bottom w:val="nil"/>
              <w:right w:val="single" w:sz="4" w:space="0" w:color="auto"/>
            </w:tcBorders>
            <w:shd w:val="clear" w:color="auto" w:fill="auto"/>
            <w:vAlign w:val="center"/>
          </w:tcPr>
          <w:p w:rsidR="0045465B" w:rsidRPr="00653ADA" w:rsidRDefault="0045465B" w:rsidP="0015436D">
            <w:pPr>
              <w:ind w:left="54"/>
              <w:rPr>
                <w:b/>
              </w:rPr>
            </w:pPr>
          </w:p>
        </w:tc>
      </w:tr>
      <w:tr w:rsidR="0015436D" w:rsidRPr="009634B3" w:rsidTr="0015436D">
        <w:tc>
          <w:tcPr>
            <w:tcW w:w="3812" w:type="dxa"/>
            <w:tcBorders>
              <w:top w:val="nil"/>
              <w:left w:val="single" w:sz="4" w:space="0" w:color="auto"/>
              <w:bottom w:val="nil"/>
              <w:right w:val="single" w:sz="4" w:space="0" w:color="auto"/>
            </w:tcBorders>
            <w:shd w:val="clear" w:color="auto" w:fill="E2E2E2"/>
          </w:tcPr>
          <w:p w:rsidR="0015436D" w:rsidRPr="009634B3" w:rsidRDefault="0015436D" w:rsidP="0015436D">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004324320"/>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vAlign w:val="center"/>
              </w:tcPr>
              <w:p w:rsidR="0015436D" w:rsidRPr="00A179AE" w:rsidRDefault="0015436D" w:rsidP="0015436D">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vAlign w:val="center"/>
          </w:tcPr>
          <w:p w:rsidR="0015436D" w:rsidRPr="00A179AE" w:rsidRDefault="0015436D" w:rsidP="0015436D">
            <w:pPr>
              <w:ind w:right="-108"/>
              <w:rPr>
                <w:b/>
              </w:rPr>
            </w:pPr>
            <w:r w:rsidRPr="00A179AE">
              <w:rPr>
                <w:b/>
              </w:rPr>
              <w:t>Pozitívne</w:t>
            </w:r>
          </w:p>
        </w:tc>
        <w:sdt>
          <w:sdtPr>
            <w:rPr>
              <w:b/>
            </w:rPr>
            <w:id w:val="-1765681050"/>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vAlign w:val="center"/>
              </w:tcPr>
              <w:p w:rsidR="0015436D" w:rsidRPr="00A179AE" w:rsidRDefault="0015436D" w:rsidP="0015436D">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vAlign w:val="center"/>
          </w:tcPr>
          <w:p w:rsidR="0015436D" w:rsidRPr="00A179AE" w:rsidRDefault="0015436D" w:rsidP="0015436D">
            <w:pPr>
              <w:rPr>
                <w:b/>
              </w:rPr>
            </w:pPr>
            <w:r w:rsidRPr="00A179AE">
              <w:rPr>
                <w:b/>
              </w:rPr>
              <w:t>Žiadne</w:t>
            </w:r>
          </w:p>
        </w:tc>
        <w:sdt>
          <w:sdtPr>
            <w:rPr>
              <w:b/>
            </w:rPr>
            <w:id w:val="433796739"/>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vAlign w:val="center"/>
              </w:tcPr>
              <w:p w:rsidR="0015436D" w:rsidRPr="00A179AE" w:rsidRDefault="0015436D" w:rsidP="0015436D">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vAlign w:val="center"/>
          </w:tcPr>
          <w:p w:rsidR="0015436D" w:rsidRPr="00A179AE" w:rsidRDefault="0015436D" w:rsidP="0015436D">
            <w:pPr>
              <w:ind w:left="54"/>
              <w:rPr>
                <w:b/>
              </w:rPr>
            </w:pPr>
            <w:r w:rsidRPr="00A179AE">
              <w:rPr>
                <w:b/>
              </w:rPr>
              <w:t>Negatívne</w:t>
            </w:r>
          </w:p>
        </w:tc>
      </w:tr>
      <w:tr w:rsidR="0015436D" w:rsidRPr="009634B3" w:rsidTr="0015436D">
        <w:tc>
          <w:tcPr>
            <w:tcW w:w="3812" w:type="dxa"/>
            <w:tcBorders>
              <w:top w:val="nil"/>
              <w:left w:val="single" w:sz="4" w:space="0" w:color="auto"/>
              <w:bottom w:val="single" w:sz="4" w:space="0" w:color="auto"/>
              <w:right w:val="single" w:sz="4" w:space="0" w:color="auto"/>
            </w:tcBorders>
            <w:shd w:val="clear" w:color="auto" w:fill="E2E2E2"/>
          </w:tcPr>
          <w:p w:rsidR="0015436D" w:rsidRPr="009634B3" w:rsidRDefault="0015436D" w:rsidP="0015436D">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233310259"/>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vAlign w:val="center"/>
              </w:tcPr>
              <w:p w:rsidR="0015436D" w:rsidRPr="00A179AE" w:rsidRDefault="006353D2" w:rsidP="0015436D">
                <w:pPr>
                  <w:jc w:val="center"/>
                  <w:rPr>
                    <w:b/>
                  </w:rPr>
                </w:pPr>
                <w:r>
                  <w:rPr>
                    <w:rFonts w:ascii="MS Gothic" w:eastAsia="MS Gothic" w:hAnsi="MS Gothic" w:hint="eastAsia"/>
                    <w:b/>
                  </w:rPr>
                  <w:t>☐</w:t>
                </w:r>
              </w:p>
            </w:tc>
          </w:sdtContent>
        </w:sdt>
        <w:tc>
          <w:tcPr>
            <w:tcW w:w="1281" w:type="dxa"/>
            <w:tcBorders>
              <w:top w:val="nil"/>
              <w:left w:val="nil"/>
              <w:bottom w:val="single" w:sz="4" w:space="0" w:color="auto"/>
              <w:right w:val="nil"/>
            </w:tcBorders>
            <w:shd w:val="clear" w:color="auto" w:fill="auto"/>
            <w:vAlign w:val="center"/>
          </w:tcPr>
          <w:p w:rsidR="0015436D" w:rsidRPr="00A179AE" w:rsidRDefault="0015436D" w:rsidP="0015436D">
            <w:pPr>
              <w:ind w:right="-108"/>
              <w:rPr>
                <w:b/>
              </w:rPr>
            </w:pPr>
            <w:r w:rsidRPr="00A179AE">
              <w:rPr>
                <w:b/>
              </w:rPr>
              <w:t>Pozitívne</w:t>
            </w:r>
          </w:p>
        </w:tc>
        <w:sdt>
          <w:sdtPr>
            <w:rPr>
              <w:b/>
            </w:rPr>
            <w:id w:val="1536541198"/>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vAlign w:val="center"/>
              </w:tcPr>
              <w:p w:rsidR="0015436D" w:rsidRPr="00A179AE" w:rsidRDefault="006353D2" w:rsidP="0015436D">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vAlign w:val="center"/>
          </w:tcPr>
          <w:p w:rsidR="0015436D" w:rsidRPr="00A179AE" w:rsidRDefault="0015436D" w:rsidP="0015436D">
            <w:pPr>
              <w:rPr>
                <w:b/>
              </w:rPr>
            </w:pPr>
            <w:r w:rsidRPr="00A179AE">
              <w:rPr>
                <w:b/>
              </w:rPr>
              <w:t>Žiadne</w:t>
            </w:r>
          </w:p>
        </w:tc>
        <w:sdt>
          <w:sdtPr>
            <w:rPr>
              <w:b/>
            </w:rPr>
            <w:id w:val="104310280"/>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vAlign w:val="center"/>
              </w:tcPr>
              <w:p w:rsidR="0015436D" w:rsidRPr="00A179AE" w:rsidRDefault="0015436D" w:rsidP="0015436D">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vAlign w:val="center"/>
          </w:tcPr>
          <w:p w:rsidR="0015436D" w:rsidRPr="00A179AE" w:rsidRDefault="0015436D" w:rsidP="0015436D">
            <w:pPr>
              <w:ind w:left="54"/>
              <w:rPr>
                <w:b/>
              </w:rPr>
            </w:pPr>
            <w:r w:rsidRPr="00A179AE">
              <w:rPr>
                <w:b/>
              </w:rPr>
              <w:t>Negatívne</w:t>
            </w:r>
          </w:p>
        </w:tc>
      </w:tr>
      <w:tr w:rsidR="00DC711B" w:rsidRPr="009634B3" w:rsidTr="0015436D">
        <w:tc>
          <w:tcPr>
            <w:tcW w:w="3812" w:type="dxa"/>
            <w:tcBorders>
              <w:top w:val="single" w:sz="4" w:space="0" w:color="auto"/>
              <w:left w:val="single" w:sz="4" w:space="0" w:color="auto"/>
              <w:bottom w:val="single" w:sz="4" w:space="0" w:color="auto"/>
              <w:right w:val="single" w:sz="4" w:space="0" w:color="auto"/>
            </w:tcBorders>
            <w:shd w:val="clear" w:color="auto" w:fill="E2E2E2"/>
          </w:tcPr>
          <w:p w:rsidR="00DC711B" w:rsidRDefault="00DC711B" w:rsidP="00DC711B">
            <w:pPr>
              <w:ind w:left="168" w:hanging="168"/>
              <w:rPr>
                <w:rFonts w:eastAsia="Calibri"/>
                <w:b/>
                <w:lang w:eastAsia="en-US"/>
              </w:rPr>
            </w:pPr>
            <w:r>
              <w:rPr>
                <w:rFonts w:eastAsia="Calibri"/>
                <w:b/>
                <w:lang w:eastAsia="en-US"/>
              </w:rPr>
              <w:t>Vplyvy na manželstvo, rodičovstvo a rodinu</w:t>
            </w:r>
          </w:p>
        </w:tc>
        <w:sdt>
          <w:sdtPr>
            <w:rPr>
              <w:b/>
            </w:rPr>
            <w:id w:val="-1940513148"/>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vAlign w:val="center"/>
              </w:tcPr>
              <w:p w:rsidR="00DC711B" w:rsidRPr="00A179AE" w:rsidRDefault="00F6352C" w:rsidP="0015436D">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shd w:val="clear" w:color="auto" w:fill="auto"/>
            <w:vAlign w:val="center"/>
          </w:tcPr>
          <w:p w:rsidR="00DC711B" w:rsidRPr="00A179AE" w:rsidRDefault="00DC711B" w:rsidP="0015436D">
            <w:pPr>
              <w:ind w:right="-108"/>
              <w:rPr>
                <w:b/>
              </w:rPr>
            </w:pPr>
            <w:r w:rsidRPr="00A179AE">
              <w:rPr>
                <w:b/>
              </w:rPr>
              <w:t>Pozitívne</w:t>
            </w:r>
          </w:p>
        </w:tc>
        <w:sdt>
          <w:sdtPr>
            <w:rPr>
              <w:b/>
            </w:rPr>
            <w:id w:val="-92944061"/>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vAlign w:val="center"/>
              </w:tcPr>
              <w:p w:rsidR="00DC711B" w:rsidRPr="00A179AE" w:rsidRDefault="00F6352C" w:rsidP="0015436D">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shd w:val="clear" w:color="auto" w:fill="auto"/>
            <w:vAlign w:val="center"/>
          </w:tcPr>
          <w:p w:rsidR="00DC711B" w:rsidRPr="00A179AE" w:rsidRDefault="00DC711B" w:rsidP="0015436D">
            <w:pPr>
              <w:rPr>
                <w:b/>
              </w:rPr>
            </w:pPr>
            <w:r w:rsidRPr="00A179AE">
              <w:rPr>
                <w:b/>
              </w:rPr>
              <w:t>Žiadne</w:t>
            </w:r>
          </w:p>
        </w:tc>
        <w:sdt>
          <w:sdtPr>
            <w:rPr>
              <w:b/>
            </w:rPr>
            <w:id w:val="-210447725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vAlign w:val="center"/>
              </w:tcPr>
              <w:p w:rsidR="00DC711B" w:rsidRPr="00A179AE" w:rsidRDefault="00DC711B" w:rsidP="0015436D">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shd w:val="clear" w:color="auto" w:fill="auto"/>
            <w:vAlign w:val="center"/>
          </w:tcPr>
          <w:p w:rsidR="00DC711B" w:rsidRPr="00A179AE" w:rsidRDefault="00DC711B" w:rsidP="0015436D">
            <w:pPr>
              <w:ind w:left="54"/>
              <w:rPr>
                <w:b/>
              </w:rPr>
            </w:pPr>
            <w:r w:rsidRPr="00A179AE">
              <w:rPr>
                <w:b/>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F364E3"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F364E3" w:rsidRPr="00A179AE" w:rsidRDefault="00F364E3" w:rsidP="00265A4B">
            <w:pPr>
              <w:pBdr>
                <w:top w:val="single" w:sz="4" w:space="1" w:color="auto"/>
                <w:left w:val="single" w:sz="4" w:space="4" w:color="auto"/>
                <w:right w:val="single" w:sz="4" w:space="4" w:color="auto"/>
              </w:pBdr>
              <w:jc w:val="both"/>
              <w:rPr>
                <w:b/>
              </w:rPr>
            </w:pPr>
            <w:r w:rsidRPr="00652904">
              <w:t xml:space="preserve">Predložený návrh </w:t>
            </w:r>
            <w:r>
              <w:t>zákona</w:t>
            </w:r>
            <w:r w:rsidRPr="00652904">
              <w:t xml:space="preserve"> je </w:t>
            </w:r>
            <w:r>
              <w:t>zmenou a </w:t>
            </w:r>
            <w:r w:rsidRPr="00652904">
              <w:t>doplnením</w:t>
            </w:r>
            <w:r>
              <w:t xml:space="preserve"> </w:t>
            </w:r>
            <w:r w:rsidRPr="00652904">
              <w:t>zákon</w:t>
            </w:r>
            <w:r>
              <w:t>a</w:t>
            </w:r>
            <w:r w:rsidRPr="00652904">
              <w:t xml:space="preserve"> č. 443/2010 Z. z. o dotáciách na rozvoj bývania a o sociálnom bývaní v znení </w:t>
            </w:r>
            <w:r w:rsidRPr="00D1220B">
              <w:t xml:space="preserve">neskorších predpisov. Predkladaný materiál predpokladá negatívny vplyv na rozpočet verejnej správy v rokoch </w:t>
            </w:r>
            <w:r w:rsidR="00265A4B" w:rsidRPr="00D1220B">
              <w:t xml:space="preserve">2021 </w:t>
            </w:r>
            <w:r w:rsidRPr="00D1220B">
              <w:t>a 202</w:t>
            </w:r>
            <w:r w:rsidR="0095656F" w:rsidRPr="00D1220B">
              <w:t>3</w:t>
            </w:r>
            <w:r w:rsidRPr="00D1220B">
              <w:t xml:space="preserve">. Čiastočne sú výdavky zabezpečené v rámci limitu výdavkov rozpočtu kapitoly MDV SR na príslušný rozpočtový rok. Rozpočtovo nekrytý vplyv sa predpokladá vo výške </w:t>
            </w:r>
            <w:r w:rsidR="0095656F" w:rsidRPr="00D1220B">
              <w:t>1</w:t>
            </w:r>
            <w:r w:rsidRPr="00D1220B">
              <w:t> 000 000 eur ročne.</w:t>
            </w:r>
            <w:r w:rsidR="00265A4B" w:rsidRPr="00D1220B">
              <w:t xml:space="preserve"> Prijatie navrhovaných zmien v zákone bez zabezpečenia dodatočných zdrojov podľa predchádzajúcej vety by malo za následok negatívne sociálne vplyvy v podobe zníženia počtu podporených nájomných bytov.</w:t>
            </w:r>
          </w:p>
        </w:tc>
      </w:tr>
      <w:tr w:rsidR="00F364E3"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F364E3" w:rsidRPr="00A179AE" w:rsidRDefault="00F364E3" w:rsidP="00F364E3">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F364E3"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364E3" w:rsidRPr="00544ED3" w:rsidRDefault="00F364E3" w:rsidP="00F364E3">
            <w:pPr>
              <w:rPr>
                <w:lang w:val="de-DE"/>
              </w:rPr>
            </w:pPr>
            <w:r w:rsidRPr="00FF1E0D">
              <w:t>MDV SR</w:t>
            </w:r>
            <w:r>
              <w:t xml:space="preserve"> – Mgr. Martin Majzún,02/594 94 715, </w:t>
            </w:r>
            <w:proofErr w:type="spellStart"/>
            <w:r>
              <w:t>martin.majzun</w:t>
            </w:r>
            <w:proofErr w:type="spellEnd"/>
            <w:r w:rsidRPr="00544ED3">
              <w:rPr>
                <w:lang w:val="de-DE"/>
              </w:rPr>
              <w:t>@mindop.sk</w:t>
            </w:r>
          </w:p>
          <w:p w:rsidR="00F364E3" w:rsidRPr="00D13B6F" w:rsidRDefault="00F364E3" w:rsidP="00F364E3">
            <w:pPr>
              <w:rPr>
                <w:i/>
              </w:rPr>
            </w:pPr>
          </w:p>
        </w:tc>
      </w:tr>
      <w:tr w:rsidR="00F364E3"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F364E3" w:rsidRPr="00A179AE" w:rsidRDefault="00F364E3" w:rsidP="00F364E3">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F364E3"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364E3" w:rsidRPr="00F364E3" w:rsidRDefault="00F364E3" w:rsidP="00F364E3">
            <w:r w:rsidRPr="00F364E3">
              <w:t>MDV SR</w:t>
            </w:r>
            <w:r w:rsidR="00834607">
              <w:t>, aplikačná prax</w:t>
            </w:r>
          </w:p>
          <w:p w:rsidR="00F364E3" w:rsidRPr="00A179AE" w:rsidRDefault="00F364E3" w:rsidP="00F364E3">
            <w:pPr>
              <w:rPr>
                <w:b/>
              </w:rPr>
            </w:pPr>
          </w:p>
        </w:tc>
      </w:tr>
      <w:tr w:rsidR="00F364E3" w:rsidRPr="00A179AE" w:rsidTr="0037492E">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F364E3" w:rsidRPr="00A179AE" w:rsidRDefault="00F364E3" w:rsidP="00F364E3">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F364E3" w:rsidRPr="00A179AE" w:rsidTr="0037492E">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7344B5" w:rsidRPr="007344B5" w:rsidRDefault="007344B5" w:rsidP="004112E1">
            <w:pPr>
              <w:jc w:val="both"/>
            </w:pPr>
            <w:r w:rsidRPr="0037492E">
              <w:rPr>
                <w:b/>
              </w:rPr>
              <w:t>I. Úvod:</w:t>
            </w:r>
            <w:r w:rsidRPr="007344B5">
              <w:t xml:space="preserve"> Ministerstvo dopravy a výstavby SR predložilo dňa 17. júla 2020 Stálej pracovnej komisii na</w:t>
            </w:r>
            <w:r w:rsidR="004112E1">
              <w:t> </w:t>
            </w:r>
            <w:r w:rsidRPr="007344B5">
              <w:t>posudzovanie vybraných vplyvov (ďalej len „Komisia“) na predbežné pripomienkové konanie materiál: „Návrh zákona č........., ktorým sa mení a dopĺňa zákon č. 443/2010 Z. z. o dotáciách na rozvoj bývania a</w:t>
            </w:r>
            <w:r w:rsidR="004112E1">
              <w:t> </w:t>
            </w:r>
            <w:r w:rsidRPr="007344B5">
              <w:t>o</w:t>
            </w:r>
            <w:r w:rsidR="004112E1">
              <w:t> </w:t>
            </w:r>
            <w:r w:rsidRPr="007344B5">
              <w:t>sociálnom bývaní v znení neskorších predpisov a ktorým sa mení a dopĺňa zákon č. 261/2011 Z. z. o</w:t>
            </w:r>
            <w:r w:rsidR="004112E1">
              <w:t> </w:t>
            </w:r>
            <w:r w:rsidRPr="007344B5">
              <w:t>poskytovaní dotácií na obstaranie náhradných nájomných bytov v znení zákona č. 134/2013 Z. z.“. Materiál predpokladá negatívne vplyvy na rozpočet verejnej správy, ktoré sú čiastočne rozpočtovo zabezpečené a</w:t>
            </w:r>
            <w:r w:rsidR="004112E1">
              <w:t> </w:t>
            </w:r>
            <w:r w:rsidRPr="007344B5">
              <w:t>pozitívne sociálne vplyvy.</w:t>
            </w:r>
          </w:p>
          <w:p w:rsidR="007344B5" w:rsidRPr="007344B5" w:rsidRDefault="007344B5" w:rsidP="004112E1">
            <w:pPr>
              <w:jc w:val="both"/>
            </w:pPr>
          </w:p>
          <w:p w:rsidR="007344B5" w:rsidRPr="007344B5" w:rsidRDefault="007344B5" w:rsidP="004112E1">
            <w:pPr>
              <w:jc w:val="both"/>
            </w:pPr>
            <w:r w:rsidRPr="0037492E">
              <w:rPr>
                <w:b/>
              </w:rPr>
              <w:t>II. Pripomienky a návrhy zmien</w:t>
            </w:r>
            <w:r w:rsidRPr="007344B5">
              <w:t>: Komisia uplatňuje k materiálu zásadné pripomienky a odporúčania:</w:t>
            </w:r>
          </w:p>
          <w:p w:rsidR="007344B5" w:rsidRPr="007344B5" w:rsidRDefault="007344B5" w:rsidP="004112E1">
            <w:pPr>
              <w:jc w:val="both"/>
            </w:pPr>
          </w:p>
          <w:p w:rsidR="007344B5" w:rsidRPr="0037492E" w:rsidRDefault="007344B5" w:rsidP="004112E1">
            <w:pPr>
              <w:jc w:val="both"/>
              <w:rPr>
                <w:b/>
              </w:rPr>
            </w:pPr>
            <w:r w:rsidRPr="0037492E">
              <w:rPr>
                <w:b/>
              </w:rPr>
              <w:t xml:space="preserve">K doložke vybraných vplyvov </w:t>
            </w:r>
          </w:p>
          <w:p w:rsidR="007344B5" w:rsidRPr="007344B5" w:rsidRDefault="007344B5" w:rsidP="004112E1">
            <w:pPr>
              <w:jc w:val="both"/>
            </w:pPr>
            <w:r w:rsidRPr="007344B5">
              <w:t>Komisia odporúča dopracovať časť 5. Alternatívne riešenia, keďže nespĺňa obsahové náležitosti podľa Jednotnej metodiky. Je potrebné uviesť minimálne nulový variant, t. j. popis súčasného stavu, kedy by sa návrh zákona nerealizoval.</w:t>
            </w:r>
          </w:p>
          <w:p w:rsidR="007344B5" w:rsidRDefault="007344B5" w:rsidP="004112E1">
            <w:pPr>
              <w:jc w:val="both"/>
            </w:pPr>
          </w:p>
          <w:p w:rsidR="007344B5" w:rsidRPr="0037492E" w:rsidRDefault="007344B5" w:rsidP="004112E1">
            <w:pPr>
              <w:jc w:val="both"/>
              <w:rPr>
                <w:b/>
              </w:rPr>
            </w:pPr>
            <w:r w:rsidRPr="0037492E">
              <w:rPr>
                <w:b/>
              </w:rPr>
              <w:t>K analýze vplyvov na rozpočet verejnej správy</w:t>
            </w:r>
          </w:p>
          <w:p w:rsidR="0037492E" w:rsidRDefault="007344B5" w:rsidP="004112E1">
            <w:pPr>
              <w:jc w:val="both"/>
            </w:pPr>
            <w:r w:rsidRPr="007344B5">
              <w:t>Z doložky vybraných vplyvov vyplýva negatívny čiastočne rozpočtovo zabezpečený vplyv na rozpočet verejnej správy. V analýze vplyvov sú vyčíslené výdavky v roku 2020 sú v sume 20 mil. eur  a v rokoch 2021 až</w:t>
            </w:r>
            <w:r w:rsidR="0037492E">
              <w:t> </w:t>
            </w:r>
            <w:r w:rsidRPr="007344B5">
              <w:t>2023</w:t>
            </w:r>
            <w:r w:rsidR="0037492E">
              <w:t xml:space="preserve"> </w:t>
            </w:r>
            <w:r w:rsidR="0037492E" w:rsidRPr="007344B5">
              <w:t>každoročne v sume 21 mil. eur. Ako rozpočtovo zabezpečené v kapitole MDV SR sú uvedené výdavky v roku 2020 v sume 20 mil. eur a v rokoch 2021 až 2023 každoročne v sume 21 mil. eur. a rozpočtovo nekrytý vplyv v</w:t>
            </w:r>
            <w:r w:rsidR="0037492E">
              <w:t> </w:t>
            </w:r>
            <w:r w:rsidR="0037492E" w:rsidRPr="007344B5">
              <w:t>rokoch 2022 a 2023 je 1 mil. eur ročne. S rozpočtovo nekrytým vplyvom nesúhlasíme. Zároveň uvádzame, že</w:t>
            </w:r>
            <w:r w:rsidR="0037492E">
              <w:t> </w:t>
            </w:r>
            <w:r w:rsidR="0037492E" w:rsidRPr="007344B5">
              <w:t>v</w:t>
            </w:r>
            <w:r w:rsidR="0037492E">
              <w:t> </w:t>
            </w:r>
            <w:r w:rsidR="0037492E" w:rsidRPr="007344B5">
              <w:t>súčasnej etape prípravy návrhu rozpočtu na roky 2021 až 2023 v kapitole MDV SR nie sú rozpočtované kapitálové výdavky, ktoré  si má kapitola uplatňovať v rámci prioritných výdavkových titulov. Vzhľadom na</w:t>
            </w:r>
            <w:r w:rsidR="00DD65AB">
              <w:t> </w:t>
            </w:r>
            <w:r w:rsidR="0037492E" w:rsidRPr="007344B5">
              <w:t>uvedené  je potrebné v legislatívnom procese pokračovať až po vyjasnení krytia požadovaných výdavkov.</w:t>
            </w:r>
          </w:p>
          <w:p w:rsidR="0037492E" w:rsidRDefault="0037492E" w:rsidP="004112E1">
            <w:pPr>
              <w:jc w:val="both"/>
            </w:pPr>
          </w:p>
          <w:p w:rsidR="0037492E" w:rsidRDefault="0037492E" w:rsidP="004112E1">
            <w:pPr>
              <w:jc w:val="both"/>
            </w:pPr>
            <w:r w:rsidRPr="007344B5">
              <w:t>V analýze vplyvov na rozpočet verejnej správy v bode 2.2.1. Popis návrhu je v poslednom odseku uvedené, že</w:t>
            </w:r>
            <w:r>
              <w:t> </w:t>
            </w:r>
            <w:r w:rsidRPr="007344B5">
              <w:t>„Vyššie uvedená podpora na obstaranie nájomných bytov vrátane technickej vybavenosti k týmto bytom navrhujeme v štátnom rozpočte vyčleniť finančné prostriedky v roku 2020 až 2022 vo výške 48 000 000 eur ročne.“. V kvantifikáciách k predloženému návrhu sa takéto objemy výdavkov neuvádzajú, žiadame preto túto vetu vypustiť, resp. preformulovať.</w:t>
            </w:r>
          </w:p>
          <w:p w:rsidR="0037492E" w:rsidRDefault="0037492E" w:rsidP="004112E1">
            <w:pPr>
              <w:jc w:val="both"/>
            </w:pPr>
          </w:p>
          <w:p w:rsidR="0037492E" w:rsidRPr="0037492E" w:rsidRDefault="0037492E" w:rsidP="0037492E">
            <w:pPr>
              <w:jc w:val="both"/>
              <w:rPr>
                <w:b/>
              </w:rPr>
            </w:pPr>
            <w:r w:rsidRPr="0037492E">
              <w:rPr>
                <w:b/>
              </w:rPr>
              <w:t>K analýze sociálnych vplyvov</w:t>
            </w:r>
          </w:p>
          <w:p w:rsidR="0037492E" w:rsidRPr="007344B5" w:rsidRDefault="0037492E" w:rsidP="0037492E">
            <w:pPr>
              <w:jc w:val="both"/>
            </w:pPr>
            <w:r w:rsidRPr="007344B5">
              <w:t>Pri vypracovávaní analýzy sociálnych vplyvov odporúčame vypracovávať všetky jej časti a pod-časti, a to aj v</w:t>
            </w:r>
            <w:r>
              <w:t> </w:t>
            </w:r>
            <w:r w:rsidRPr="007344B5">
              <w:t>prípade, ak v konkrétnej sfére vplyv identifikovaný nie je, napr. komentárom „bez vplyvu“, čím predkladateľ explicitne deklaruje, že vyhodnocoval všetky potenciálne vplyvy, na ktoré sa analýza vzťahuje.</w:t>
            </w:r>
          </w:p>
          <w:p w:rsidR="0037492E" w:rsidRDefault="0037492E" w:rsidP="004112E1">
            <w:pPr>
              <w:jc w:val="both"/>
            </w:pPr>
          </w:p>
          <w:p w:rsidR="0037492E" w:rsidRPr="007344B5" w:rsidRDefault="0037492E" w:rsidP="0037492E">
            <w:pPr>
              <w:jc w:val="both"/>
            </w:pPr>
            <w:r w:rsidRPr="0037492E">
              <w:rPr>
                <w:b/>
              </w:rPr>
              <w:t>III. Záver:</w:t>
            </w:r>
            <w:r w:rsidRPr="007344B5">
              <w:t xml:space="preserve"> Stála pracovná komisia na posudzovanie vybraných vplyvov vyjadruje </w:t>
            </w:r>
          </w:p>
          <w:p w:rsidR="0037492E" w:rsidRPr="0037492E" w:rsidRDefault="0037492E" w:rsidP="0037492E">
            <w:pPr>
              <w:spacing w:before="120" w:after="120"/>
              <w:jc w:val="center"/>
              <w:rPr>
                <w:b/>
              </w:rPr>
            </w:pPr>
            <w:r w:rsidRPr="0037492E">
              <w:rPr>
                <w:b/>
              </w:rPr>
              <w:t>nesúhlasné stanovisko</w:t>
            </w:r>
          </w:p>
          <w:p w:rsidR="0037492E" w:rsidRDefault="0037492E" w:rsidP="004112E1">
            <w:pPr>
              <w:jc w:val="both"/>
            </w:pPr>
            <w:r w:rsidRPr="007344B5">
              <w:t>s materiálom predloženým na predbežné pripomienkové konanie.</w:t>
            </w:r>
          </w:p>
          <w:p w:rsidR="0037492E" w:rsidRDefault="0037492E" w:rsidP="004112E1">
            <w:pPr>
              <w:jc w:val="both"/>
            </w:pPr>
          </w:p>
          <w:p w:rsidR="0037492E" w:rsidRPr="007344B5" w:rsidRDefault="0037492E" w:rsidP="0037492E">
            <w:pPr>
              <w:jc w:val="both"/>
            </w:pPr>
            <w:r w:rsidRPr="0037492E">
              <w:rPr>
                <w:b/>
              </w:rPr>
              <w:t>IV. Poznámka:</w:t>
            </w:r>
            <w:r w:rsidRPr="007344B5">
              <w:t xml:space="preserve"> Predkladateľ zapracuje pripomienky a odporúčania na úpravu uvedené v bode II a uvedie stanovisko Komisie do doložky vybraných vplyvov spolu s vyhodnotením pripomienok.</w:t>
            </w:r>
          </w:p>
          <w:p w:rsidR="0037492E" w:rsidRDefault="0037492E" w:rsidP="004112E1">
            <w:pPr>
              <w:jc w:val="both"/>
            </w:pPr>
          </w:p>
          <w:p w:rsidR="0037492E" w:rsidRPr="007344B5" w:rsidRDefault="0037492E" w:rsidP="0037492E">
            <w:pPr>
              <w:jc w:val="both"/>
            </w:pPr>
            <w:r w:rsidRPr="007344B5">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w:t>
            </w:r>
            <w:r w:rsidR="00DD65AB">
              <w:t> </w:t>
            </w:r>
            <w:r w:rsidRPr="007344B5">
              <w:t>na</w:t>
            </w:r>
            <w:r>
              <w:t> </w:t>
            </w:r>
            <w:r w:rsidRPr="007344B5">
              <w:t>opätovné schválenie Komisie, ktorá môže následne zmeniť svoje stanovisko.</w:t>
            </w:r>
          </w:p>
          <w:p w:rsidR="0037492E" w:rsidRDefault="0037492E" w:rsidP="004112E1">
            <w:pPr>
              <w:jc w:val="both"/>
            </w:pPr>
          </w:p>
          <w:p w:rsidR="0037492E" w:rsidRDefault="0037492E" w:rsidP="004112E1">
            <w:pPr>
              <w:jc w:val="both"/>
            </w:pPr>
          </w:p>
          <w:p w:rsidR="0037492E" w:rsidRPr="0037492E" w:rsidRDefault="0037492E" w:rsidP="0037492E">
            <w:pPr>
              <w:ind w:left="5127"/>
              <w:rPr>
                <w:b/>
              </w:rPr>
            </w:pPr>
            <w:r w:rsidRPr="0037492E">
              <w:rPr>
                <w:b/>
              </w:rPr>
              <w:t>Ing. Rastislav Chovanec, PhD.</w:t>
            </w:r>
          </w:p>
          <w:p w:rsidR="0037492E" w:rsidRDefault="0037492E" w:rsidP="0037492E">
            <w:pPr>
              <w:ind w:left="5694"/>
              <w:jc w:val="both"/>
            </w:pPr>
            <w:r w:rsidRPr="007344B5">
              <w:t>predseda Komisie</w:t>
            </w:r>
          </w:p>
          <w:p w:rsidR="00677A07" w:rsidRDefault="00677A07" w:rsidP="0037492E">
            <w:pPr>
              <w:ind w:left="5694"/>
              <w:jc w:val="both"/>
            </w:pPr>
          </w:p>
          <w:p w:rsidR="00677A07" w:rsidRDefault="00677A07" w:rsidP="00677A07">
            <w:pPr>
              <w:tabs>
                <w:tab w:val="center" w:pos="6379"/>
              </w:tabs>
              <w:suppressAutoHyphens/>
              <w:spacing w:line="100" w:lineRule="atLeast"/>
              <w:ind w:right="-2"/>
              <w:jc w:val="both"/>
              <w:rPr>
                <w:bCs/>
              </w:rPr>
            </w:pPr>
          </w:p>
          <w:p w:rsidR="00B06B07" w:rsidRPr="00D1220B" w:rsidRDefault="00B06B07" w:rsidP="00677A07">
            <w:pPr>
              <w:tabs>
                <w:tab w:val="center" w:pos="6379"/>
              </w:tabs>
              <w:suppressAutoHyphens/>
              <w:spacing w:line="100" w:lineRule="atLeast"/>
              <w:ind w:right="-2"/>
              <w:jc w:val="both"/>
              <w:rPr>
                <w:b/>
                <w:bCs/>
              </w:rPr>
            </w:pPr>
            <w:r w:rsidRPr="00D1220B">
              <w:rPr>
                <w:b/>
                <w:bCs/>
              </w:rPr>
              <w:t>Vyhodnotenie pripomienok Komisie</w:t>
            </w:r>
            <w:r w:rsidRPr="00D1220B">
              <w:t xml:space="preserve"> </w:t>
            </w:r>
            <w:r w:rsidRPr="00D1220B">
              <w:rPr>
                <w:b/>
                <w:bCs/>
              </w:rPr>
              <w:t>v stanovisku k doložke vybraných vplyvov:</w:t>
            </w:r>
          </w:p>
          <w:p w:rsidR="00677A07" w:rsidRPr="00D1220B" w:rsidRDefault="00B06B07" w:rsidP="00677A07">
            <w:pPr>
              <w:tabs>
                <w:tab w:val="center" w:pos="6379"/>
              </w:tabs>
              <w:suppressAutoHyphens/>
              <w:spacing w:line="100" w:lineRule="atLeast"/>
              <w:ind w:right="-2"/>
              <w:jc w:val="both"/>
              <w:rPr>
                <w:bCs/>
              </w:rPr>
            </w:pPr>
            <w:r w:rsidRPr="00D1220B">
              <w:rPr>
                <w:bCs/>
              </w:rPr>
              <w:t xml:space="preserve">MDV SR uplatnené pripomienky Komisie k časti </w:t>
            </w:r>
            <w:r w:rsidR="00677A07" w:rsidRPr="00D1220B">
              <w:rPr>
                <w:bCs/>
              </w:rPr>
              <w:t xml:space="preserve">5. Alternatívne riešenia a k analýze sociálnych vplyvov akceptovalo a zapracovalo do návrhu materiálu, ktorý </w:t>
            </w:r>
            <w:r w:rsidR="00E52D02">
              <w:rPr>
                <w:bCs/>
              </w:rPr>
              <w:t>bol</w:t>
            </w:r>
            <w:r w:rsidR="00677A07" w:rsidRPr="00D1220B">
              <w:rPr>
                <w:bCs/>
              </w:rPr>
              <w:t xml:space="preserve"> predložený na medzirezortné pripomienkové konanie. </w:t>
            </w:r>
          </w:p>
          <w:p w:rsidR="00F364E3" w:rsidRPr="00B06B07" w:rsidRDefault="00677A07" w:rsidP="00C45796">
            <w:pPr>
              <w:jc w:val="both"/>
              <w:rPr>
                <w:bCs/>
                <w:color w:val="FF0000"/>
              </w:rPr>
            </w:pPr>
            <w:r w:rsidRPr="00D1220B">
              <w:rPr>
                <w:bCs/>
              </w:rPr>
              <w:t xml:space="preserve">V prípade </w:t>
            </w:r>
            <w:r w:rsidR="00B06B07" w:rsidRPr="00D1220B">
              <w:rPr>
                <w:bCs/>
              </w:rPr>
              <w:t>pripomienky Komisie k analýze vplyvov na rozpočet verejnej správy, MDV SR trvá na vyčíslení výdavkov s rozpočtovo nekrytým vplyvom v </w:t>
            </w:r>
            <w:r w:rsidR="00B06B07" w:rsidRPr="00C45796">
              <w:rPr>
                <w:bCs/>
              </w:rPr>
              <w:t>návrhu materiálu v predloženom znení.</w:t>
            </w:r>
            <w:r w:rsidR="00D1220B" w:rsidRPr="00C45796">
              <w:rPr>
                <w:bCs/>
              </w:rPr>
              <w:t xml:space="preserve"> Zvýšené požiadavky na rozpočet vo výške 1 000 000,- eur, ktoré návrh zákona predpokladá budú predmetom rokovania MDV SR s MF SR v rámci prípravy rozpočtu verejn</w:t>
            </w:r>
            <w:r w:rsidR="00C45796">
              <w:rPr>
                <w:bCs/>
              </w:rPr>
              <w:t>ej správy na roky 2021 – 2023</w:t>
            </w:r>
            <w:r w:rsidR="00B06B07" w:rsidRPr="00C45796">
              <w:rPr>
                <w:bCs/>
              </w:rPr>
              <w:t>.</w:t>
            </w:r>
          </w:p>
        </w:tc>
      </w:tr>
    </w:tbl>
    <w:p w:rsidR="003501A1" w:rsidRDefault="003501A1" w:rsidP="003501A1">
      <w:pPr>
        <w:rPr>
          <w:b/>
        </w:rPr>
      </w:pPr>
    </w:p>
    <w:p w:rsidR="003501A1" w:rsidRDefault="003501A1" w:rsidP="003501A1">
      <w:pPr>
        <w:rPr>
          <w:b/>
        </w:rPr>
      </w:pPr>
    </w:p>
    <w:p w:rsidR="00CB3623" w:rsidRDefault="00CB3623"/>
    <w:sectPr w:rsidR="00CB3623" w:rsidSect="004C60B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1A1" w:rsidRDefault="003501A1" w:rsidP="003501A1">
      <w:r>
        <w:separator/>
      </w:r>
    </w:p>
  </w:endnote>
  <w:endnote w:type="continuationSeparator" w:id="0">
    <w:p w:rsidR="003501A1" w:rsidRDefault="003501A1"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1A1" w:rsidRDefault="003501A1" w:rsidP="003501A1">
      <w:r>
        <w:separator/>
      </w:r>
    </w:p>
  </w:footnote>
  <w:footnote w:type="continuationSeparator" w:id="0">
    <w:p w:rsidR="003501A1" w:rsidRDefault="003501A1"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A1" w:rsidRPr="000A15AE" w:rsidRDefault="003501A1" w:rsidP="003501A1">
    <w:pPr>
      <w:pStyle w:val="Hlavika"/>
      <w:jc w:val="right"/>
      <w:rPr>
        <w:sz w:val="24"/>
        <w:szCs w:val="24"/>
      </w:rPr>
    </w:pPr>
    <w:r>
      <w:rPr>
        <w:sz w:val="24"/>
        <w:szCs w:val="24"/>
      </w:rPr>
      <w:t>Príloha č. 1</w:t>
    </w:r>
  </w:p>
  <w:p w:rsidR="003501A1" w:rsidRDefault="003501A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36A60"/>
    <w:rsid w:val="00091816"/>
    <w:rsid w:val="0015436D"/>
    <w:rsid w:val="00175FD8"/>
    <w:rsid w:val="001955B6"/>
    <w:rsid w:val="00265A4B"/>
    <w:rsid w:val="002D3A79"/>
    <w:rsid w:val="003501A1"/>
    <w:rsid w:val="0037492E"/>
    <w:rsid w:val="00395098"/>
    <w:rsid w:val="0040360F"/>
    <w:rsid w:val="004112E1"/>
    <w:rsid w:val="0045465B"/>
    <w:rsid w:val="004B6DF1"/>
    <w:rsid w:val="004C60B8"/>
    <w:rsid w:val="004C794A"/>
    <w:rsid w:val="004F6F1F"/>
    <w:rsid w:val="004F7D6F"/>
    <w:rsid w:val="00570B48"/>
    <w:rsid w:val="005B7A8D"/>
    <w:rsid w:val="006353D2"/>
    <w:rsid w:val="00677A07"/>
    <w:rsid w:val="006C3B7D"/>
    <w:rsid w:val="007344B5"/>
    <w:rsid w:val="00813FEA"/>
    <w:rsid w:val="00834607"/>
    <w:rsid w:val="00874E88"/>
    <w:rsid w:val="0091449C"/>
    <w:rsid w:val="0095656F"/>
    <w:rsid w:val="009958F1"/>
    <w:rsid w:val="00A37D69"/>
    <w:rsid w:val="00A76FC8"/>
    <w:rsid w:val="00A9338D"/>
    <w:rsid w:val="00AB304E"/>
    <w:rsid w:val="00AC2477"/>
    <w:rsid w:val="00AD6AE8"/>
    <w:rsid w:val="00B06B07"/>
    <w:rsid w:val="00B651E4"/>
    <w:rsid w:val="00B65A86"/>
    <w:rsid w:val="00B701A5"/>
    <w:rsid w:val="00B85D30"/>
    <w:rsid w:val="00C45796"/>
    <w:rsid w:val="00CB3623"/>
    <w:rsid w:val="00D1220B"/>
    <w:rsid w:val="00D13B6F"/>
    <w:rsid w:val="00D226FA"/>
    <w:rsid w:val="00D75D35"/>
    <w:rsid w:val="00DC711B"/>
    <w:rsid w:val="00DD65AB"/>
    <w:rsid w:val="00DE2A12"/>
    <w:rsid w:val="00E52D02"/>
    <w:rsid w:val="00EB59E3"/>
    <w:rsid w:val="00F22831"/>
    <w:rsid w:val="00F364E3"/>
    <w:rsid w:val="00F62771"/>
    <w:rsid w:val="00F6352C"/>
    <w:rsid w:val="00FD50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FB23F-23DC-4B22-A301-22F441E7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8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2742-AD15-4AB2-AA50-1345FD0F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1359</Words>
  <Characters>7749</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Majzún</dc:creator>
  <cp:keywords/>
  <dc:description/>
  <cp:lastModifiedBy>Bartoňová, Alena</cp:lastModifiedBy>
  <cp:revision>23</cp:revision>
  <cp:lastPrinted>2020-09-08T11:50:00Z</cp:lastPrinted>
  <dcterms:created xsi:type="dcterms:W3CDTF">2020-06-24T14:31:00Z</dcterms:created>
  <dcterms:modified xsi:type="dcterms:W3CDTF">2020-09-08T11:50:00Z</dcterms:modified>
</cp:coreProperties>
</file>