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8E3CF1" w:rsidRDefault="003501A1" w:rsidP="003501A1">
      <w:pPr>
        <w:jc w:val="center"/>
        <w:rPr>
          <w:b/>
          <w:bCs/>
          <w:sz w:val="28"/>
          <w:szCs w:val="28"/>
        </w:rPr>
      </w:pPr>
      <w:r w:rsidRPr="008E3CF1">
        <w:rPr>
          <w:b/>
          <w:bCs/>
          <w:sz w:val="28"/>
          <w:szCs w:val="28"/>
        </w:rPr>
        <w:t>Doložka vybraných vplyvov</w:t>
      </w:r>
    </w:p>
    <w:p w:rsidR="003501A1" w:rsidRPr="008E3CF1"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794"/>
        <w:gridCol w:w="417"/>
        <w:gridCol w:w="141"/>
        <w:gridCol w:w="564"/>
        <w:gridCol w:w="717"/>
        <w:gridCol w:w="570"/>
        <w:gridCol w:w="1133"/>
        <w:gridCol w:w="284"/>
        <w:gridCol w:w="263"/>
        <w:gridCol w:w="1297"/>
      </w:tblGrid>
      <w:tr w:rsidR="003501A1" w:rsidRPr="008E3CF1" w:rsidTr="003501A1">
        <w:tc>
          <w:tcPr>
            <w:tcW w:w="9180" w:type="dxa"/>
            <w:gridSpan w:val="10"/>
            <w:tcBorders>
              <w:bottom w:val="single" w:sz="4" w:space="0" w:color="FFFFFF" w:themeColor="background1"/>
            </w:tcBorders>
            <w:shd w:val="clear" w:color="auto" w:fill="E2E2E2"/>
          </w:tcPr>
          <w:p w:rsidR="003501A1" w:rsidRPr="008E3CF1" w:rsidRDefault="003501A1" w:rsidP="003501A1">
            <w:pPr>
              <w:pStyle w:val="Odsekzoznamu"/>
              <w:numPr>
                <w:ilvl w:val="0"/>
                <w:numId w:val="1"/>
              </w:numPr>
              <w:spacing w:after="0" w:line="240" w:lineRule="auto"/>
              <w:ind w:left="426"/>
              <w:rPr>
                <w:rFonts w:ascii="Times New Roman" w:hAnsi="Times New Roman" w:cs="Times New Roman"/>
                <w:b/>
              </w:rPr>
            </w:pPr>
            <w:r w:rsidRPr="008E3CF1">
              <w:rPr>
                <w:rFonts w:ascii="Times New Roman" w:hAnsi="Times New Roman" w:cs="Times New Roman"/>
                <w:b/>
              </w:rPr>
              <w:t>Základné údaje</w:t>
            </w:r>
          </w:p>
        </w:tc>
      </w:tr>
      <w:tr w:rsidR="003501A1" w:rsidRPr="008E3CF1" w:rsidTr="003501A1">
        <w:tc>
          <w:tcPr>
            <w:tcW w:w="9180" w:type="dxa"/>
            <w:gridSpan w:val="10"/>
            <w:tcBorders>
              <w:bottom w:val="single" w:sz="4" w:space="0" w:color="FFFFFF" w:themeColor="background1"/>
            </w:tcBorders>
            <w:shd w:val="clear" w:color="auto" w:fill="E2E2E2"/>
          </w:tcPr>
          <w:p w:rsidR="003501A1" w:rsidRPr="008E3CF1" w:rsidRDefault="003501A1" w:rsidP="007B71A4">
            <w:pPr>
              <w:pStyle w:val="Odsekzoznamu"/>
              <w:ind w:left="142"/>
              <w:rPr>
                <w:rFonts w:ascii="Times New Roman" w:hAnsi="Times New Roman" w:cs="Times New Roman"/>
                <w:b/>
              </w:rPr>
            </w:pPr>
            <w:r w:rsidRPr="008E3CF1">
              <w:rPr>
                <w:rFonts w:ascii="Times New Roman" w:hAnsi="Times New Roman" w:cs="Times New Roman"/>
                <w:b/>
              </w:rPr>
              <w:t>Názov materiálu</w:t>
            </w:r>
          </w:p>
        </w:tc>
      </w:tr>
      <w:tr w:rsidR="003501A1" w:rsidRPr="008E3CF1" w:rsidTr="003501A1">
        <w:tc>
          <w:tcPr>
            <w:tcW w:w="9180" w:type="dxa"/>
            <w:gridSpan w:val="10"/>
            <w:tcBorders>
              <w:top w:val="single" w:sz="4" w:space="0" w:color="FFFFFF" w:themeColor="background1"/>
              <w:bottom w:val="single" w:sz="4" w:space="0" w:color="auto"/>
            </w:tcBorders>
          </w:tcPr>
          <w:p w:rsidR="003501A1" w:rsidRPr="008E3CF1" w:rsidRDefault="00A80EC7" w:rsidP="00433F37">
            <w:r w:rsidRPr="008E3CF1">
              <w:t>Návrh zákona</w:t>
            </w:r>
            <w:r w:rsidR="00CC1ABD" w:rsidRPr="008E3CF1">
              <w:t xml:space="preserve">, ktorým sa </w:t>
            </w:r>
            <w:r w:rsidR="00CC1ABD" w:rsidRPr="00953BF3">
              <w:t xml:space="preserve">mení a dopĺňa zákon č. 150/2013 Z. z. o Štátnom fonde rozvoja bývania v znení </w:t>
            </w:r>
            <w:r w:rsidR="00892D5E" w:rsidRPr="00953BF3">
              <w:t>neskorších predpisov</w:t>
            </w:r>
            <w:r w:rsidR="00B1135B">
              <w:t xml:space="preserve"> </w:t>
            </w:r>
            <w:r w:rsidR="00B1135B">
              <w:rPr>
                <w:bCs/>
              </w:rPr>
              <w:t xml:space="preserve">a ktorým sa mení </w:t>
            </w:r>
            <w:bookmarkStart w:id="0" w:name="_GoBack"/>
            <w:bookmarkEnd w:id="0"/>
            <w:r w:rsidR="00B1135B">
              <w:rPr>
                <w:bCs/>
              </w:rPr>
              <w:t>zákon č. 583/2004 Z. z. o rozpočtových pravidlách územnej samosprávy a o zmene a doplnení niektorých zákonov v znení neskorších predpisov</w:t>
            </w:r>
            <w:r w:rsidR="00AE2BEA" w:rsidRPr="00953BF3">
              <w:t xml:space="preserve"> </w:t>
            </w:r>
          </w:p>
        </w:tc>
      </w:tr>
      <w:tr w:rsidR="003501A1" w:rsidRPr="008E3CF1"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8E3CF1" w:rsidRDefault="003501A1" w:rsidP="007B71A4">
            <w:pPr>
              <w:pStyle w:val="Odsekzoznamu"/>
              <w:ind w:left="142"/>
              <w:rPr>
                <w:rFonts w:ascii="Times New Roman" w:hAnsi="Times New Roman" w:cs="Times New Roman"/>
                <w:b/>
              </w:rPr>
            </w:pPr>
            <w:r w:rsidRPr="008E3CF1">
              <w:rPr>
                <w:rFonts w:ascii="Times New Roman" w:hAnsi="Times New Roman" w:cs="Times New Roman"/>
                <w:b/>
              </w:rPr>
              <w:t>Predkladateľ (a spolupredkladateľ)</w:t>
            </w:r>
          </w:p>
        </w:tc>
      </w:tr>
      <w:tr w:rsidR="003501A1" w:rsidRPr="008E3CF1"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BD2DFA" w:rsidRPr="008E3CF1" w:rsidRDefault="00CC1ABD" w:rsidP="00CC1ABD">
            <w:r w:rsidRPr="008E3CF1">
              <w:t>Ministerstvo dopravy a</w:t>
            </w:r>
            <w:r w:rsidR="008D7BF9" w:rsidRPr="008E3CF1">
              <w:t xml:space="preserve"> výstavby Slovenskej republiky </w:t>
            </w:r>
          </w:p>
        </w:tc>
      </w:tr>
      <w:tr w:rsidR="003501A1" w:rsidRPr="008E3CF1" w:rsidTr="00960205">
        <w:tc>
          <w:tcPr>
            <w:tcW w:w="4211"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8E3CF1" w:rsidRDefault="003501A1" w:rsidP="007B71A4">
            <w:pPr>
              <w:pStyle w:val="Odsekzoznamu"/>
              <w:ind w:left="142"/>
              <w:rPr>
                <w:rFonts w:ascii="Times New Roman" w:hAnsi="Times New Roman" w:cs="Times New Roman"/>
                <w:b/>
              </w:rPr>
            </w:pPr>
            <w:r w:rsidRPr="008E3CF1">
              <w:rPr>
                <w:rFonts w:ascii="Times New Roman" w:hAnsi="Times New Roman" w:cs="Times New Roman"/>
                <w:b/>
              </w:rPr>
              <w:t>Charakter predkladaného materiálu</w:t>
            </w:r>
          </w:p>
        </w:tc>
        <w:sdt>
          <w:sdt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8E3CF1" w:rsidRDefault="003501A1" w:rsidP="007B71A4">
                <w:pPr>
                  <w:jc w:val="center"/>
                </w:pPr>
                <w:r w:rsidRPr="008E3CF1">
                  <w:rPr>
                    <w:rFonts w:ascii="MS Mincho" w:eastAsia="MS Mincho" w:hAnsi="MS Mincho" w:cs="MS Mincho" w:hint="eastAsia"/>
                  </w:rPr>
                  <w:t>☐</w:t>
                </w:r>
              </w:p>
            </w:tc>
          </w:sdtContent>
        </w:sdt>
        <w:tc>
          <w:tcPr>
            <w:tcW w:w="4264"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8E3CF1" w:rsidRDefault="003501A1" w:rsidP="007B71A4">
            <w:r w:rsidRPr="008E3CF1">
              <w:t>Materiál nelegislatívnej povahy</w:t>
            </w:r>
          </w:p>
        </w:tc>
      </w:tr>
      <w:tr w:rsidR="003501A1" w:rsidRPr="008E3CF1" w:rsidTr="00960205">
        <w:tc>
          <w:tcPr>
            <w:tcW w:w="4211" w:type="dxa"/>
            <w:gridSpan w:val="2"/>
            <w:vMerge/>
            <w:tcBorders>
              <w:top w:val="nil"/>
              <w:left w:val="single" w:sz="4" w:space="0" w:color="auto"/>
              <w:bottom w:val="single" w:sz="4" w:space="0" w:color="FFFFFF" w:themeColor="background1"/>
            </w:tcBorders>
            <w:shd w:val="clear" w:color="auto" w:fill="E2E2E2"/>
          </w:tcPr>
          <w:p w:rsidR="003501A1" w:rsidRPr="008E3CF1" w:rsidRDefault="003501A1" w:rsidP="007B71A4"/>
        </w:tc>
        <w:sdt>
          <w:sdt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8E3CF1" w:rsidRDefault="008D7BF9" w:rsidP="007B71A4">
                <w:pPr>
                  <w:jc w:val="center"/>
                </w:pPr>
                <w:r w:rsidRPr="008E3CF1">
                  <w:rPr>
                    <w:rFonts w:ascii="MS Gothic" w:eastAsia="MS Gothic" w:hAnsi="MS Gothic" w:hint="eastAsia"/>
                  </w:rPr>
                  <w:t>☒</w:t>
                </w:r>
              </w:p>
            </w:tc>
          </w:sdtContent>
        </w:sdt>
        <w:tc>
          <w:tcPr>
            <w:tcW w:w="4264" w:type="dxa"/>
            <w:gridSpan w:val="6"/>
            <w:tcBorders>
              <w:top w:val="single" w:sz="4" w:space="0" w:color="auto"/>
              <w:left w:val="nil"/>
              <w:bottom w:val="single" w:sz="4" w:space="0" w:color="auto"/>
            </w:tcBorders>
            <w:shd w:val="clear" w:color="auto" w:fill="FFFFFF" w:themeFill="background1"/>
          </w:tcPr>
          <w:p w:rsidR="003501A1" w:rsidRPr="008E3CF1" w:rsidRDefault="003501A1" w:rsidP="007B71A4">
            <w:pPr>
              <w:ind w:left="175" w:hanging="175"/>
            </w:pPr>
            <w:r w:rsidRPr="008E3CF1">
              <w:t>Materiál legislatívnej povahy</w:t>
            </w:r>
          </w:p>
        </w:tc>
      </w:tr>
      <w:tr w:rsidR="003501A1" w:rsidRPr="008E3CF1" w:rsidTr="00960205">
        <w:tc>
          <w:tcPr>
            <w:tcW w:w="4211" w:type="dxa"/>
            <w:gridSpan w:val="2"/>
            <w:vMerge/>
            <w:tcBorders>
              <w:top w:val="nil"/>
              <w:left w:val="single" w:sz="4" w:space="0" w:color="auto"/>
              <w:bottom w:val="single" w:sz="4" w:space="0" w:color="auto"/>
            </w:tcBorders>
            <w:shd w:val="clear" w:color="auto" w:fill="E2E2E2"/>
          </w:tcPr>
          <w:p w:rsidR="003501A1" w:rsidRPr="008E3CF1" w:rsidRDefault="003501A1" w:rsidP="007B71A4"/>
        </w:tc>
        <w:sdt>
          <w:sdt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8E3CF1" w:rsidRDefault="003501A1" w:rsidP="007B71A4">
                <w:pPr>
                  <w:jc w:val="center"/>
                </w:pPr>
                <w:r w:rsidRPr="008E3CF1">
                  <w:rPr>
                    <w:rFonts w:ascii="MS Mincho" w:eastAsia="MS Mincho" w:hAnsi="MS Mincho" w:cs="MS Mincho" w:hint="eastAsia"/>
                  </w:rPr>
                  <w:t>☐</w:t>
                </w:r>
              </w:p>
            </w:tc>
          </w:sdtContent>
        </w:sdt>
        <w:tc>
          <w:tcPr>
            <w:tcW w:w="4264" w:type="dxa"/>
            <w:gridSpan w:val="6"/>
            <w:tcBorders>
              <w:top w:val="single" w:sz="4" w:space="0" w:color="auto"/>
              <w:left w:val="nil"/>
              <w:bottom w:val="single" w:sz="4" w:space="0" w:color="auto"/>
            </w:tcBorders>
            <w:shd w:val="clear" w:color="auto" w:fill="FFFFFF" w:themeFill="background1"/>
          </w:tcPr>
          <w:p w:rsidR="003501A1" w:rsidRPr="008E3CF1" w:rsidRDefault="003501A1" w:rsidP="007B71A4">
            <w:r w:rsidRPr="008E3CF1">
              <w:t>Transpozícia práva EÚ</w:t>
            </w:r>
          </w:p>
        </w:tc>
      </w:tr>
      <w:tr w:rsidR="003501A1" w:rsidRPr="008E3CF1"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8E3CF1" w:rsidRDefault="003501A1" w:rsidP="007B71A4">
            <w:r w:rsidRPr="008E3CF1">
              <w:rPr>
                <w:i/>
              </w:rPr>
              <w:t>V prípade transpozície uveďte zoznam transponovaných predpisov:</w:t>
            </w:r>
          </w:p>
          <w:p w:rsidR="003501A1" w:rsidRPr="008E3CF1" w:rsidRDefault="003501A1" w:rsidP="007B71A4"/>
        </w:tc>
      </w:tr>
      <w:tr w:rsidR="003501A1" w:rsidRPr="008E3CF1" w:rsidTr="00960205">
        <w:tc>
          <w:tcPr>
            <w:tcW w:w="6203" w:type="dxa"/>
            <w:gridSpan w:val="6"/>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8E3CF1" w:rsidRDefault="003501A1" w:rsidP="007B71A4">
            <w:pPr>
              <w:pStyle w:val="Odsekzoznamu"/>
              <w:ind w:left="142"/>
              <w:rPr>
                <w:rFonts w:ascii="Times New Roman" w:hAnsi="Times New Roman" w:cs="Times New Roman"/>
                <w:b/>
              </w:rPr>
            </w:pPr>
            <w:r w:rsidRPr="008E3CF1">
              <w:rPr>
                <w:rFonts w:ascii="Times New Roman" w:hAnsi="Times New Roman" w:cs="Times New Roman"/>
                <w:b/>
              </w:rPr>
              <w:t>Termín začiatku a ukončenia PPK</w:t>
            </w:r>
          </w:p>
        </w:tc>
        <w:tc>
          <w:tcPr>
            <w:tcW w:w="2977" w:type="dxa"/>
            <w:gridSpan w:val="4"/>
            <w:tcBorders>
              <w:top w:val="single" w:sz="4" w:space="0" w:color="000000" w:themeColor="text1"/>
              <w:left w:val="single" w:sz="4" w:space="0" w:color="auto"/>
              <w:bottom w:val="single" w:sz="4" w:space="0" w:color="auto"/>
              <w:right w:val="single" w:sz="4" w:space="0" w:color="auto"/>
            </w:tcBorders>
          </w:tcPr>
          <w:p w:rsidR="003501A1" w:rsidRPr="008E3CF1" w:rsidRDefault="00CC1ABD" w:rsidP="00CC1ABD">
            <w:pPr>
              <w:rPr>
                <w:i/>
              </w:rPr>
            </w:pPr>
            <w:r w:rsidRPr="008E3CF1">
              <w:rPr>
                <w:i/>
              </w:rPr>
              <w:t>0</w:t>
            </w:r>
            <w:r w:rsidR="00672A49">
              <w:rPr>
                <w:i/>
              </w:rPr>
              <w:t>7</w:t>
            </w:r>
            <w:r w:rsidR="008D7BF9" w:rsidRPr="008E3CF1">
              <w:rPr>
                <w:i/>
              </w:rPr>
              <w:t>/20</w:t>
            </w:r>
            <w:r w:rsidR="002007D9">
              <w:rPr>
                <w:i/>
              </w:rPr>
              <w:t>20</w:t>
            </w:r>
          </w:p>
        </w:tc>
      </w:tr>
      <w:tr w:rsidR="003501A1" w:rsidRPr="008E3CF1" w:rsidTr="00960205">
        <w:tc>
          <w:tcPr>
            <w:tcW w:w="6203"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8E3CF1" w:rsidRDefault="003501A1" w:rsidP="007B71A4">
            <w:pPr>
              <w:pStyle w:val="Odsekzoznamu"/>
              <w:ind w:left="142"/>
              <w:rPr>
                <w:rFonts w:ascii="Times New Roman" w:hAnsi="Times New Roman" w:cs="Times New Roman"/>
                <w:b/>
              </w:rPr>
            </w:pPr>
            <w:r w:rsidRPr="008E3CF1">
              <w:rPr>
                <w:rFonts w:ascii="Times New Roman" w:hAnsi="Times New Roman" w:cs="Times New Roman"/>
                <w:b/>
              </w:rPr>
              <w:t>Predpokladaný termín predloženia na MPK</w:t>
            </w:r>
            <w:r w:rsidR="00F62771" w:rsidRPr="008E3CF1">
              <w:rPr>
                <w:rFonts w:ascii="Times New Roman" w:hAnsi="Times New Roman" w:cs="Times New Roman"/>
                <w:b/>
              </w:rPr>
              <w:t>*</w:t>
            </w:r>
          </w:p>
        </w:tc>
        <w:tc>
          <w:tcPr>
            <w:tcW w:w="2977" w:type="dxa"/>
            <w:gridSpan w:val="4"/>
            <w:tcBorders>
              <w:top w:val="single" w:sz="4" w:space="0" w:color="auto"/>
              <w:left w:val="single" w:sz="4" w:space="0" w:color="auto"/>
              <w:bottom w:val="single" w:sz="4" w:space="0" w:color="auto"/>
              <w:right w:val="single" w:sz="4" w:space="0" w:color="auto"/>
            </w:tcBorders>
          </w:tcPr>
          <w:p w:rsidR="003501A1" w:rsidRPr="008E3CF1" w:rsidRDefault="00CC1ABD" w:rsidP="007C6E3A">
            <w:pPr>
              <w:rPr>
                <w:i/>
              </w:rPr>
            </w:pPr>
            <w:r w:rsidRPr="008E3CF1">
              <w:rPr>
                <w:i/>
              </w:rPr>
              <w:t>0</w:t>
            </w:r>
            <w:r w:rsidR="007C6E3A">
              <w:rPr>
                <w:i/>
              </w:rPr>
              <w:t>8</w:t>
            </w:r>
            <w:r w:rsidR="008D7BF9" w:rsidRPr="008E3CF1">
              <w:rPr>
                <w:i/>
              </w:rPr>
              <w:t>/20</w:t>
            </w:r>
            <w:r w:rsidR="002007D9">
              <w:rPr>
                <w:i/>
              </w:rPr>
              <w:t>20</w:t>
            </w:r>
          </w:p>
        </w:tc>
      </w:tr>
      <w:tr w:rsidR="003501A1" w:rsidRPr="008E3CF1" w:rsidTr="00960205">
        <w:trPr>
          <w:trHeight w:val="457"/>
        </w:trPr>
        <w:tc>
          <w:tcPr>
            <w:tcW w:w="6203"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8E3CF1" w:rsidRDefault="003501A1" w:rsidP="006E2167">
            <w:pPr>
              <w:pStyle w:val="Odsekzoznamu"/>
              <w:spacing w:after="120" w:line="240" w:lineRule="auto"/>
              <w:ind w:left="142"/>
              <w:contextualSpacing w:val="0"/>
              <w:rPr>
                <w:rFonts w:ascii="Times New Roman" w:hAnsi="Times New Roman" w:cs="Times New Roman"/>
                <w:b/>
              </w:rPr>
            </w:pPr>
            <w:r w:rsidRPr="008E3CF1">
              <w:rPr>
                <w:rFonts w:ascii="Times New Roman" w:hAnsi="Times New Roman" w:cs="Times New Roman"/>
                <w:b/>
              </w:rPr>
              <w:t>Predpokladaný termín predloženia na Rokovanie vlády SR</w:t>
            </w:r>
            <w:r w:rsidR="00F62771" w:rsidRPr="008E3CF1">
              <w:rPr>
                <w:rFonts w:ascii="Times New Roman" w:hAnsi="Times New Roman" w:cs="Times New Roman"/>
                <w:b/>
              </w:rPr>
              <w:t>*</w:t>
            </w:r>
          </w:p>
        </w:tc>
        <w:tc>
          <w:tcPr>
            <w:tcW w:w="2977" w:type="dxa"/>
            <w:gridSpan w:val="4"/>
            <w:tcBorders>
              <w:top w:val="single" w:sz="4" w:space="0" w:color="auto"/>
              <w:left w:val="single" w:sz="4" w:space="0" w:color="auto"/>
              <w:bottom w:val="single" w:sz="4" w:space="0" w:color="auto"/>
              <w:right w:val="single" w:sz="4" w:space="0" w:color="auto"/>
            </w:tcBorders>
          </w:tcPr>
          <w:p w:rsidR="003501A1" w:rsidRPr="008509EB" w:rsidRDefault="008509EB" w:rsidP="00CC1ABD">
            <w:pPr>
              <w:rPr>
                <w:i/>
              </w:rPr>
            </w:pPr>
            <w:r w:rsidRPr="008509EB">
              <w:rPr>
                <w:i/>
              </w:rPr>
              <w:t>09/2020</w:t>
            </w:r>
          </w:p>
        </w:tc>
      </w:tr>
      <w:tr w:rsidR="003501A1" w:rsidRPr="008E3CF1"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8E3CF1" w:rsidRDefault="003501A1" w:rsidP="007B71A4"/>
        </w:tc>
      </w:tr>
      <w:tr w:rsidR="003501A1" w:rsidRPr="008E3CF1"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8E3CF1" w:rsidRDefault="003501A1" w:rsidP="003501A1">
            <w:pPr>
              <w:pStyle w:val="Odsekzoznamu"/>
              <w:numPr>
                <w:ilvl w:val="0"/>
                <w:numId w:val="1"/>
              </w:numPr>
              <w:spacing w:after="0" w:line="240" w:lineRule="auto"/>
              <w:ind w:left="426"/>
              <w:rPr>
                <w:rFonts w:ascii="Times New Roman" w:hAnsi="Times New Roman" w:cs="Times New Roman"/>
                <w:b/>
              </w:rPr>
            </w:pPr>
            <w:r w:rsidRPr="008E3CF1">
              <w:rPr>
                <w:rFonts w:ascii="Times New Roman" w:hAnsi="Times New Roman" w:cs="Times New Roman"/>
                <w:b/>
              </w:rPr>
              <w:t>Defin</w:t>
            </w:r>
            <w:r w:rsidR="00AC2477" w:rsidRPr="008E3CF1">
              <w:rPr>
                <w:rFonts w:ascii="Times New Roman" w:hAnsi="Times New Roman" w:cs="Times New Roman"/>
                <w:b/>
              </w:rPr>
              <w:t>ovanie</w:t>
            </w:r>
            <w:r w:rsidRPr="008E3CF1">
              <w:rPr>
                <w:rFonts w:ascii="Times New Roman" w:hAnsi="Times New Roman" w:cs="Times New Roman"/>
                <w:b/>
              </w:rPr>
              <w:t xml:space="preserve"> problému</w:t>
            </w:r>
          </w:p>
        </w:tc>
      </w:tr>
      <w:tr w:rsidR="003501A1" w:rsidRPr="008E3CF1"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8E3CF1" w:rsidRDefault="0067508D" w:rsidP="0002248E">
            <w:pPr>
              <w:jc w:val="both"/>
              <w:rPr>
                <w:b/>
              </w:rPr>
            </w:pPr>
            <w:r w:rsidRPr="008E3CF1">
              <w:t xml:space="preserve">Významnou formou podpory štátu v oblasti rozvoja bývania je poskytovanie podpory prostredníctvom Štátneho fondu rozvoja bývania. Podmienky poskytovania </w:t>
            </w:r>
            <w:r w:rsidR="0002248E" w:rsidRPr="008E3CF1">
              <w:t xml:space="preserve">podpory na rozširovanie a zveľaďovanie bytového fondu sú ustanovené zákonom </w:t>
            </w:r>
            <w:r w:rsidRPr="008E3CF1">
              <w:t xml:space="preserve">č. </w:t>
            </w:r>
            <w:r w:rsidR="0002248E" w:rsidRPr="008E3CF1">
              <w:t>150</w:t>
            </w:r>
            <w:r w:rsidRPr="008E3CF1">
              <w:t>/201</w:t>
            </w:r>
            <w:r w:rsidR="0002248E" w:rsidRPr="008E3CF1">
              <w:t>3</w:t>
            </w:r>
            <w:r w:rsidRPr="008E3CF1">
              <w:t xml:space="preserve"> Z. z. o</w:t>
            </w:r>
            <w:r w:rsidR="0002248E" w:rsidRPr="008E3CF1">
              <w:t xml:space="preserve"> Štátnom fonde </w:t>
            </w:r>
            <w:r w:rsidRPr="008E3CF1">
              <w:t>rozvoj</w:t>
            </w:r>
            <w:r w:rsidR="0002248E" w:rsidRPr="008E3CF1">
              <w:t>a</w:t>
            </w:r>
            <w:r w:rsidRPr="008E3CF1">
              <w:t xml:space="preserve"> bývania v znení </w:t>
            </w:r>
            <w:r w:rsidR="00892D5E" w:rsidRPr="008E3CF1">
              <w:t>neskorších predpisov</w:t>
            </w:r>
            <w:r w:rsidR="0002248E" w:rsidRPr="008E3CF1">
              <w:t>.</w:t>
            </w:r>
            <w:r w:rsidRPr="008E3CF1">
              <w:t xml:space="preserve"> </w:t>
            </w:r>
            <w:r w:rsidRPr="00672A49">
              <w:t xml:space="preserve">Potreba úpravy a doplnenia zákona vyplynula z aplikácie platného znenia zákona v praxi a z nutnosti stanovenia spresňujúcich podmienok pri poskytovaní </w:t>
            </w:r>
            <w:r w:rsidR="0002248E" w:rsidRPr="00672A49">
              <w:t>podpory</w:t>
            </w:r>
            <w:r w:rsidRPr="00672A49">
              <w:t>.</w:t>
            </w:r>
            <w:r w:rsidR="006E2167" w:rsidRPr="008E3CF1">
              <w:t xml:space="preserve"> </w:t>
            </w:r>
          </w:p>
        </w:tc>
      </w:tr>
      <w:tr w:rsidR="003501A1" w:rsidRPr="008E3CF1"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8E3CF1" w:rsidRDefault="003501A1" w:rsidP="003501A1">
            <w:pPr>
              <w:pStyle w:val="Odsekzoznamu"/>
              <w:numPr>
                <w:ilvl w:val="0"/>
                <w:numId w:val="1"/>
              </w:numPr>
              <w:spacing w:after="0" w:line="240" w:lineRule="auto"/>
              <w:ind w:left="426"/>
              <w:rPr>
                <w:rFonts w:ascii="Times New Roman" w:hAnsi="Times New Roman" w:cs="Times New Roman"/>
                <w:b/>
              </w:rPr>
            </w:pPr>
            <w:r w:rsidRPr="008E3CF1">
              <w:rPr>
                <w:rFonts w:ascii="Times New Roman" w:hAnsi="Times New Roman" w:cs="Times New Roman"/>
                <w:b/>
              </w:rPr>
              <w:t>Ciele a výsledný stav</w:t>
            </w:r>
          </w:p>
        </w:tc>
      </w:tr>
      <w:tr w:rsidR="003501A1" w:rsidRPr="008E3CF1"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8E3CF1" w:rsidRDefault="003501A1" w:rsidP="007B71A4">
            <w:pPr>
              <w:rPr>
                <w:i/>
              </w:rPr>
            </w:pPr>
            <w:r w:rsidRPr="008E3CF1">
              <w:rPr>
                <w:i/>
              </w:rPr>
              <w:t>Uveďte hlavné ciele navrhovaného predpisu (aký výsledný stav chcete reguláciou dosiahnuť).</w:t>
            </w:r>
          </w:p>
          <w:p w:rsidR="003501A1" w:rsidRPr="003B106E" w:rsidRDefault="0067508D" w:rsidP="008E3CF1">
            <w:pPr>
              <w:jc w:val="both"/>
            </w:pPr>
            <w:r w:rsidRPr="003B106E">
              <w:t xml:space="preserve">Novela zákona navrhuje </w:t>
            </w:r>
            <w:r w:rsidR="00643F51" w:rsidRPr="003B106E">
              <w:t xml:space="preserve">doplnenie </w:t>
            </w:r>
            <w:r w:rsidR="00672A49" w:rsidRPr="003B106E">
              <w:t xml:space="preserve">možnosti obstarania bytu fyzickou osobou formou kúpy bytu v rodinnom dome, </w:t>
            </w:r>
            <w:r w:rsidR="00BA795B" w:rsidRPr="003B106E">
              <w:t>možnosti obstarania nájomného bytu stavebnou úpravou ostatnej budovy na bývanie, resp. nebytovej budovy</w:t>
            </w:r>
            <w:r w:rsidR="003B106E" w:rsidRPr="003B106E">
              <w:t xml:space="preserve">. V snahe zvýšiť záujem žiadateľov o výstavbu zariadení sociálnych služieb sa navrhuje výrazné zvýšenie výšky úveru na tento účel a </w:t>
            </w:r>
            <w:r w:rsidR="00BA795B" w:rsidRPr="003B106E">
              <w:t xml:space="preserve">zavedenie možnosti poskytnutia úveru </w:t>
            </w:r>
            <w:r w:rsidR="003B106E" w:rsidRPr="003B106E">
              <w:t xml:space="preserve">aj </w:t>
            </w:r>
            <w:r w:rsidR="00BA795B" w:rsidRPr="003B106E">
              <w:t xml:space="preserve">na obstaranie technickej vybavenosti a kúpy pozemku podmieňujúcich výstavbu a užívanie zariadenia sociálnych služieb. Navrhuje sa zvýšenie výšky podpory pri väčšine účelov podpory. Pre </w:t>
            </w:r>
            <w:r w:rsidR="00892D5E" w:rsidRPr="003B106E">
              <w:t>žiadateľ</w:t>
            </w:r>
            <w:r w:rsidR="00BA795B" w:rsidRPr="003B106E">
              <w:t>a -</w:t>
            </w:r>
            <w:r w:rsidR="00892D5E" w:rsidRPr="003B106E">
              <w:t xml:space="preserve"> inú právnickú osobu</w:t>
            </w:r>
            <w:r w:rsidR="00BA795B" w:rsidRPr="003B106E">
              <w:t xml:space="preserve"> sa navrhuje zrušiť podmienku jej vzniku minimálne 5 rokov pred podaním žiadosti o podporu zo ŠFRB</w:t>
            </w:r>
            <w:r w:rsidR="003B106E" w:rsidRPr="003B106E">
              <w:t>.</w:t>
            </w:r>
            <w:r w:rsidR="00892D5E" w:rsidRPr="003B106E">
              <w:t xml:space="preserve"> </w:t>
            </w:r>
            <w:r w:rsidR="003B106E" w:rsidRPr="003B106E">
              <w:t xml:space="preserve">Pri zatepľovaní bytovej budovy sa umožní opätovne poskytnúť úver na účel zateplenia, avšak podpora zo ŠFRB bola na tento účel poskytnutá pred viac ako 10 rokmi. Cieľom novely je aj zjednodušenie a urýchlenie postupu pri poskytovaní podpory zo ŠFRB. </w:t>
            </w:r>
          </w:p>
        </w:tc>
      </w:tr>
      <w:tr w:rsidR="003501A1" w:rsidRPr="008E3CF1"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8E3CF1" w:rsidRDefault="003501A1" w:rsidP="003501A1">
            <w:pPr>
              <w:pStyle w:val="Odsekzoznamu"/>
              <w:numPr>
                <w:ilvl w:val="0"/>
                <w:numId w:val="1"/>
              </w:numPr>
              <w:spacing w:after="0" w:line="240" w:lineRule="auto"/>
              <w:ind w:left="426"/>
              <w:rPr>
                <w:rFonts w:ascii="Times New Roman" w:hAnsi="Times New Roman" w:cs="Times New Roman"/>
                <w:b/>
              </w:rPr>
            </w:pPr>
            <w:r w:rsidRPr="008E3CF1">
              <w:rPr>
                <w:rFonts w:ascii="Times New Roman" w:hAnsi="Times New Roman" w:cs="Times New Roman"/>
                <w:b/>
              </w:rPr>
              <w:t>Dotknuté subjekty</w:t>
            </w:r>
          </w:p>
        </w:tc>
      </w:tr>
      <w:tr w:rsidR="004763C4" w:rsidRPr="008E3CF1"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8E3CF1" w:rsidRDefault="003501A1" w:rsidP="007B71A4">
            <w:pPr>
              <w:rPr>
                <w:i/>
              </w:rPr>
            </w:pPr>
            <w:r w:rsidRPr="008E3CF1">
              <w:rPr>
                <w:i/>
              </w:rPr>
              <w:t>Uveďte subjekty, ktorých sa zmeny návrhu dotknú priamo aj nepriamo:</w:t>
            </w:r>
          </w:p>
          <w:p w:rsidR="003501A1" w:rsidRPr="008E3CF1" w:rsidRDefault="00B9274A" w:rsidP="004763C4">
            <w:pPr>
              <w:jc w:val="both"/>
              <w:rPr>
                <w:i/>
              </w:rPr>
            </w:pPr>
            <w:r w:rsidRPr="008E3CF1">
              <w:t>Fyzická osoba, o</w:t>
            </w:r>
            <w:r w:rsidR="004763C4" w:rsidRPr="008E3CF1">
              <w:t xml:space="preserve">bec, </w:t>
            </w:r>
            <w:r w:rsidR="0067508D" w:rsidRPr="008E3CF1">
              <w:t>vyšší územný celok a nezisková organizácia s minimálnou 51 %-nou majetkovou účasťou obce alebo vyššieho územného celku</w:t>
            </w:r>
            <w:r w:rsidR="004763C4" w:rsidRPr="008E3CF1">
              <w:t>, iná právnická osoba.</w:t>
            </w:r>
          </w:p>
        </w:tc>
      </w:tr>
      <w:tr w:rsidR="003501A1" w:rsidRPr="008E3CF1"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8E3CF1" w:rsidRDefault="003501A1" w:rsidP="003501A1">
            <w:pPr>
              <w:pStyle w:val="Odsekzoznamu"/>
              <w:numPr>
                <w:ilvl w:val="0"/>
                <w:numId w:val="1"/>
              </w:numPr>
              <w:spacing w:after="0" w:line="240" w:lineRule="auto"/>
              <w:ind w:left="426"/>
              <w:rPr>
                <w:rFonts w:ascii="Times New Roman" w:hAnsi="Times New Roman" w:cs="Times New Roman"/>
                <w:b/>
              </w:rPr>
            </w:pPr>
            <w:r w:rsidRPr="008E3CF1">
              <w:rPr>
                <w:rFonts w:ascii="Times New Roman" w:hAnsi="Times New Roman" w:cs="Times New Roman"/>
                <w:b/>
              </w:rPr>
              <w:t>Alternatívne riešenia</w:t>
            </w:r>
          </w:p>
        </w:tc>
      </w:tr>
      <w:tr w:rsidR="003501A1" w:rsidRPr="008E3CF1"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8E3CF1" w:rsidRDefault="003501A1" w:rsidP="007B71A4">
            <w:pPr>
              <w:rPr>
                <w:i/>
              </w:rPr>
            </w:pPr>
            <w:r w:rsidRPr="008E3CF1">
              <w:rPr>
                <w:i/>
              </w:rPr>
              <w:t>Aké alternatívne riešenia boli posudzované?</w:t>
            </w:r>
          </w:p>
          <w:p w:rsidR="003501A1" w:rsidRPr="008E3CF1" w:rsidRDefault="003501A1" w:rsidP="007B71A4">
            <w:pPr>
              <w:rPr>
                <w:i/>
              </w:rPr>
            </w:pPr>
            <w:r w:rsidRPr="008E3CF1">
              <w:rPr>
                <w:i/>
              </w:rPr>
              <w:t>Uveďte, aké alternatívne spôsoby na odstránenie definovaného problému boli identifikované a posudzované.</w:t>
            </w:r>
          </w:p>
          <w:p w:rsidR="007451DA" w:rsidRPr="00822094" w:rsidRDefault="00975D97" w:rsidP="007B71A4">
            <w:r w:rsidRPr="00822094">
              <w:t>Žiadne</w:t>
            </w:r>
            <w:r w:rsidR="00A7756B" w:rsidRPr="00822094">
              <w:t xml:space="preserve">. </w:t>
            </w:r>
          </w:p>
          <w:p w:rsidR="00975D97" w:rsidRPr="00A7756B" w:rsidRDefault="00A7756B" w:rsidP="007B71A4">
            <w:pPr>
              <w:rPr>
                <w:color w:val="FF0000"/>
              </w:rPr>
            </w:pPr>
            <w:r w:rsidRPr="00822094">
              <w:t>V prípade, že návrh nebude schválený, podpora zo ŠFRB bude poskytovaná v súlade s podmienkami účinnými v súčasnosti.</w:t>
            </w:r>
          </w:p>
        </w:tc>
      </w:tr>
      <w:tr w:rsidR="003501A1" w:rsidRPr="008E3CF1"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8E3CF1" w:rsidRDefault="003501A1" w:rsidP="003501A1">
            <w:pPr>
              <w:pStyle w:val="Odsekzoznamu"/>
              <w:numPr>
                <w:ilvl w:val="0"/>
                <w:numId w:val="1"/>
              </w:numPr>
              <w:spacing w:after="0" w:line="240" w:lineRule="auto"/>
              <w:ind w:left="426"/>
              <w:rPr>
                <w:rFonts w:ascii="Times New Roman" w:hAnsi="Times New Roman" w:cs="Times New Roman"/>
                <w:b/>
              </w:rPr>
            </w:pPr>
            <w:r w:rsidRPr="008E3CF1">
              <w:rPr>
                <w:rFonts w:ascii="Times New Roman" w:hAnsi="Times New Roman" w:cs="Times New Roman"/>
                <w:b/>
              </w:rPr>
              <w:t>Vykonávacie predpisy</w:t>
            </w:r>
          </w:p>
        </w:tc>
      </w:tr>
      <w:tr w:rsidR="003501A1" w:rsidRPr="008E3CF1"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8E3CF1" w:rsidRDefault="003501A1" w:rsidP="007B71A4">
            <w:pPr>
              <w:rPr>
                <w:i/>
              </w:rPr>
            </w:pPr>
            <w:r w:rsidRPr="008E3CF1">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8E3CF1" w:rsidRDefault="00433F37" w:rsidP="007B71A4">
            <w:pPr>
              <w:jc w:val="center"/>
            </w:pPr>
            <w:sdt>
              <w:sdtPr>
                <w:id w:val="-1407611648"/>
              </w:sdtPr>
              <w:sdtEndPr/>
              <w:sdtContent>
                <w:r w:rsidR="00E81FA9" w:rsidRPr="008E3CF1">
                  <w:rPr>
                    <w:rFonts w:ascii="MS Gothic" w:eastAsia="MS Gothic" w:hAnsi="MS Gothic" w:hint="eastAsia"/>
                  </w:rPr>
                  <w:t>☒</w:t>
                </w:r>
              </w:sdtContent>
            </w:sdt>
            <w:r w:rsidR="003501A1" w:rsidRPr="008E3CF1">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8E3CF1" w:rsidRDefault="00433F37" w:rsidP="007B71A4">
            <w:pPr>
              <w:jc w:val="center"/>
            </w:pPr>
            <w:sdt>
              <w:sdtPr>
                <w:id w:val="-1625842802"/>
              </w:sdtPr>
              <w:sdtEndPr/>
              <w:sdtContent>
                <w:r w:rsidR="00D13B6F" w:rsidRPr="008E3CF1">
                  <w:rPr>
                    <w:rFonts w:ascii="MS Gothic" w:eastAsia="MS Gothic" w:hAnsi="MS Gothic" w:hint="eastAsia"/>
                  </w:rPr>
                  <w:t>☐</w:t>
                </w:r>
              </w:sdtContent>
            </w:sdt>
            <w:r w:rsidR="003501A1" w:rsidRPr="008E3CF1">
              <w:t xml:space="preserve">  Nie</w:t>
            </w:r>
          </w:p>
        </w:tc>
      </w:tr>
      <w:tr w:rsidR="003501A1" w:rsidRPr="008E3CF1"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8E3CF1" w:rsidRDefault="003501A1" w:rsidP="007B71A4">
            <w:pPr>
              <w:rPr>
                <w:i/>
              </w:rPr>
            </w:pPr>
            <w:r w:rsidRPr="008E3CF1">
              <w:rPr>
                <w:i/>
              </w:rPr>
              <w:t>Ak áno, uveďte ktoré oblasti budú nimi upravené, resp. ktorých vykonávacích predpisov sa zmena dotkne:</w:t>
            </w:r>
          </w:p>
          <w:p w:rsidR="003501A1" w:rsidRPr="008E3CF1" w:rsidRDefault="00E81FA9" w:rsidP="0041564C">
            <w:pPr>
              <w:jc w:val="both"/>
            </w:pPr>
            <w:r w:rsidRPr="008E3CF1">
              <w:t xml:space="preserve">Vyhláška Ministerstva dopravy, výstavby a regionálneho rozvoja Slovenskej republiky č. </w:t>
            </w:r>
            <w:r w:rsidR="0041564C" w:rsidRPr="008E3CF1">
              <w:t>284/2013</w:t>
            </w:r>
            <w:r w:rsidRPr="008E3CF1">
              <w:t xml:space="preserve"> Z. z. o podrobnostiach o výške </w:t>
            </w:r>
            <w:r w:rsidR="0041564C" w:rsidRPr="008E3CF1">
              <w:t xml:space="preserve">poskytovanej podpory zo Štátneho fondu rozvoja bývania, o všeobecných podmienkach poskytnutia podpory a o obsahu žiadosti v znení </w:t>
            </w:r>
            <w:r w:rsidR="00B9274A" w:rsidRPr="008E3CF1">
              <w:t>neskorších predpisov</w:t>
            </w:r>
            <w:r w:rsidR="0041564C" w:rsidRPr="008E3CF1">
              <w:t xml:space="preserve"> </w:t>
            </w:r>
          </w:p>
        </w:tc>
      </w:tr>
      <w:tr w:rsidR="003501A1" w:rsidRPr="008E3CF1"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8E3CF1" w:rsidRDefault="003501A1" w:rsidP="003501A1">
            <w:pPr>
              <w:pStyle w:val="Odsekzoznamu"/>
              <w:numPr>
                <w:ilvl w:val="0"/>
                <w:numId w:val="1"/>
              </w:numPr>
              <w:spacing w:after="0" w:line="240" w:lineRule="auto"/>
              <w:ind w:left="426"/>
              <w:rPr>
                <w:rFonts w:ascii="Times New Roman" w:hAnsi="Times New Roman" w:cs="Times New Roman"/>
                <w:b/>
              </w:rPr>
            </w:pPr>
            <w:r w:rsidRPr="008E3CF1">
              <w:rPr>
                <w:rFonts w:ascii="Times New Roman" w:hAnsi="Times New Roman" w:cs="Times New Roman"/>
                <w:b/>
              </w:rPr>
              <w:t xml:space="preserve">Transpozícia práva EÚ </w:t>
            </w:r>
          </w:p>
        </w:tc>
      </w:tr>
      <w:tr w:rsidR="003501A1" w:rsidRPr="008E3CF1"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8E3CF1" w:rsidRDefault="003501A1" w:rsidP="007B71A4">
            <w:pPr>
              <w:rPr>
                <w:i/>
              </w:rPr>
            </w:pPr>
            <w:r w:rsidRPr="008E3CF1">
              <w:rPr>
                <w:i/>
              </w:rPr>
              <w:t>Uveďte, v ktorých ustanoveniach ide národná právna úprava nad rámec minimálnych požiadaviek EÚ spolu s odôvodnením.</w:t>
            </w:r>
          </w:p>
        </w:tc>
      </w:tr>
      <w:tr w:rsidR="003501A1" w:rsidRPr="008E3CF1"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8E3CF1" w:rsidRDefault="00C47E33" w:rsidP="0000440B">
            <w:r w:rsidRPr="008E3CF1">
              <w:rPr>
                <w:rFonts w:ascii="Times" w:hAnsi="Times" w:cs="Times"/>
              </w:rPr>
              <w:t>Žiadna</w:t>
            </w:r>
          </w:p>
        </w:tc>
      </w:tr>
      <w:tr w:rsidR="003501A1" w:rsidRPr="008E3CF1"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8E3CF1" w:rsidRDefault="003501A1" w:rsidP="00395098">
            <w:pPr>
              <w:pStyle w:val="Odsekzoznamu"/>
              <w:numPr>
                <w:ilvl w:val="0"/>
                <w:numId w:val="1"/>
              </w:numPr>
              <w:spacing w:after="0" w:line="240" w:lineRule="auto"/>
              <w:ind w:left="426"/>
              <w:rPr>
                <w:rFonts w:ascii="Times New Roman" w:hAnsi="Times New Roman" w:cs="Times New Roman"/>
                <w:b/>
              </w:rPr>
            </w:pPr>
            <w:r w:rsidRPr="008E3CF1">
              <w:rPr>
                <w:rFonts w:ascii="Times New Roman" w:hAnsi="Times New Roman" w:cs="Times New Roman"/>
                <w:b/>
              </w:rPr>
              <w:t>Preskúmanie účelnosti</w:t>
            </w:r>
            <w:r w:rsidR="00F62771" w:rsidRPr="008E3CF1">
              <w:rPr>
                <w:rFonts w:ascii="Times New Roman" w:hAnsi="Times New Roman" w:cs="Times New Roman"/>
                <w:b/>
              </w:rPr>
              <w:t>**</w:t>
            </w:r>
          </w:p>
        </w:tc>
      </w:tr>
      <w:tr w:rsidR="003501A1" w:rsidRPr="008E3CF1"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8E3CF1" w:rsidRDefault="003501A1" w:rsidP="007B71A4">
            <w:pPr>
              <w:rPr>
                <w:i/>
              </w:rPr>
            </w:pPr>
            <w:r w:rsidRPr="008E3CF1">
              <w:rPr>
                <w:i/>
              </w:rPr>
              <w:lastRenderedPageBreak/>
              <w:t>Uveďte termín, kedy by malo dôjsť k preskúmaniu účinnosti a účelnosti navrhovaného predpisu.</w:t>
            </w:r>
          </w:p>
          <w:p w:rsidR="003501A1" w:rsidRPr="008E3CF1" w:rsidRDefault="003501A1" w:rsidP="00C47E33">
            <w:pPr>
              <w:rPr>
                <w:i/>
              </w:rPr>
            </w:pPr>
            <w:r w:rsidRPr="008E3CF1">
              <w:rPr>
                <w:i/>
              </w:rPr>
              <w:t>Uveďte kritériá, na základe ktorých bude preskúmanie vykonané.</w:t>
            </w:r>
          </w:p>
        </w:tc>
      </w:tr>
      <w:tr w:rsidR="003501A1" w:rsidRPr="008E3CF1"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Pr="008E3CF1" w:rsidRDefault="004F6F1F" w:rsidP="004C60B8">
            <w:pPr>
              <w:ind w:left="142" w:hanging="142"/>
            </w:pPr>
          </w:p>
          <w:p w:rsidR="00F62771" w:rsidRPr="008E3CF1" w:rsidRDefault="00F62771" w:rsidP="004C60B8">
            <w:pPr>
              <w:ind w:left="142" w:hanging="142"/>
            </w:pPr>
            <w:r w:rsidRPr="008E3CF1">
              <w:t xml:space="preserve">* </w:t>
            </w:r>
            <w:r w:rsidR="004C60B8" w:rsidRPr="008E3CF1">
              <w:t>vyplniť iba v prípade, ak</w:t>
            </w:r>
            <w:r w:rsidRPr="008E3CF1">
              <w:t xml:space="preserve"> </w:t>
            </w:r>
            <w:r w:rsidR="004C60B8" w:rsidRPr="008E3CF1">
              <w:t xml:space="preserve">materiál </w:t>
            </w:r>
            <w:r w:rsidRPr="008E3CF1">
              <w:t xml:space="preserve">nie je </w:t>
            </w:r>
            <w:r w:rsidR="004C60B8" w:rsidRPr="008E3CF1">
              <w:t>zahrnutý do Plánu práce vlády Slovenskej republiky alebo Plánu        legislatívnych úloh vlády Slovenskej republiky.</w:t>
            </w:r>
            <w:r w:rsidRPr="008E3CF1">
              <w:t xml:space="preserve"> </w:t>
            </w:r>
          </w:p>
          <w:p w:rsidR="003501A1" w:rsidRPr="008E3CF1" w:rsidRDefault="00F62771" w:rsidP="00F22831">
            <w:r w:rsidRPr="008E3CF1">
              <w:t>*</w:t>
            </w:r>
            <w:r w:rsidR="00F22831" w:rsidRPr="008E3CF1">
              <w:t>* nepovinné</w:t>
            </w:r>
          </w:p>
        </w:tc>
      </w:tr>
      <w:tr w:rsidR="003501A1" w:rsidRPr="008E3CF1" w:rsidTr="00995E87">
        <w:trPr>
          <w:trHeight w:val="313"/>
        </w:trPr>
        <w:tc>
          <w:tcPr>
            <w:tcW w:w="9180" w:type="dxa"/>
            <w:gridSpan w:val="10"/>
            <w:tcBorders>
              <w:top w:val="nil"/>
              <w:left w:val="nil"/>
              <w:bottom w:val="single" w:sz="4" w:space="0" w:color="auto"/>
              <w:right w:val="nil"/>
            </w:tcBorders>
            <w:shd w:val="clear" w:color="auto" w:fill="FFFFFF" w:themeFill="background1"/>
          </w:tcPr>
          <w:p w:rsidR="003501A1" w:rsidRPr="008E3CF1" w:rsidRDefault="003501A1" w:rsidP="003501A1">
            <w:pPr>
              <w:rPr>
                <w:b/>
              </w:rPr>
            </w:pPr>
          </w:p>
        </w:tc>
      </w:tr>
      <w:tr w:rsidR="004763C4" w:rsidRPr="008E3CF1"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8E3CF1" w:rsidRDefault="003501A1" w:rsidP="003501A1">
            <w:pPr>
              <w:pStyle w:val="Odsekzoznamu"/>
              <w:numPr>
                <w:ilvl w:val="0"/>
                <w:numId w:val="1"/>
              </w:numPr>
              <w:spacing w:after="0" w:line="240" w:lineRule="auto"/>
              <w:ind w:left="426"/>
              <w:rPr>
                <w:rFonts w:ascii="Times New Roman" w:hAnsi="Times New Roman" w:cs="Times New Roman"/>
                <w:b/>
              </w:rPr>
            </w:pPr>
            <w:r w:rsidRPr="008E3CF1">
              <w:rPr>
                <w:rFonts w:ascii="Times New Roman" w:hAnsi="Times New Roman" w:cs="Times New Roman"/>
                <w:b/>
              </w:rPr>
              <w:t>Vplyvy navrhovaného materiálu</w:t>
            </w:r>
          </w:p>
        </w:tc>
      </w:tr>
      <w:tr w:rsidR="004763C4" w:rsidRPr="008E3CF1" w:rsidTr="00960205">
        <w:tc>
          <w:tcPr>
            <w:tcW w:w="3794" w:type="dxa"/>
            <w:tcBorders>
              <w:top w:val="single" w:sz="4" w:space="0" w:color="auto"/>
              <w:left w:val="single" w:sz="4" w:space="0" w:color="auto"/>
              <w:bottom w:val="nil"/>
              <w:right w:val="single" w:sz="4" w:space="0" w:color="auto"/>
            </w:tcBorders>
            <w:shd w:val="clear" w:color="auto" w:fill="E2E2E2"/>
          </w:tcPr>
          <w:p w:rsidR="003501A1" w:rsidRPr="008E3CF1" w:rsidRDefault="003501A1" w:rsidP="007B71A4">
            <w:pPr>
              <w:rPr>
                <w:b/>
              </w:rPr>
            </w:pPr>
            <w:r w:rsidRPr="008E3CF1">
              <w:rPr>
                <w:b/>
              </w:rPr>
              <w:t>Vplyvy na rozpočet verejnej správy</w:t>
            </w:r>
          </w:p>
        </w:tc>
        <w:sdt>
          <w:sdtPr>
            <w:rPr>
              <w:b/>
            </w:rPr>
            <w:id w:val="1121575439"/>
          </w:sdtPr>
          <w:sdtEndPr/>
          <w:sdtContent>
            <w:tc>
              <w:tcPr>
                <w:tcW w:w="558" w:type="dxa"/>
                <w:gridSpan w:val="2"/>
                <w:tcBorders>
                  <w:top w:val="single" w:sz="4" w:space="0" w:color="auto"/>
                  <w:left w:val="single" w:sz="4" w:space="0" w:color="auto"/>
                  <w:bottom w:val="single" w:sz="4" w:space="0" w:color="auto"/>
                  <w:right w:val="nil"/>
                </w:tcBorders>
              </w:tcPr>
              <w:p w:rsidR="003501A1" w:rsidRPr="008E3CF1" w:rsidRDefault="003501A1" w:rsidP="007B71A4">
                <w:pPr>
                  <w:jc w:val="center"/>
                  <w:rPr>
                    <w:b/>
                  </w:rPr>
                </w:pPr>
                <w:r w:rsidRPr="008E3CF1">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8E3CF1" w:rsidRDefault="003501A1" w:rsidP="007B71A4">
            <w:pPr>
              <w:rPr>
                <w:b/>
              </w:rPr>
            </w:pPr>
            <w:r w:rsidRPr="008E3CF1">
              <w:rPr>
                <w:b/>
              </w:rPr>
              <w:t>Pozitívne</w:t>
            </w:r>
          </w:p>
        </w:tc>
        <w:sdt>
          <w:sdtPr>
            <w:rPr>
              <w:b/>
            </w:rPr>
            <w:id w:val="-916405887"/>
          </w:sdtPr>
          <w:sdtEndPr/>
          <w:sdtContent>
            <w:sdt>
              <w:sdtPr>
                <w:rPr>
                  <w:b/>
                </w:rPr>
                <w:id w:val="25282624"/>
              </w:sdtPr>
              <w:sdtEndPr>
                <w:rPr>
                  <w:rFonts w:ascii="MS Gothic" w:eastAsia="MS Gothic" w:hAnsi="MS Gothic"/>
                </w:rPr>
              </w:sdtEndPr>
              <w:sdtContent>
                <w:tc>
                  <w:tcPr>
                    <w:tcW w:w="570" w:type="dxa"/>
                    <w:tcBorders>
                      <w:top w:val="single" w:sz="4" w:space="0" w:color="auto"/>
                      <w:left w:val="nil"/>
                      <w:bottom w:val="single" w:sz="4" w:space="0" w:color="auto"/>
                      <w:right w:val="nil"/>
                    </w:tcBorders>
                  </w:tcPr>
                  <w:p w:rsidR="003501A1" w:rsidRPr="008E3CF1" w:rsidRDefault="00433F37" w:rsidP="000E5C0E">
                    <w:pPr>
                      <w:jc w:val="center"/>
                      <w:rPr>
                        <w:b/>
                      </w:rPr>
                    </w:pPr>
                    <w:sdt>
                      <w:sdtPr>
                        <w:rPr>
                          <w:b/>
                        </w:rPr>
                        <w:id w:val="2035606666"/>
                      </w:sdtPr>
                      <w:sdtEndPr/>
                      <w:sdtContent>
                        <w:sdt>
                          <w:sdtPr>
                            <w:rPr>
                              <w:b/>
                            </w:rPr>
                            <w:id w:val="-424885332"/>
                          </w:sdtPr>
                          <w:sdtEndPr>
                            <w:rPr>
                              <w:rFonts w:ascii="MS Gothic" w:eastAsia="MS Gothic" w:hAnsi="MS Gothic"/>
                            </w:rPr>
                          </w:sdtEndPr>
                          <w:sdtContent>
                            <w:r w:rsidR="000E5C0E" w:rsidRPr="008E3CF1">
                              <w:rPr>
                                <w:rFonts w:ascii="MS Gothic" w:eastAsia="MS Gothic" w:hAnsi="MS Gothic" w:hint="eastAsia"/>
                                <w:b/>
                              </w:rPr>
                              <w:t>☐</w:t>
                            </w:r>
                          </w:sdtContent>
                        </w:sdt>
                      </w:sdtContent>
                    </w:sdt>
                    <w:r w:rsidR="0070726A" w:rsidRPr="008E3CF1">
                      <w:rPr>
                        <w:rFonts w:ascii="MS Gothic" w:eastAsia="MS Gothic" w:hAnsi="MS Gothic" w:hint="eastAsia"/>
                        <w:b/>
                      </w:rPr>
                      <w:t xml:space="preserve"> </w:t>
                    </w:r>
                  </w:p>
                </w:tc>
              </w:sdtContent>
            </w:sdt>
          </w:sdtContent>
        </w:sdt>
        <w:tc>
          <w:tcPr>
            <w:tcW w:w="1133" w:type="dxa"/>
            <w:tcBorders>
              <w:top w:val="single" w:sz="4" w:space="0" w:color="auto"/>
              <w:left w:val="nil"/>
              <w:bottom w:val="single" w:sz="4" w:space="0" w:color="auto"/>
              <w:right w:val="nil"/>
            </w:tcBorders>
          </w:tcPr>
          <w:p w:rsidR="003501A1" w:rsidRPr="008E3CF1" w:rsidRDefault="003501A1" w:rsidP="007B71A4">
            <w:pPr>
              <w:rPr>
                <w:b/>
              </w:rPr>
            </w:pPr>
            <w:r w:rsidRPr="008E3CF1">
              <w:rPr>
                <w:b/>
              </w:rPr>
              <w:t>Žiadne</w:t>
            </w:r>
          </w:p>
        </w:tc>
        <w:sdt>
          <w:sdtPr>
            <w:rPr>
              <w:b/>
            </w:rPr>
            <w:id w:val="-853649096"/>
          </w:sdtPr>
          <w:sdtEndPr/>
          <w:sdtContent>
            <w:tc>
              <w:tcPr>
                <w:tcW w:w="547" w:type="dxa"/>
                <w:gridSpan w:val="2"/>
                <w:tcBorders>
                  <w:top w:val="single" w:sz="4" w:space="0" w:color="auto"/>
                  <w:left w:val="nil"/>
                  <w:bottom w:val="single" w:sz="4" w:space="0" w:color="auto"/>
                  <w:right w:val="nil"/>
                </w:tcBorders>
              </w:tcPr>
              <w:p w:rsidR="003501A1" w:rsidRPr="008E3CF1" w:rsidRDefault="00433F37" w:rsidP="000E5C0E">
                <w:pPr>
                  <w:ind w:left="-107" w:right="-108"/>
                  <w:jc w:val="center"/>
                  <w:rPr>
                    <w:b/>
                  </w:rPr>
                </w:pPr>
                <w:sdt>
                  <w:sdtPr>
                    <w:rPr>
                      <w:b/>
                    </w:rPr>
                    <w:id w:val="-831370863"/>
                  </w:sdtPr>
                  <w:sdtEndPr>
                    <w:rPr>
                      <w:rFonts w:ascii="MS Mincho" w:eastAsia="MS Mincho" w:hAnsi="MS Mincho" w:cs="MS Mincho"/>
                    </w:rPr>
                  </w:sdtEndPr>
                  <w:sdtContent>
                    <w:sdt>
                      <w:sdtPr>
                        <w:rPr>
                          <w:b/>
                        </w:rPr>
                        <w:id w:val="-1501493962"/>
                      </w:sdtPr>
                      <w:sdtEndPr/>
                      <w:sdtContent>
                        <w:sdt>
                          <w:sdtPr>
                            <w:rPr>
                              <w:b/>
                            </w:rPr>
                            <w:id w:val="624438131"/>
                          </w:sdtPr>
                          <w:sdtEndPr>
                            <w:rPr>
                              <w:rFonts w:ascii="MS Gothic" w:eastAsia="MS Gothic" w:hAnsi="MS Gothic"/>
                            </w:rPr>
                          </w:sdtEndPr>
                          <w:sdtContent>
                            <w:sdt>
                              <w:sdtPr>
                                <w:rPr>
                                  <w:b/>
                                </w:rPr>
                                <w:id w:val="-779955238"/>
                              </w:sdtPr>
                              <w:sdtEndPr>
                                <w:rPr>
                                  <w:rFonts w:ascii="MS Mincho" w:eastAsia="MS Mincho" w:hAnsi="MS Mincho" w:cs="MS Mincho"/>
                                </w:rPr>
                              </w:sdtEndPr>
                              <w:sdtContent>
                                <w:r w:rsidR="000E5C0E" w:rsidRPr="008E3CF1">
                                  <w:rPr>
                                    <w:rFonts w:ascii="MS Mincho" w:eastAsia="MS Mincho" w:hAnsi="MS Mincho" w:cs="MS Mincho" w:hint="eastAsia"/>
                                    <w:b/>
                                  </w:rPr>
                                  <w:t>☒</w:t>
                                </w:r>
                              </w:sdtContent>
                            </w:sdt>
                            <w:r w:rsidR="000E5C0E" w:rsidRPr="008E3CF1">
                              <w:rPr>
                                <w:rFonts w:ascii="MS Gothic" w:eastAsia="MS Gothic" w:hAnsi="MS Gothic" w:hint="eastAsia"/>
                                <w:b/>
                              </w:rPr>
                              <w:t xml:space="preserve"> </w:t>
                            </w:r>
                          </w:sdtContent>
                        </w:sdt>
                      </w:sdtContent>
                    </w:sdt>
                  </w:sdtContent>
                </w:sdt>
              </w:p>
            </w:tc>
          </w:sdtContent>
        </w:sdt>
        <w:tc>
          <w:tcPr>
            <w:tcW w:w="1297" w:type="dxa"/>
            <w:tcBorders>
              <w:top w:val="single" w:sz="4" w:space="0" w:color="auto"/>
              <w:left w:val="nil"/>
              <w:bottom w:val="single" w:sz="4" w:space="0" w:color="auto"/>
              <w:right w:val="single" w:sz="4" w:space="0" w:color="auto"/>
            </w:tcBorders>
          </w:tcPr>
          <w:p w:rsidR="003501A1" w:rsidRPr="008E3CF1" w:rsidRDefault="003501A1" w:rsidP="007B71A4">
            <w:pPr>
              <w:ind w:left="34"/>
              <w:rPr>
                <w:b/>
              </w:rPr>
            </w:pPr>
            <w:r w:rsidRPr="008E3CF1">
              <w:rPr>
                <w:b/>
              </w:rPr>
              <w:t>Negatívne</w:t>
            </w:r>
          </w:p>
        </w:tc>
      </w:tr>
      <w:tr w:rsidR="004763C4" w:rsidRPr="008E3CF1" w:rsidTr="00960205">
        <w:tc>
          <w:tcPr>
            <w:tcW w:w="3794" w:type="dxa"/>
            <w:tcBorders>
              <w:top w:val="nil"/>
              <w:left w:val="single" w:sz="4" w:space="0" w:color="auto"/>
              <w:bottom w:val="single" w:sz="4" w:space="0" w:color="000000" w:themeColor="text1"/>
              <w:right w:val="single" w:sz="4" w:space="0" w:color="auto"/>
            </w:tcBorders>
            <w:shd w:val="clear" w:color="auto" w:fill="E2E2E2"/>
          </w:tcPr>
          <w:p w:rsidR="003501A1" w:rsidRPr="008E3CF1" w:rsidRDefault="003501A1" w:rsidP="007B71A4">
            <w:r w:rsidRPr="008E3CF1">
              <w:t xml:space="preserve">    z toho rozpočtovo zabezpečené vplyvy</w:t>
            </w:r>
          </w:p>
        </w:tc>
        <w:sdt>
          <w:sdtPr>
            <w:id w:val="-2073729125"/>
          </w:sdtPr>
          <w:sdtEndPr/>
          <w:sdtContent>
            <w:tc>
              <w:tcPr>
                <w:tcW w:w="558" w:type="dxa"/>
                <w:gridSpan w:val="2"/>
                <w:tcBorders>
                  <w:top w:val="single" w:sz="4" w:space="0" w:color="auto"/>
                  <w:left w:val="single" w:sz="4" w:space="0" w:color="auto"/>
                  <w:bottom w:val="single" w:sz="4" w:space="0" w:color="auto"/>
                  <w:right w:val="nil"/>
                </w:tcBorders>
              </w:tcPr>
              <w:p w:rsidR="003501A1" w:rsidRPr="008E3CF1" w:rsidRDefault="00433F37" w:rsidP="007B71A4">
                <w:pPr>
                  <w:jc w:val="center"/>
                </w:pPr>
                <w:sdt>
                  <w:sdtPr>
                    <w:rPr>
                      <w:b/>
                    </w:rPr>
                    <w:id w:val="658272489"/>
                  </w:sdtPr>
                  <w:sdtEndPr/>
                  <w:sdtContent>
                    <w:r w:rsidR="008D6C97" w:rsidRPr="008E3CF1">
                      <w:rPr>
                        <w:rFonts w:ascii="MS Gothic" w:eastAsia="MS Gothic" w:hAnsi="MS Gothic" w:hint="eastAsia"/>
                        <w:b/>
                      </w:rPr>
                      <w:t>☒</w:t>
                    </w:r>
                  </w:sdtContent>
                </w:sdt>
                <w:r w:rsidR="008D6C97" w:rsidRPr="008E3CF1">
                  <w:rPr>
                    <w:rFonts w:ascii="MS Mincho" w:eastAsia="MS Mincho" w:hAnsi="MS Mincho" w:cs="MS Mincho" w:hint="eastAsia"/>
                  </w:rPr>
                  <w:t xml:space="preserve"> </w:t>
                </w:r>
              </w:p>
            </w:tc>
          </w:sdtContent>
        </w:sdt>
        <w:tc>
          <w:tcPr>
            <w:tcW w:w="1281" w:type="dxa"/>
            <w:gridSpan w:val="2"/>
            <w:tcBorders>
              <w:top w:val="single" w:sz="4" w:space="0" w:color="auto"/>
              <w:left w:val="nil"/>
              <w:bottom w:val="single" w:sz="4" w:space="0" w:color="auto"/>
              <w:right w:val="nil"/>
            </w:tcBorders>
          </w:tcPr>
          <w:p w:rsidR="003501A1" w:rsidRPr="008E3CF1" w:rsidRDefault="003501A1" w:rsidP="007B71A4">
            <w:r w:rsidRPr="008E3CF1">
              <w:t>Áno</w:t>
            </w:r>
          </w:p>
        </w:tc>
        <w:sdt>
          <w:sdtPr>
            <w:id w:val="-54388876"/>
          </w:sdtPr>
          <w:sdtEndPr/>
          <w:sdtContent>
            <w:tc>
              <w:tcPr>
                <w:tcW w:w="570" w:type="dxa"/>
                <w:tcBorders>
                  <w:top w:val="single" w:sz="4" w:space="0" w:color="auto"/>
                  <w:left w:val="nil"/>
                  <w:bottom w:val="single" w:sz="4" w:space="0" w:color="auto"/>
                  <w:right w:val="nil"/>
                </w:tcBorders>
              </w:tcPr>
              <w:p w:rsidR="003501A1" w:rsidRPr="008E3CF1" w:rsidRDefault="00207376" w:rsidP="007B71A4">
                <w:pPr>
                  <w:jc w:val="center"/>
                </w:pPr>
                <w:r w:rsidRPr="008E3CF1">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3501A1" w:rsidRPr="008E3CF1" w:rsidRDefault="003501A1" w:rsidP="007B71A4">
            <w:r w:rsidRPr="008E3CF1">
              <w:t>Nie</w:t>
            </w:r>
          </w:p>
        </w:tc>
        <w:sdt>
          <w:sdtPr>
            <w:id w:val="361940775"/>
          </w:sdtPr>
          <w:sdtEndPr/>
          <w:sdtContent>
            <w:tc>
              <w:tcPr>
                <w:tcW w:w="547" w:type="dxa"/>
                <w:gridSpan w:val="2"/>
                <w:tcBorders>
                  <w:top w:val="single" w:sz="4" w:space="0" w:color="auto"/>
                  <w:left w:val="nil"/>
                  <w:bottom w:val="single" w:sz="4" w:space="0" w:color="auto"/>
                  <w:right w:val="nil"/>
                </w:tcBorders>
              </w:tcPr>
              <w:p w:rsidR="003501A1" w:rsidRPr="008E3CF1" w:rsidRDefault="003501A1" w:rsidP="007B71A4">
                <w:pPr>
                  <w:ind w:left="-107" w:right="-108"/>
                  <w:jc w:val="center"/>
                </w:pPr>
                <w:r w:rsidRPr="008E3CF1">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8E3CF1" w:rsidRDefault="003501A1" w:rsidP="007B71A4">
            <w:pPr>
              <w:ind w:left="34"/>
            </w:pPr>
            <w:r w:rsidRPr="008E3CF1">
              <w:t>Čiastočne</w:t>
            </w:r>
          </w:p>
        </w:tc>
      </w:tr>
      <w:tr w:rsidR="004763C4" w:rsidRPr="008E3CF1" w:rsidTr="00960205">
        <w:tc>
          <w:tcPr>
            <w:tcW w:w="3794" w:type="dxa"/>
            <w:tcBorders>
              <w:top w:val="single" w:sz="4" w:space="0" w:color="000000" w:themeColor="text1"/>
              <w:left w:val="single" w:sz="4" w:space="0" w:color="auto"/>
              <w:bottom w:val="nil"/>
              <w:right w:val="single" w:sz="4" w:space="0" w:color="auto"/>
            </w:tcBorders>
            <w:shd w:val="clear" w:color="auto" w:fill="E2E2E2"/>
          </w:tcPr>
          <w:p w:rsidR="003501A1" w:rsidRPr="008E3CF1" w:rsidRDefault="003501A1" w:rsidP="004C794A">
            <w:pPr>
              <w:rPr>
                <w:b/>
              </w:rPr>
            </w:pPr>
            <w:r w:rsidRPr="008E3CF1">
              <w:rPr>
                <w:b/>
              </w:rPr>
              <w:t>Vplyvy na podnikateľské prostredie</w:t>
            </w:r>
          </w:p>
        </w:tc>
        <w:sdt>
          <w:sdtPr>
            <w:rPr>
              <w:b/>
            </w:rPr>
            <w:id w:val="1328319843"/>
          </w:sdtPr>
          <w:sdtEndPr/>
          <w:sdtContent>
            <w:tc>
              <w:tcPr>
                <w:tcW w:w="558" w:type="dxa"/>
                <w:gridSpan w:val="2"/>
                <w:tcBorders>
                  <w:top w:val="single" w:sz="4" w:space="0" w:color="auto"/>
                  <w:left w:val="single" w:sz="4" w:space="0" w:color="auto"/>
                  <w:bottom w:val="single" w:sz="4" w:space="0" w:color="auto"/>
                  <w:right w:val="nil"/>
                </w:tcBorders>
              </w:tcPr>
              <w:p w:rsidR="003501A1" w:rsidRPr="008E3CF1" w:rsidRDefault="005968F8" w:rsidP="007B71A4">
                <w:pPr>
                  <w:jc w:val="center"/>
                  <w:rPr>
                    <w:b/>
                  </w:rPr>
                </w:pPr>
                <w:r w:rsidRPr="008E3CF1">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8E3CF1" w:rsidRDefault="003501A1" w:rsidP="007B71A4">
            <w:pPr>
              <w:ind w:right="-108"/>
              <w:rPr>
                <w:b/>
              </w:rPr>
            </w:pPr>
            <w:r w:rsidRPr="008E3CF1">
              <w:rPr>
                <w:b/>
              </w:rPr>
              <w:t>Pozitívne</w:t>
            </w:r>
          </w:p>
        </w:tc>
        <w:sdt>
          <w:sdtPr>
            <w:rPr>
              <w:b/>
            </w:rPr>
            <w:id w:val="1564608664"/>
          </w:sdtPr>
          <w:sdtEndPr/>
          <w:sdtContent>
            <w:tc>
              <w:tcPr>
                <w:tcW w:w="570" w:type="dxa"/>
                <w:tcBorders>
                  <w:top w:val="single" w:sz="4" w:space="0" w:color="auto"/>
                  <w:left w:val="nil"/>
                  <w:bottom w:val="single" w:sz="4" w:space="0" w:color="auto"/>
                  <w:right w:val="nil"/>
                </w:tcBorders>
              </w:tcPr>
              <w:p w:rsidR="003501A1" w:rsidRPr="008E3CF1" w:rsidRDefault="003501A1" w:rsidP="007B71A4">
                <w:pPr>
                  <w:jc w:val="center"/>
                  <w:rPr>
                    <w:b/>
                  </w:rPr>
                </w:pPr>
                <w:r w:rsidRPr="008E3CF1">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8E3CF1" w:rsidRDefault="003501A1" w:rsidP="007B71A4">
            <w:pPr>
              <w:rPr>
                <w:b/>
              </w:rPr>
            </w:pPr>
            <w:r w:rsidRPr="008E3CF1">
              <w:rPr>
                <w:b/>
              </w:rPr>
              <w:t>Žiadne</w:t>
            </w:r>
          </w:p>
        </w:tc>
        <w:sdt>
          <w:sdtPr>
            <w:rPr>
              <w:b/>
            </w:rPr>
            <w:id w:val="2173546"/>
          </w:sdtPr>
          <w:sdtEndPr/>
          <w:sdtContent>
            <w:tc>
              <w:tcPr>
                <w:tcW w:w="547" w:type="dxa"/>
                <w:gridSpan w:val="2"/>
                <w:tcBorders>
                  <w:top w:val="single" w:sz="4" w:space="0" w:color="auto"/>
                  <w:left w:val="nil"/>
                  <w:bottom w:val="single" w:sz="4" w:space="0" w:color="auto"/>
                  <w:right w:val="nil"/>
                </w:tcBorders>
              </w:tcPr>
              <w:p w:rsidR="003501A1" w:rsidRPr="008E3CF1" w:rsidRDefault="003501A1" w:rsidP="007B71A4">
                <w:pPr>
                  <w:jc w:val="center"/>
                  <w:rPr>
                    <w:b/>
                  </w:rPr>
                </w:pPr>
                <w:r w:rsidRPr="008E3CF1">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8E3CF1" w:rsidRDefault="003501A1" w:rsidP="007B71A4">
            <w:pPr>
              <w:ind w:left="54"/>
              <w:rPr>
                <w:b/>
              </w:rPr>
            </w:pPr>
            <w:r w:rsidRPr="008E3CF1">
              <w:rPr>
                <w:b/>
              </w:rPr>
              <w:t>Negatívne</w:t>
            </w:r>
          </w:p>
        </w:tc>
      </w:tr>
      <w:tr w:rsidR="004763C4" w:rsidRPr="008E3CF1" w:rsidTr="00960205">
        <w:tc>
          <w:tcPr>
            <w:tcW w:w="3794"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8E3CF1" w:rsidRDefault="003501A1" w:rsidP="007B71A4">
            <w:r w:rsidRPr="008E3CF1">
              <w:t xml:space="preserve">    z toho vplyvy na MSP</w:t>
            </w:r>
          </w:p>
        </w:tc>
        <w:sdt>
          <w:sdtPr>
            <w:id w:val="1931938095"/>
          </w:sdtPr>
          <w:sdtEndPr/>
          <w:sdtContent>
            <w:tc>
              <w:tcPr>
                <w:tcW w:w="558" w:type="dxa"/>
                <w:gridSpan w:val="2"/>
                <w:tcBorders>
                  <w:top w:val="single" w:sz="4" w:space="0" w:color="auto"/>
                  <w:left w:val="single" w:sz="4" w:space="0" w:color="000000" w:themeColor="text1"/>
                  <w:bottom w:val="single" w:sz="4" w:space="0" w:color="auto"/>
                  <w:right w:val="nil"/>
                </w:tcBorders>
              </w:tcPr>
              <w:p w:rsidR="003501A1" w:rsidRPr="008E3CF1" w:rsidRDefault="00D559AD" w:rsidP="007B71A4">
                <w:pPr>
                  <w:jc w:val="center"/>
                </w:pPr>
                <w:r w:rsidRPr="008E3CF1">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8E3CF1" w:rsidRDefault="003501A1" w:rsidP="007B71A4">
            <w:pPr>
              <w:ind w:right="-108"/>
            </w:pPr>
            <w:r w:rsidRPr="008E3CF1">
              <w:t>Pozitívne</w:t>
            </w:r>
          </w:p>
        </w:tc>
        <w:sdt>
          <w:sdtPr>
            <w:id w:val="-1696063787"/>
          </w:sdtPr>
          <w:sdtEndPr/>
          <w:sdtContent>
            <w:tc>
              <w:tcPr>
                <w:tcW w:w="570" w:type="dxa"/>
                <w:tcBorders>
                  <w:top w:val="single" w:sz="4" w:space="0" w:color="auto"/>
                  <w:left w:val="nil"/>
                  <w:bottom w:val="single" w:sz="4" w:space="0" w:color="auto"/>
                  <w:right w:val="nil"/>
                </w:tcBorders>
              </w:tcPr>
              <w:p w:rsidR="003501A1" w:rsidRPr="008E3CF1" w:rsidRDefault="003501A1" w:rsidP="007B71A4">
                <w:pPr>
                  <w:jc w:val="center"/>
                </w:pPr>
                <w:r w:rsidRPr="008E3CF1">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8E3CF1" w:rsidRDefault="003501A1" w:rsidP="007B71A4">
            <w:r w:rsidRPr="008E3CF1">
              <w:t>Žiadne</w:t>
            </w:r>
          </w:p>
        </w:tc>
        <w:sdt>
          <w:sdtPr>
            <w:id w:val="671765022"/>
          </w:sdtPr>
          <w:sdtEndPr/>
          <w:sdtContent>
            <w:tc>
              <w:tcPr>
                <w:tcW w:w="547" w:type="dxa"/>
                <w:gridSpan w:val="2"/>
                <w:tcBorders>
                  <w:top w:val="single" w:sz="4" w:space="0" w:color="auto"/>
                  <w:left w:val="nil"/>
                  <w:bottom w:val="single" w:sz="4" w:space="0" w:color="auto"/>
                  <w:right w:val="nil"/>
                </w:tcBorders>
              </w:tcPr>
              <w:p w:rsidR="003501A1" w:rsidRPr="008E3CF1" w:rsidRDefault="003501A1" w:rsidP="007B71A4">
                <w:pPr>
                  <w:jc w:val="center"/>
                </w:pPr>
                <w:r w:rsidRPr="008E3CF1">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8E3CF1" w:rsidRDefault="003501A1" w:rsidP="007B71A4">
            <w:pPr>
              <w:ind w:left="54"/>
            </w:pPr>
            <w:r w:rsidRPr="008E3CF1">
              <w:t>Negatívne</w:t>
            </w:r>
          </w:p>
        </w:tc>
      </w:tr>
      <w:tr w:rsidR="004763C4" w:rsidRPr="008E3CF1" w:rsidTr="00960205">
        <w:tc>
          <w:tcPr>
            <w:tcW w:w="3794" w:type="dxa"/>
            <w:tcBorders>
              <w:top w:val="single" w:sz="4" w:space="0" w:color="000000" w:themeColor="text1"/>
              <w:left w:val="single" w:sz="4" w:space="0" w:color="auto"/>
              <w:bottom w:val="single" w:sz="4" w:space="0" w:color="auto"/>
              <w:right w:val="single" w:sz="4" w:space="0" w:color="auto"/>
            </w:tcBorders>
            <w:shd w:val="clear" w:color="auto" w:fill="E2E2E2"/>
          </w:tcPr>
          <w:p w:rsidR="00667411" w:rsidRPr="009A5865" w:rsidRDefault="003501A1" w:rsidP="004C794A">
            <w:pPr>
              <w:rPr>
                <w:b/>
              </w:rPr>
            </w:pPr>
            <w:r w:rsidRPr="008E3CF1">
              <w:rPr>
                <w:b/>
              </w:rPr>
              <w:t>Sociálne vplyvy</w:t>
            </w:r>
          </w:p>
        </w:tc>
        <w:sdt>
          <w:sdtPr>
            <w:rPr>
              <w:b/>
            </w:rPr>
            <w:id w:val="449357865"/>
          </w:sdtPr>
          <w:sdtEndPr/>
          <w:sdtContent>
            <w:tc>
              <w:tcPr>
                <w:tcW w:w="558" w:type="dxa"/>
                <w:gridSpan w:val="2"/>
                <w:tcBorders>
                  <w:top w:val="single" w:sz="4" w:space="0" w:color="auto"/>
                  <w:left w:val="single" w:sz="4" w:space="0" w:color="auto"/>
                  <w:bottom w:val="single" w:sz="4" w:space="0" w:color="auto"/>
                  <w:right w:val="nil"/>
                </w:tcBorders>
              </w:tcPr>
              <w:p w:rsidR="003501A1" w:rsidRPr="008E3CF1" w:rsidRDefault="005968F8" w:rsidP="007B71A4">
                <w:pPr>
                  <w:jc w:val="center"/>
                  <w:rPr>
                    <w:b/>
                  </w:rPr>
                </w:pPr>
                <w:r w:rsidRPr="008E3CF1">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8E3CF1" w:rsidRDefault="003501A1" w:rsidP="007B71A4">
            <w:pPr>
              <w:ind w:right="-108"/>
              <w:rPr>
                <w:b/>
              </w:rPr>
            </w:pPr>
            <w:r w:rsidRPr="008E3CF1">
              <w:rPr>
                <w:b/>
              </w:rPr>
              <w:t>Pozitívne</w:t>
            </w:r>
          </w:p>
        </w:tc>
        <w:sdt>
          <w:sdtPr>
            <w:rPr>
              <w:b/>
            </w:rPr>
            <w:id w:val="-1719425362"/>
          </w:sdtPr>
          <w:sdtEndPr/>
          <w:sdtContent>
            <w:tc>
              <w:tcPr>
                <w:tcW w:w="570" w:type="dxa"/>
                <w:tcBorders>
                  <w:top w:val="single" w:sz="4" w:space="0" w:color="auto"/>
                  <w:left w:val="nil"/>
                  <w:bottom w:val="single" w:sz="4" w:space="0" w:color="auto"/>
                  <w:right w:val="nil"/>
                </w:tcBorders>
              </w:tcPr>
              <w:p w:rsidR="003501A1" w:rsidRPr="008E3CF1" w:rsidRDefault="003501A1" w:rsidP="007B71A4">
                <w:pPr>
                  <w:jc w:val="center"/>
                  <w:rPr>
                    <w:b/>
                  </w:rPr>
                </w:pPr>
                <w:r w:rsidRPr="008E3CF1">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8E3CF1" w:rsidRDefault="003501A1" w:rsidP="007B71A4">
            <w:pPr>
              <w:rPr>
                <w:b/>
              </w:rPr>
            </w:pPr>
            <w:r w:rsidRPr="008E3CF1">
              <w:rPr>
                <w:b/>
              </w:rPr>
              <w:t>Žiadne</w:t>
            </w:r>
          </w:p>
        </w:tc>
        <w:sdt>
          <w:sdtPr>
            <w:rPr>
              <w:b/>
            </w:rPr>
            <w:id w:val="-870833546"/>
          </w:sdtPr>
          <w:sdtEndPr/>
          <w:sdtContent>
            <w:sdt>
              <w:sdtPr>
                <w:rPr>
                  <w:b/>
                </w:rPr>
                <w:id w:val="-1008756482"/>
              </w:sdtPr>
              <w:sdtEndPr/>
              <w:sdtContent>
                <w:sdt>
                  <w:sdtPr>
                    <w:rPr>
                      <w:b/>
                    </w:rPr>
                    <w:id w:val="-31732518"/>
                  </w:sdtPr>
                  <w:sdtEndPr/>
                  <w:sdtContent>
                    <w:tc>
                      <w:tcPr>
                        <w:tcW w:w="547" w:type="dxa"/>
                        <w:gridSpan w:val="2"/>
                        <w:tcBorders>
                          <w:top w:val="single" w:sz="4" w:space="0" w:color="auto"/>
                          <w:left w:val="nil"/>
                          <w:bottom w:val="single" w:sz="4" w:space="0" w:color="auto"/>
                          <w:right w:val="nil"/>
                        </w:tcBorders>
                      </w:tcPr>
                      <w:p w:rsidR="003501A1" w:rsidRPr="008E3CF1" w:rsidRDefault="006824C3" w:rsidP="007B71A4">
                        <w:pPr>
                          <w:jc w:val="center"/>
                          <w:rPr>
                            <w:b/>
                          </w:rPr>
                        </w:pPr>
                        <w:r w:rsidRPr="008E3CF1">
                          <w:rPr>
                            <w:rFonts w:ascii="MS Mincho" w:eastAsia="MS Mincho" w:hAnsi="MS Mincho" w:cs="MS Mincho" w:hint="eastAsia"/>
                            <w:b/>
                          </w:rPr>
                          <w:t>☐</w:t>
                        </w:r>
                      </w:p>
                    </w:tc>
                  </w:sdtContent>
                </w:sdt>
              </w:sdtContent>
            </w:sdt>
          </w:sdtContent>
        </w:sdt>
        <w:tc>
          <w:tcPr>
            <w:tcW w:w="1297" w:type="dxa"/>
            <w:tcBorders>
              <w:top w:val="single" w:sz="4" w:space="0" w:color="auto"/>
              <w:left w:val="nil"/>
              <w:bottom w:val="single" w:sz="4" w:space="0" w:color="auto"/>
              <w:right w:val="single" w:sz="4" w:space="0" w:color="auto"/>
            </w:tcBorders>
          </w:tcPr>
          <w:p w:rsidR="003501A1" w:rsidRPr="008E3CF1" w:rsidRDefault="003501A1" w:rsidP="007B71A4">
            <w:pPr>
              <w:ind w:left="54"/>
              <w:rPr>
                <w:b/>
              </w:rPr>
            </w:pPr>
            <w:r w:rsidRPr="008E3CF1">
              <w:rPr>
                <w:b/>
              </w:rPr>
              <w:t>Negatívne</w:t>
            </w:r>
          </w:p>
        </w:tc>
      </w:tr>
      <w:tr w:rsidR="00960205" w:rsidRPr="008E3CF1" w:rsidTr="00960205">
        <w:tc>
          <w:tcPr>
            <w:tcW w:w="3794" w:type="dxa"/>
            <w:tcBorders>
              <w:top w:val="single" w:sz="4" w:space="0" w:color="000000" w:themeColor="text1"/>
              <w:left w:val="single" w:sz="4" w:space="0" w:color="auto"/>
              <w:bottom w:val="single" w:sz="4" w:space="0" w:color="auto"/>
              <w:right w:val="single" w:sz="4" w:space="0" w:color="auto"/>
            </w:tcBorders>
            <w:shd w:val="clear" w:color="auto" w:fill="E2E2E2"/>
          </w:tcPr>
          <w:tbl>
            <w:tblPr>
              <w:tblStyle w:val="Mriekatabuky"/>
              <w:tblW w:w="9180" w:type="dxa"/>
              <w:tblLayout w:type="fixed"/>
              <w:tblLook w:val="04A0" w:firstRow="1" w:lastRow="0" w:firstColumn="1" w:lastColumn="0" w:noHBand="0" w:noVBand="1"/>
            </w:tblPr>
            <w:tblGrid>
              <w:gridCol w:w="4077"/>
              <w:gridCol w:w="276"/>
              <w:gridCol w:w="1281"/>
              <w:gridCol w:w="569"/>
              <w:gridCol w:w="1133"/>
              <w:gridCol w:w="547"/>
              <w:gridCol w:w="1297"/>
            </w:tblGrid>
            <w:tr w:rsidR="00960205" w:rsidRPr="00960205" w:rsidTr="00C87609">
              <w:tc>
                <w:tcPr>
                  <w:tcW w:w="4077" w:type="dxa"/>
                  <w:tcBorders>
                    <w:top w:val="single" w:sz="4" w:space="0" w:color="000000" w:themeColor="text1"/>
                    <w:bottom w:val="nil"/>
                  </w:tcBorders>
                  <w:shd w:val="clear" w:color="auto" w:fill="E2E2E2"/>
                </w:tcPr>
                <w:p w:rsidR="00960205" w:rsidRPr="00960205" w:rsidRDefault="00960205" w:rsidP="00960205">
                  <w:pPr>
                    <w:ind w:hanging="113"/>
                    <w:rPr>
                      <w:b/>
                      <w:sz w:val="18"/>
                      <w:szCs w:val="18"/>
                    </w:rPr>
                  </w:pPr>
                  <w:r w:rsidRPr="00960205">
                    <w:rPr>
                      <w:b/>
                      <w:sz w:val="18"/>
                      <w:szCs w:val="18"/>
                    </w:rPr>
                    <w:t>Vplyvy na manželstvo, rodičovstvo a rodinu</w:t>
                  </w:r>
                </w:p>
              </w:tc>
              <w:tc>
                <w:tcPr>
                  <w:tcW w:w="276" w:type="dxa"/>
                  <w:tcBorders>
                    <w:right w:val="nil"/>
                  </w:tcBorders>
                  <w:vAlign w:val="center"/>
                </w:tcPr>
                <w:p w:rsidR="00960205" w:rsidRPr="00960205" w:rsidRDefault="00960205" w:rsidP="00960205">
                  <w:pPr>
                    <w:rPr>
                      <w:b/>
                    </w:rPr>
                  </w:pPr>
                  <w:r w:rsidRPr="00960205">
                    <w:rPr>
                      <w:rFonts w:ascii="MS Gothic" w:eastAsia="MS Gothic" w:hAnsi="MS Gothic" w:hint="eastAsia"/>
                      <w:b/>
                    </w:rPr>
                    <w:t>☐</w:t>
                  </w:r>
                </w:p>
              </w:tc>
              <w:tc>
                <w:tcPr>
                  <w:tcW w:w="1281" w:type="dxa"/>
                  <w:tcBorders>
                    <w:left w:val="nil"/>
                    <w:right w:val="nil"/>
                  </w:tcBorders>
                  <w:vAlign w:val="center"/>
                </w:tcPr>
                <w:p w:rsidR="00960205" w:rsidRPr="00960205" w:rsidRDefault="00960205" w:rsidP="00960205">
                  <w:pPr>
                    <w:rPr>
                      <w:b/>
                    </w:rPr>
                  </w:pPr>
                  <w:r w:rsidRPr="00960205">
                    <w:rPr>
                      <w:b/>
                    </w:rPr>
                    <w:t xml:space="preserve">Pozitívne           </w:t>
                  </w:r>
                </w:p>
              </w:tc>
              <w:tc>
                <w:tcPr>
                  <w:tcW w:w="569" w:type="dxa"/>
                  <w:tcBorders>
                    <w:left w:val="nil"/>
                    <w:right w:val="nil"/>
                  </w:tcBorders>
                  <w:vAlign w:val="center"/>
                </w:tcPr>
                <w:p w:rsidR="00960205" w:rsidRPr="00960205" w:rsidRDefault="00960205" w:rsidP="00960205">
                  <w:pPr>
                    <w:rPr>
                      <w:b/>
                    </w:rPr>
                  </w:pPr>
                  <w:r w:rsidRPr="00960205">
                    <w:rPr>
                      <w:rFonts w:ascii="MS Gothic" w:eastAsia="MS Gothic" w:hAnsi="MS Gothic"/>
                      <w:b/>
                    </w:rPr>
                    <w:t xml:space="preserve"> </w:t>
                  </w:r>
                  <w:r w:rsidRPr="00960205">
                    <w:rPr>
                      <w:rFonts w:ascii="MS Gothic" w:eastAsia="MS Gothic" w:hAnsi="MS Gothic" w:hint="eastAsia"/>
                      <w:b/>
                    </w:rPr>
                    <w:t>☒</w:t>
                  </w:r>
                </w:p>
              </w:tc>
              <w:tc>
                <w:tcPr>
                  <w:tcW w:w="1133" w:type="dxa"/>
                  <w:tcBorders>
                    <w:left w:val="nil"/>
                    <w:right w:val="nil"/>
                  </w:tcBorders>
                  <w:vAlign w:val="center"/>
                </w:tcPr>
                <w:p w:rsidR="00960205" w:rsidRPr="00960205" w:rsidRDefault="00960205" w:rsidP="00960205">
                  <w:pPr>
                    <w:rPr>
                      <w:b/>
                    </w:rPr>
                  </w:pPr>
                  <w:r w:rsidRPr="00960205">
                    <w:rPr>
                      <w:b/>
                    </w:rPr>
                    <w:t>Žiadne</w:t>
                  </w:r>
                </w:p>
              </w:tc>
              <w:tc>
                <w:tcPr>
                  <w:tcW w:w="547" w:type="dxa"/>
                  <w:tcBorders>
                    <w:left w:val="nil"/>
                    <w:right w:val="nil"/>
                  </w:tcBorders>
                  <w:vAlign w:val="center"/>
                </w:tcPr>
                <w:p w:rsidR="00960205" w:rsidRPr="00960205" w:rsidRDefault="00960205" w:rsidP="00960205">
                  <w:pPr>
                    <w:ind w:left="-107" w:right="-108"/>
                    <w:rPr>
                      <w:b/>
                    </w:rPr>
                  </w:pPr>
                  <w:r w:rsidRPr="00960205">
                    <w:rPr>
                      <w:rFonts w:ascii="MS Gothic" w:eastAsia="MS Gothic" w:hAnsi="MS Gothic"/>
                      <w:b/>
                    </w:rPr>
                    <w:t xml:space="preserve">  </w:t>
                  </w:r>
                  <w:r w:rsidRPr="00960205">
                    <w:rPr>
                      <w:rFonts w:ascii="MS Gothic" w:eastAsia="MS Gothic" w:hAnsi="MS Gothic" w:hint="eastAsia"/>
                      <w:b/>
                    </w:rPr>
                    <w:t>☐</w:t>
                  </w:r>
                </w:p>
              </w:tc>
              <w:tc>
                <w:tcPr>
                  <w:tcW w:w="1297" w:type="dxa"/>
                  <w:tcBorders>
                    <w:left w:val="nil"/>
                  </w:tcBorders>
                  <w:vAlign w:val="center"/>
                </w:tcPr>
                <w:p w:rsidR="00960205" w:rsidRPr="00960205" w:rsidRDefault="00960205" w:rsidP="00960205">
                  <w:pPr>
                    <w:ind w:left="34"/>
                    <w:rPr>
                      <w:b/>
                    </w:rPr>
                  </w:pPr>
                  <w:r w:rsidRPr="00960205">
                    <w:rPr>
                      <w:b/>
                    </w:rPr>
                    <w:t>Negatívne</w:t>
                  </w:r>
                </w:p>
              </w:tc>
            </w:tr>
          </w:tbl>
          <w:p w:rsidR="00960205" w:rsidRPr="008E3CF1" w:rsidRDefault="00960205" w:rsidP="00960205">
            <w:pPr>
              <w:rPr>
                <w:b/>
              </w:rPr>
            </w:pPr>
          </w:p>
        </w:tc>
        <w:sdt>
          <w:sdtPr>
            <w:rPr>
              <w:b/>
            </w:rPr>
            <w:id w:val="-301546730"/>
          </w:sdtPr>
          <w:sdtEndPr/>
          <w:sdtContent>
            <w:tc>
              <w:tcPr>
                <w:tcW w:w="558" w:type="dxa"/>
                <w:gridSpan w:val="2"/>
                <w:tcBorders>
                  <w:top w:val="single" w:sz="4" w:space="0" w:color="auto"/>
                  <w:left w:val="single" w:sz="4" w:space="0" w:color="auto"/>
                  <w:bottom w:val="single" w:sz="4" w:space="0" w:color="auto"/>
                  <w:right w:val="nil"/>
                </w:tcBorders>
              </w:tcPr>
              <w:p w:rsidR="00960205" w:rsidRPr="008E3CF1" w:rsidRDefault="00433F37" w:rsidP="00960205">
                <w:pPr>
                  <w:jc w:val="center"/>
                  <w:rPr>
                    <w:b/>
                  </w:rPr>
                </w:pPr>
                <w:sdt>
                  <w:sdtPr>
                    <w:rPr>
                      <w:b/>
                    </w:rPr>
                    <w:id w:val="-1976137252"/>
                  </w:sdtPr>
                  <w:sdtEndPr/>
                  <w:sdtContent>
                    <w:r w:rsidR="00960205" w:rsidRPr="008E3CF1">
                      <w:rPr>
                        <w:rFonts w:ascii="MS Mincho" w:eastAsia="MS Mincho" w:hAnsi="MS Mincho" w:cs="MS Mincho" w:hint="eastAsia"/>
                        <w:b/>
                      </w:rPr>
                      <w:t>☐</w:t>
                    </w:r>
                  </w:sdtContent>
                </w:sdt>
              </w:p>
            </w:tc>
          </w:sdtContent>
        </w:sdt>
        <w:tc>
          <w:tcPr>
            <w:tcW w:w="1281" w:type="dxa"/>
            <w:gridSpan w:val="2"/>
            <w:tcBorders>
              <w:top w:val="single" w:sz="4" w:space="0" w:color="auto"/>
              <w:left w:val="nil"/>
              <w:bottom w:val="single" w:sz="4" w:space="0" w:color="auto"/>
              <w:right w:val="nil"/>
            </w:tcBorders>
          </w:tcPr>
          <w:p w:rsidR="00960205" w:rsidRPr="008E3CF1" w:rsidRDefault="00960205" w:rsidP="00960205">
            <w:pPr>
              <w:ind w:right="-108"/>
              <w:rPr>
                <w:b/>
              </w:rPr>
            </w:pPr>
            <w:r w:rsidRPr="008E3CF1">
              <w:rPr>
                <w:b/>
              </w:rPr>
              <w:t>Pozitívne</w:t>
            </w:r>
          </w:p>
        </w:tc>
        <w:sdt>
          <w:sdtPr>
            <w:rPr>
              <w:b/>
            </w:rPr>
            <w:id w:val="673303533"/>
          </w:sdtPr>
          <w:sdtEndPr/>
          <w:sdtContent>
            <w:tc>
              <w:tcPr>
                <w:tcW w:w="570" w:type="dxa"/>
                <w:tcBorders>
                  <w:top w:val="single" w:sz="4" w:space="0" w:color="auto"/>
                  <w:left w:val="nil"/>
                  <w:bottom w:val="single" w:sz="4" w:space="0" w:color="auto"/>
                  <w:right w:val="nil"/>
                </w:tcBorders>
              </w:tcPr>
              <w:p w:rsidR="00960205" w:rsidRPr="008E3CF1" w:rsidRDefault="00433F37" w:rsidP="00960205">
                <w:pPr>
                  <w:jc w:val="center"/>
                  <w:rPr>
                    <w:b/>
                  </w:rPr>
                </w:pPr>
                <w:sdt>
                  <w:sdtPr>
                    <w:rPr>
                      <w:b/>
                    </w:rPr>
                    <w:id w:val="-1253128389"/>
                  </w:sdtPr>
                  <w:sdtEndPr/>
                  <w:sdtContent>
                    <w:r w:rsidR="00960205" w:rsidRPr="008E3CF1">
                      <w:rPr>
                        <w:rFonts w:ascii="MS Gothic" w:eastAsia="MS Gothic" w:hAnsi="MS Gothic" w:hint="eastAsia"/>
                        <w:b/>
                      </w:rPr>
                      <w:t>☒</w:t>
                    </w:r>
                  </w:sdtContent>
                </w:sdt>
                <w:r w:rsidR="00960205" w:rsidRPr="008E3CF1">
                  <w:rPr>
                    <w:rFonts w:ascii="MS Mincho" w:eastAsia="MS Mincho" w:hAnsi="MS Mincho" w:cs="MS Mincho" w:hint="eastAsia"/>
                    <w:b/>
                  </w:rPr>
                  <w:t xml:space="preserve"> </w:t>
                </w:r>
              </w:p>
            </w:tc>
          </w:sdtContent>
        </w:sdt>
        <w:tc>
          <w:tcPr>
            <w:tcW w:w="1133" w:type="dxa"/>
            <w:tcBorders>
              <w:top w:val="single" w:sz="4" w:space="0" w:color="auto"/>
              <w:left w:val="nil"/>
              <w:bottom w:val="single" w:sz="4" w:space="0" w:color="auto"/>
              <w:right w:val="nil"/>
            </w:tcBorders>
          </w:tcPr>
          <w:p w:rsidR="00960205" w:rsidRPr="008E3CF1" w:rsidRDefault="00960205" w:rsidP="00960205">
            <w:pPr>
              <w:rPr>
                <w:b/>
              </w:rPr>
            </w:pPr>
            <w:r w:rsidRPr="008E3CF1">
              <w:rPr>
                <w:b/>
              </w:rPr>
              <w:t>Žiadne</w:t>
            </w:r>
          </w:p>
        </w:tc>
        <w:sdt>
          <w:sdtPr>
            <w:rPr>
              <w:b/>
            </w:rPr>
            <w:id w:val="2067994428"/>
          </w:sdtPr>
          <w:sdtEndPr/>
          <w:sdtContent>
            <w:tc>
              <w:tcPr>
                <w:tcW w:w="547" w:type="dxa"/>
                <w:gridSpan w:val="2"/>
                <w:tcBorders>
                  <w:top w:val="single" w:sz="4" w:space="0" w:color="auto"/>
                  <w:left w:val="nil"/>
                  <w:bottom w:val="single" w:sz="4" w:space="0" w:color="auto"/>
                  <w:right w:val="nil"/>
                </w:tcBorders>
              </w:tcPr>
              <w:p w:rsidR="00960205" w:rsidRPr="008E3CF1" w:rsidRDefault="00960205" w:rsidP="00960205">
                <w:pPr>
                  <w:jc w:val="center"/>
                  <w:rPr>
                    <w:b/>
                  </w:rPr>
                </w:pPr>
                <w:r w:rsidRPr="008E3CF1">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960205" w:rsidRPr="008E3CF1" w:rsidRDefault="00960205" w:rsidP="00960205">
            <w:pPr>
              <w:ind w:left="54"/>
              <w:rPr>
                <w:b/>
              </w:rPr>
            </w:pPr>
            <w:r w:rsidRPr="008E3CF1">
              <w:rPr>
                <w:b/>
              </w:rPr>
              <w:t>Negatívne</w:t>
            </w:r>
          </w:p>
        </w:tc>
      </w:tr>
      <w:tr w:rsidR="00960205" w:rsidRPr="008E3CF1" w:rsidTr="00960205">
        <w:tc>
          <w:tcPr>
            <w:tcW w:w="3794" w:type="dxa"/>
            <w:tcBorders>
              <w:top w:val="single" w:sz="4" w:space="0" w:color="auto"/>
              <w:left w:val="single" w:sz="4" w:space="0" w:color="auto"/>
              <w:bottom w:val="single" w:sz="4" w:space="0" w:color="auto"/>
              <w:right w:val="single" w:sz="4" w:space="0" w:color="auto"/>
            </w:tcBorders>
            <w:shd w:val="clear" w:color="auto" w:fill="E2E2E2"/>
          </w:tcPr>
          <w:p w:rsidR="00960205" w:rsidRPr="008E3CF1" w:rsidRDefault="00960205" w:rsidP="00960205">
            <w:pPr>
              <w:rPr>
                <w:b/>
              </w:rPr>
            </w:pPr>
            <w:r w:rsidRPr="008E3CF1">
              <w:rPr>
                <w:b/>
              </w:rPr>
              <w:t>Vplyvy na životné prostredie</w:t>
            </w:r>
          </w:p>
        </w:tc>
        <w:sdt>
          <w:sdtPr>
            <w:rPr>
              <w:b/>
            </w:rPr>
            <w:id w:val="304755157"/>
          </w:sdtPr>
          <w:sdtEndPr/>
          <w:sdtContent>
            <w:tc>
              <w:tcPr>
                <w:tcW w:w="558" w:type="dxa"/>
                <w:gridSpan w:val="2"/>
                <w:tcBorders>
                  <w:top w:val="single" w:sz="4" w:space="0" w:color="auto"/>
                  <w:left w:val="single" w:sz="4" w:space="0" w:color="auto"/>
                  <w:bottom w:val="single" w:sz="4" w:space="0" w:color="auto"/>
                  <w:right w:val="nil"/>
                </w:tcBorders>
              </w:tcPr>
              <w:p w:rsidR="00960205" w:rsidRPr="008E3CF1" w:rsidRDefault="00433F37" w:rsidP="00960205">
                <w:pPr>
                  <w:jc w:val="center"/>
                  <w:rPr>
                    <w:b/>
                  </w:rPr>
                </w:pPr>
                <w:sdt>
                  <w:sdtPr>
                    <w:rPr>
                      <w:b/>
                    </w:rPr>
                    <w:id w:val="724721551"/>
                  </w:sdtPr>
                  <w:sdtEndPr/>
                  <w:sdtContent>
                    <w:r w:rsidR="00960205" w:rsidRPr="008E3CF1">
                      <w:rPr>
                        <w:rFonts w:ascii="MS Mincho" w:eastAsia="MS Mincho" w:hAnsi="MS Mincho" w:cs="MS Mincho" w:hint="eastAsia"/>
                        <w:b/>
                      </w:rPr>
                      <w:t>☐</w:t>
                    </w:r>
                  </w:sdtContent>
                </w:sdt>
              </w:p>
            </w:tc>
          </w:sdtContent>
        </w:sdt>
        <w:tc>
          <w:tcPr>
            <w:tcW w:w="1281" w:type="dxa"/>
            <w:gridSpan w:val="2"/>
            <w:tcBorders>
              <w:top w:val="single" w:sz="4" w:space="0" w:color="auto"/>
              <w:left w:val="nil"/>
              <w:bottom w:val="single" w:sz="4" w:space="0" w:color="auto"/>
              <w:right w:val="nil"/>
            </w:tcBorders>
          </w:tcPr>
          <w:p w:rsidR="00960205" w:rsidRPr="008E3CF1" w:rsidRDefault="00960205" w:rsidP="00960205">
            <w:pPr>
              <w:ind w:right="-108"/>
              <w:rPr>
                <w:b/>
              </w:rPr>
            </w:pPr>
            <w:r w:rsidRPr="008E3CF1">
              <w:rPr>
                <w:b/>
              </w:rPr>
              <w:t>Pozitívne</w:t>
            </w:r>
          </w:p>
        </w:tc>
        <w:sdt>
          <w:sdtPr>
            <w:rPr>
              <w:b/>
            </w:rPr>
            <w:id w:val="235136192"/>
          </w:sdtPr>
          <w:sdtEndPr/>
          <w:sdtContent>
            <w:tc>
              <w:tcPr>
                <w:tcW w:w="570" w:type="dxa"/>
                <w:tcBorders>
                  <w:top w:val="single" w:sz="4" w:space="0" w:color="auto"/>
                  <w:left w:val="nil"/>
                  <w:bottom w:val="single" w:sz="4" w:space="0" w:color="auto"/>
                  <w:right w:val="nil"/>
                </w:tcBorders>
              </w:tcPr>
              <w:p w:rsidR="00960205" w:rsidRPr="008E3CF1" w:rsidRDefault="00433F37" w:rsidP="00960205">
                <w:pPr>
                  <w:jc w:val="center"/>
                  <w:rPr>
                    <w:b/>
                  </w:rPr>
                </w:pPr>
                <w:sdt>
                  <w:sdtPr>
                    <w:rPr>
                      <w:b/>
                    </w:rPr>
                    <w:id w:val="-137262829"/>
                  </w:sdtPr>
                  <w:sdtEndPr/>
                  <w:sdtContent>
                    <w:r w:rsidR="00960205" w:rsidRPr="008E3CF1">
                      <w:rPr>
                        <w:rFonts w:ascii="MS Gothic" w:eastAsia="MS Gothic" w:hAnsi="MS Gothic" w:hint="eastAsia"/>
                        <w:b/>
                      </w:rPr>
                      <w:t>☒</w:t>
                    </w:r>
                  </w:sdtContent>
                </w:sdt>
                <w:r w:rsidR="00960205" w:rsidRPr="008E3CF1">
                  <w:rPr>
                    <w:rFonts w:ascii="MS Mincho" w:eastAsia="MS Mincho" w:hAnsi="MS Mincho" w:cs="MS Mincho" w:hint="eastAsia"/>
                    <w:b/>
                  </w:rPr>
                  <w:t xml:space="preserve"> </w:t>
                </w:r>
              </w:p>
            </w:tc>
          </w:sdtContent>
        </w:sdt>
        <w:tc>
          <w:tcPr>
            <w:tcW w:w="1133" w:type="dxa"/>
            <w:tcBorders>
              <w:top w:val="single" w:sz="4" w:space="0" w:color="auto"/>
              <w:left w:val="nil"/>
              <w:bottom w:val="single" w:sz="4" w:space="0" w:color="auto"/>
              <w:right w:val="nil"/>
            </w:tcBorders>
          </w:tcPr>
          <w:p w:rsidR="00960205" w:rsidRPr="008E3CF1" w:rsidRDefault="00960205" w:rsidP="00960205">
            <w:pPr>
              <w:rPr>
                <w:b/>
              </w:rPr>
            </w:pPr>
            <w:r w:rsidRPr="008E3CF1">
              <w:rPr>
                <w:b/>
              </w:rPr>
              <w:t>Žiadne</w:t>
            </w:r>
          </w:p>
        </w:tc>
        <w:sdt>
          <w:sdtPr>
            <w:rPr>
              <w:b/>
            </w:rPr>
            <w:id w:val="-131020046"/>
          </w:sdtPr>
          <w:sdtEndPr/>
          <w:sdtContent>
            <w:tc>
              <w:tcPr>
                <w:tcW w:w="547" w:type="dxa"/>
                <w:gridSpan w:val="2"/>
                <w:tcBorders>
                  <w:top w:val="single" w:sz="4" w:space="0" w:color="auto"/>
                  <w:left w:val="nil"/>
                  <w:bottom w:val="single" w:sz="4" w:space="0" w:color="auto"/>
                  <w:right w:val="nil"/>
                </w:tcBorders>
              </w:tcPr>
              <w:p w:rsidR="00960205" w:rsidRPr="008E3CF1" w:rsidRDefault="00960205" w:rsidP="00960205">
                <w:pPr>
                  <w:jc w:val="center"/>
                  <w:rPr>
                    <w:b/>
                  </w:rPr>
                </w:pPr>
                <w:r w:rsidRPr="008E3CF1">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960205" w:rsidRPr="008E3CF1" w:rsidRDefault="00960205" w:rsidP="00960205">
            <w:pPr>
              <w:ind w:left="54"/>
              <w:rPr>
                <w:b/>
              </w:rPr>
            </w:pPr>
            <w:r w:rsidRPr="008E3CF1">
              <w:rPr>
                <w:b/>
              </w:rPr>
              <w:t>Negatívne</w:t>
            </w:r>
          </w:p>
        </w:tc>
      </w:tr>
      <w:tr w:rsidR="00960205" w:rsidRPr="008E3CF1" w:rsidTr="00960205">
        <w:tc>
          <w:tcPr>
            <w:tcW w:w="3794" w:type="dxa"/>
            <w:tcBorders>
              <w:top w:val="single" w:sz="4" w:space="0" w:color="auto"/>
              <w:left w:val="single" w:sz="4" w:space="0" w:color="auto"/>
              <w:bottom w:val="single" w:sz="4" w:space="0" w:color="auto"/>
              <w:right w:val="single" w:sz="4" w:space="0" w:color="auto"/>
            </w:tcBorders>
            <w:shd w:val="clear" w:color="auto" w:fill="E2E2E2"/>
          </w:tcPr>
          <w:p w:rsidR="00960205" w:rsidRPr="008E3CF1" w:rsidRDefault="00960205" w:rsidP="00960205">
            <w:pPr>
              <w:rPr>
                <w:b/>
              </w:rPr>
            </w:pPr>
            <w:r w:rsidRPr="008E3CF1">
              <w:rPr>
                <w:b/>
              </w:rPr>
              <w:t>Vplyvy na informatizáciu</w:t>
            </w:r>
          </w:p>
        </w:tc>
        <w:sdt>
          <w:sdtPr>
            <w:rPr>
              <w:b/>
            </w:rPr>
            <w:id w:val="-940751000"/>
          </w:sdtPr>
          <w:sdtEndPr/>
          <w:sdtContent>
            <w:tc>
              <w:tcPr>
                <w:tcW w:w="558" w:type="dxa"/>
                <w:gridSpan w:val="2"/>
                <w:tcBorders>
                  <w:top w:val="single" w:sz="4" w:space="0" w:color="auto"/>
                  <w:left w:val="single" w:sz="4" w:space="0" w:color="auto"/>
                  <w:bottom w:val="single" w:sz="4" w:space="0" w:color="auto"/>
                  <w:right w:val="nil"/>
                </w:tcBorders>
              </w:tcPr>
              <w:p w:rsidR="00960205" w:rsidRPr="008E3CF1" w:rsidRDefault="00960205" w:rsidP="00960205">
                <w:pPr>
                  <w:jc w:val="center"/>
                  <w:rPr>
                    <w:b/>
                  </w:rPr>
                </w:pPr>
                <w:r w:rsidRPr="008E3CF1">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960205" w:rsidRPr="008E3CF1" w:rsidRDefault="00960205" w:rsidP="00960205">
            <w:pPr>
              <w:ind w:right="-108"/>
              <w:rPr>
                <w:b/>
              </w:rPr>
            </w:pPr>
            <w:r w:rsidRPr="008E3CF1">
              <w:rPr>
                <w:b/>
              </w:rPr>
              <w:t>Pozitívne</w:t>
            </w:r>
          </w:p>
        </w:tc>
        <w:sdt>
          <w:sdtPr>
            <w:rPr>
              <w:b/>
            </w:rPr>
            <w:id w:val="-1126152168"/>
          </w:sdtPr>
          <w:sdtEndPr/>
          <w:sdtContent>
            <w:tc>
              <w:tcPr>
                <w:tcW w:w="570" w:type="dxa"/>
                <w:tcBorders>
                  <w:top w:val="single" w:sz="4" w:space="0" w:color="auto"/>
                  <w:left w:val="nil"/>
                  <w:bottom w:val="single" w:sz="4" w:space="0" w:color="auto"/>
                  <w:right w:val="nil"/>
                </w:tcBorders>
              </w:tcPr>
              <w:p w:rsidR="00960205" w:rsidRPr="008E3CF1" w:rsidRDefault="00960205" w:rsidP="00960205">
                <w:pPr>
                  <w:jc w:val="center"/>
                  <w:rPr>
                    <w:b/>
                  </w:rPr>
                </w:pPr>
                <w:r w:rsidRPr="008E3CF1">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960205" w:rsidRPr="008E3CF1" w:rsidRDefault="00960205" w:rsidP="00960205">
            <w:pPr>
              <w:rPr>
                <w:b/>
              </w:rPr>
            </w:pPr>
            <w:r w:rsidRPr="008E3CF1">
              <w:rPr>
                <w:b/>
              </w:rPr>
              <w:t>Žiadne</w:t>
            </w:r>
          </w:p>
        </w:tc>
        <w:sdt>
          <w:sdtPr>
            <w:rPr>
              <w:b/>
            </w:rPr>
            <w:id w:val="378831873"/>
          </w:sdtPr>
          <w:sdtEndPr/>
          <w:sdtContent>
            <w:tc>
              <w:tcPr>
                <w:tcW w:w="547" w:type="dxa"/>
                <w:gridSpan w:val="2"/>
                <w:tcBorders>
                  <w:top w:val="single" w:sz="4" w:space="0" w:color="auto"/>
                  <w:left w:val="nil"/>
                  <w:bottom w:val="single" w:sz="4" w:space="0" w:color="auto"/>
                  <w:right w:val="nil"/>
                </w:tcBorders>
              </w:tcPr>
              <w:p w:rsidR="00960205" w:rsidRPr="008E3CF1" w:rsidRDefault="00960205" w:rsidP="00960205">
                <w:pPr>
                  <w:jc w:val="center"/>
                  <w:rPr>
                    <w:b/>
                  </w:rPr>
                </w:pPr>
                <w:r w:rsidRPr="008E3CF1">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960205" w:rsidRPr="008E3CF1" w:rsidRDefault="00960205" w:rsidP="00960205">
            <w:pPr>
              <w:ind w:left="54"/>
              <w:rPr>
                <w:b/>
              </w:rPr>
            </w:pPr>
            <w:r w:rsidRPr="008E3CF1">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763C4" w:rsidRPr="008E3CF1"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8E3CF1" w:rsidRDefault="0045465B" w:rsidP="00B83402">
            <w:pPr>
              <w:rPr>
                <w:b/>
              </w:rPr>
            </w:pPr>
            <w:r w:rsidRPr="008E3CF1">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45465B" w:rsidRPr="008E3CF1"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8E3CF1"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8E3CF1"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8E3CF1" w:rsidRDefault="0045465B" w:rsidP="00B83402">
            <w:pPr>
              <w:rPr>
                <w:b/>
              </w:rPr>
            </w:pPr>
          </w:p>
        </w:tc>
        <w:tc>
          <w:tcPr>
            <w:tcW w:w="547" w:type="dxa"/>
            <w:tcBorders>
              <w:top w:val="single" w:sz="4" w:space="0" w:color="auto"/>
              <w:left w:val="nil"/>
              <w:bottom w:val="nil"/>
              <w:right w:val="nil"/>
            </w:tcBorders>
            <w:shd w:val="clear" w:color="auto" w:fill="auto"/>
          </w:tcPr>
          <w:p w:rsidR="0045465B" w:rsidRPr="008E3CF1"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8E3CF1" w:rsidRDefault="0045465B" w:rsidP="00B83402">
            <w:pPr>
              <w:ind w:left="54"/>
              <w:rPr>
                <w:b/>
              </w:rPr>
            </w:pPr>
          </w:p>
        </w:tc>
      </w:tr>
      <w:tr w:rsidR="004763C4" w:rsidRPr="008E3CF1" w:rsidTr="00B83402">
        <w:tc>
          <w:tcPr>
            <w:tcW w:w="3812" w:type="dxa"/>
            <w:tcBorders>
              <w:top w:val="nil"/>
              <w:left w:val="single" w:sz="4" w:space="0" w:color="auto"/>
              <w:bottom w:val="nil"/>
              <w:right w:val="single" w:sz="4" w:space="0" w:color="auto"/>
            </w:tcBorders>
            <w:shd w:val="clear" w:color="auto" w:fill="E2E2E2"/>
          </w:tcPr>
          <w:p w:rsidR="001A1559" w:rsidRPr="008E3CF1" w:rsidRDefault="001A1559" w:rsidP="00B83402">
            <w:pPr>
              <w:ind w:left="196" w:hanging="196"/>
              <w:rPr>
                <w:rFonts w:eastAsia="Calibri"/>
                <w:b/>
                <w:lang w:eastAsia="en-US"/>
              </w:rPr>
            </w:pPr>
            <w:r w:rsidRPr="008E3CF1">
              <w:rPr>
                <w:rFonts w:eastAsia="Calibri"/>
                <w:b/>
                <w:lang w:eastAsia="en-US"/>
              </w:rPr>
              <w:t xml:space="preserve">    vplyvy služieb verejnej správy na občana</w:t>
            </w:r>
          </w:p>
        </w:tc>
        <w:sdt>
          <w:sdtPr>
            <w:rPr>
              <w:b/>
            </w:rPr>
            <w:id w:val="-1688362683"/>
          </w:sdtPr>
          <w:sdtEndPr/>
          <w:sdtContent>
            <w:tc>
              <w:tcPr>
                <w:tcW w:w="541" w:type="dxa"/>
                <w:tcBorders>
                  <w:top w:val="nil"/>
                  <w:left w:val="single" w:sz="4" w:space="0" w:color="auto"/>
                  <w:bottom w:val="nil"/>
                  <w:right w:val="nil"/>
                </w:tcBorders>
                <w:shd w:val="clear" w:color="auto" w:fill="auto"/>
              </w:tcPr>
              <w:p w:rsidR="001A1559" w:rsidRPr="008E3CF1" w:rsidRDefault="00207376" w:rsidP="00EB1608">
                <w:pPr>
                  <w:jc w:val="center"/>
                  <w:rPr>
                    <w:b/>
                  </w:rPr>
                </w:pPr>
                <w:r w:rsidRPr="008E3CF1">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1A1559" w:rsidRPr="008E3CF1" w:rsidRDefault="001A1559" w:rsidP="00EB1608">
            <w:pPr>
              <w:ind w:right="-108"/>
              <w:rPr>
                <w:b/>
              </w:rPr>
            </w:pPr>
            <w:r w:rsidRPr="008E3CF1">
              <w:rPr>
                <w:b/>
              </w:rPr>
              <w:t>Pozitívne</w:t>
            </w:r>
          </w:p>
        </w:tc>
        <w:sdt>
          <w:sdtPr>
            <w:rPr>
              <w:b/>
            </w:rPr>
            <w:id w:val="884985506"/>
          </w:sdtPr>
          <w:sdtEndPr/>
          <w:sdtContent>
            <w:sdt>
              <w:sdtPr>
                <w:rPr>
                  <w:b/>
                </w:rPr>
                <w:id w:val="1945650754"/>
              </w:sdtPr>
              <w:sdtEndPr/>
              <w:sdtContent>
                <w:tc>
                  <w:tcPr>
                    <w:tcW w:w="569" w:type="dxa"/>
                    <w:tcBorders>
                      <w:top w:val="nil"/>
                      <w:left w:val="nil"/>
                      <w:bottom w:val="nil"/>
                      <w:right w:val="nil"/>
                    </w:tcBorders>
                    <w:shd w:val="clear" w:color="auto" w:fill="auto"/>
                  </w:tcPr>
                  <w:p w:rsidR="001A1559" w:rsidRPr="008E3CF1" w:rsidRDefault="00252A94" w:rsidP="00EB1608">
                    <w:pPr>
                      <w:jc w:val="center"/>
                      <w:rPr>
                        <w:b/>
                      </w:rPr>
                    </w:pPr>
                    <w:r w:rsidRPr="008E3CF1">
                      <w:rPr>
                        <w:rFonts w:ascii="MS Gothic" w:eastAsia="MS Gothic" w:hAnsi="MS Gothic" w:hint="eastAsia"/>
                        <w:b/>
                      </w:rPr>
                      <w:t>☒</w:t>
                    </w:r>
                  </w:p>
                </w:tc>
              </w:sdtContent>
            </w:sdt>
          </w:sdtContent>
        </w:sdt>
        <w:tc>
          <w:tcPr>
            <w:tcW w:w="1133" w:type="dxa"/>
            <w:tcBorders>
              <w:top w:val="nil"/>
              <w:left w:val="nil"/>
              <w:bottom w:val="nil"/>
              <w:right w:val="nil"/>
            </w:tcBorders>
            <w:shd w:val="clear" w:color="auto" w:fill="auto"/>
          </w:tcPr>
          <w:p w:rsidR="001A1559" w:rsidRPr="008E3CF1" w:rsidRDefault="001A1559" w:rsidP="00EB1608">
            <w:pPr>
              <w:rPr>
                <w:b/>
              </w:rPr>
            </w:pPr>
            <w:r w:rsidRPr="008E3CF1">
              <w:rPr>
                <w:b/>
              </w:rPr>
              <w:t>Žiadne</w:t>
            </w:r>
          </w:p>
        </w:tc>
        <w:sdt>
          <w:sdtPr>
            <w:rPr>
              <w:b/>
            </w:rPr>
            <w:id w:val="-2146805846"/>
          </w:sdtPr>
          <w:sdtEndPr/>
          <w:sdtContent>
            <w:tc>
              <w:tcPr>
                <w:tcW w:w="547" w:type="dxa"/>
                <w:tcBorders>
                  <w:top w:val="nil"/>
                  <w:left w:val="nil"/>
                  <w:bottom w:val="nil"/>
                  <w:right w:val="nil"/>
                </w:tcBorders>
                <w:shd w:val="clear" w:color="auto" w:fill="auto"/>
              </w:tcPr>
              <w:p w:rsidR="001A1559" w:rsidRPr="008E3CF1" w:rsidRDefault="001A1559" w:rsidP="00EB1608">
                <w:pPr>
                  <w:jc w:val="center"/>
                  <w:rPr>
                    <w:b/>
                  </w:rPr>
                </w:pPr>
                <w:r w:rsidRPr="008E3CF1">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rsidR="001A1559" w:rsidRPr="008E3CF1" w:rsidRDefault="001A1559" w:rsidP="00EB1608">
            <w:pPr>
              <w:ind w:left="54"/>
              <w:rPr>
                <w:b/>
              </w:rPr>
            </w:pPr>
            <w:r w:rsidRPr="008E3CF1">
              <w:rPr>
                <w:b/>
              </w:rPr>
              <w:t>Negatívne</w:t>
            </w:r>
          </w:p>
        </w:tc>
      </w:tr>
      <w:tr w:rsidR="004763C4" w:rsidRPr="008E3CF1" w:rsidTr="00B83402">
        <w:tc>
          <w:tcPr>
            <w:tcW w:w="3812" w:type="dxa"/>
            <w:tcBorders>
              <w:top w:val="nil"/>
              <w:left w:val="single" w:sz="4" w:space="0" w:color="auto"/>
              <w:bottom w:val="single" w:sz="4" w:space="0" w:color="auto"/>
              <w:right w:val="single" w:sz="4" w:space="0" w:color="auto"/>
            </w:tcBorders>
            <w:shd w:val="clear" w:color="auto" w:fill="E2E2E2"/>
          </w:tcPr>
          <w:p w:rsidR="001A1559" w:rsidRPr="008E3CF1" w:rsidRDefault="001A1559" w:rsidP="00B83402">
            <w:pPr>
              <w:ind w:left="168" w:hanging="168"/>
              <w:rPr>
                <w:rFonts w:eastAsia="Calibri"/>
                <w:b/>
                <w:lang w:eastAsia="en-US"/>
              </w:rPr>
            </w:pPr>
            <w:r w:rsidRPr="008E3CF1">
              <w:rPr>
                <w:rFonts w:eastAsia="Calibri"/>
                <w:b/>
                <w:lang w:eastAsia="en-US"/>
              </w:rPr>
              <w:t xml:space="preserve">    vplyvy na procesy služieb vo verejnej správe</w:t>
            </w:r>
          </w:p>
        </w:tc>
        <w:sdt>
          <w:sdtPr>
            <w:rPr>
              <w:b/>
            </w:rPr>
            <w:id w:val="-113984565"/>
          </w:sdtPr>
          <w:sdtEndPr/>
          <w:sdtContent>
            <w:tc>
              <w:tcPr>
                <w:tcW w:w="541" w:type="dxa"/>
                <w:tcBorders>
                  <w:top w:val="nil"/>
                  <w:left w:val="single" w:sz="4" w:space="0" w:color="auto"/>
                  <w:bottom w:val="single" w:sz="4" w:space="0" w:color="auto"/>
                  <w:right w:val="nil"/>
                </w:tcBorders>
                <w:shd w:val="clear" w:color="auto" w:fill="auto"/>
              </w:tcPr>
              <w:p w:rsidR="001A1559" w:rsidRPr="008E3CF1" w:rsidRDefault="001A1559" w:rsidP="00EB1608">
                <w:pPr>
                  <w:jc w:val="center"/>
                  <w:rPr>
                    <w:b/>
                  </w:rPr>
                </w:pPr>
                <w:r w:rsidRPr="008E3CF1">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rsidR="001A1559" w:rsidRPr="008E3CF1" w:rsidRDefault="001A1559" w:rsidP="00EB1608">
            <w:pPr>
              <w:ind w:right="-108"/>
              <w:rPr>
                <w:b/>
              </w:rPr>
            </w:pPr>
            <w:r w:rsidRPr="008E3CF1">
              <w:rPr>
                <w:b/>
              </w:rPr>
              <w:t>Pozitívne</w:t>
            </w:r>
          </w:p>
        </w:tc>
        <w:sdt>
          <w:sdtPr>
            <w:rPr>
              <w:b/>
            </w:rPr>
            <w:id w:val="-1325040833"/>
          </w:sdtPr>
          <w:sdtEndPr/>
          <w:sdtContent>
            <w:sdt>
              <w:sdtPr>
                <w:rPr>
                  <w:b/>
                </w:rPr>
                <w:id w:val="-1575430533"/>
              </w:sdtPr>
              <w:sdtEndPr/>
              <w:sdtContent>
                <w:tc>
                  <w:tcPr>
                    <w:tcW w:w="569" w:type="dxa"/>
                    <w:tcBorders>
                      <w:top w:val="nil"/>
                      <w:left w:val="nil"/>
                      <w:bottom w:val="single" w:sz="4" w:space="0" w:color="auto"/>
                      <w:right w:val="nil"/>
                    </w:tcBorders>
                    <w:shd w:val="clear" w:color="auto" w:fill="auto"/>
                  </w:tcPr>
                  <w:p w:rsidR="001A1559" w:rsidRPr="008E3CF1" w:rsidRDefault="00252A94" w:rsidP="00EB1608">
                    <w:pPr>
                      <w:jc w:val="center"/>
                      <w:rPr>
                        <w:b/>
                      </w:rPr>
                    </w:pPr>
                    <w:r w:rsidRPr="008E3CF1">
                      <w:rPr>
                        <w:rFonts w:ascii="MS Gothic" w:eastAsia="MS Gothic" w:hAnsi="MS Gothic" w:hint="eastAsia"/>
                        <w:b/>
                      </w:rPr>
                      <w:t>☒</w:t>
                    </w:r>
                  </w:p>
                </w:tc>
              </w:sdtContent>
            </w:sdt>
          </w:sdtContent>
        </w:sdt>
        <w:tc>
          <w:tcPr>
            <w:tcW w:w="1133" w:type="dxa"/>
            <w:tcBorders>
              <w:top w:val="nil"/>
              <w:left w:val="nil"/>
              <w:bottom w:val="single" w:sz="4" w:space="0" w:color="auto"/>
              <w:right w:val="nil"/>
            </w:tcBorders>
            <w:shd w:val="clear" w:color="auto" w:fill="auto"/>
          </w:tcPr>
          <w:p w:rsidR="001A1559" w:rsidRPr="008E3CF1" w:rsidRDefault="001A1559" w:rsidP="00EB1608">
            <w:pPr>
              <w:rPr>
                <w:b/>
              </w:rPr>
            </w:pPr>
            <w:r w:rsidRPr="008E3CF1">
              <w:rPr>
                <w:b/>
              </w:rPr>
              <w:t>Žiadne</w:t>
            </w:r>
          </w:p>
        </w:tc>
        <w:sdt>
          <w:sdtPr>
            <w:rPr>
              <w:b/>
            </w:rPr>
            <w:id w:val="2018029189"/>
          </w:sdtPr>
          <w:sdtEndPr/>
          <w:sdtContent>
            <w:tc>
              <w:tcPr>
                <w:tcW w:w="547" w:type="dxa"/>
                <w:tcBorders>
                  <w:top w:val="nil"/>
                  <w:left w:val="nil"/>
                  <w:bottom w:val="single" w:sz="4" w:space="0" w:color="auto"/>
                  <w:right w:val="nil"/>
                </w:tcBorders>
                <w:shd w:val="clear" w:color="auto" w:fill="auto"/>
              </w:tcPr>
              <w:p w:rsidR="001A1559" w:rsidRPr="008E3CF1" w:rsidRDefault="001A1559" w:rsidP="00EB1608">
                <w:pPr>
                  <w:jc w:val="center"/>
                  <w:rPr>
                    <w:b/>
                  </w:rPr>
                </w:pPr>
                <w:r w:rsidRPr="008E3CF1">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rsidR="001A1559" w:rsidRPr="008E3CF1" w:rsidRDefault="001A1559" w:rsidP="00EB1608">
            <w:pPr>
              <w:ind w:left="54"/>
              <w:rPr>
                <w:b/>
              </w:rPr>
            </w:pPr>
            <w:r w:rsidRPr="008E3CF1">
              <w:rPr>
                <w:b/>
              </w:rPr>
              <w:t>Negatívne</w:t>
            </w:r>
          </w:p>
        </w:tc>
      </w:tr>
    </w:tbl>
    <w:p w:rsidR="003501A1" w:rsidRPr="008E3CF1"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8E3CF1"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8E3CF1" w:rsidRDefault="004F6F1F" w:rsidP="003501A1">
            <w:pPr>
              <w:pStyle w:val="Odsekzoznamu"/>
              <w:numPr>
                <w:ilvl w:val="0"/>
                <w:numId w:val="1"/>
              </w:numPr>
              <w:spacing w:after="0" w:line="240" w:lineRule="auto"/>
              <w:ind w:left="426"/>
              <w:rPr>
                <w:rFonts w:ascii="Times New Roman" w:hAnsi="Times New Roman" w:cs="Times New Roman"/>
                <w:b/>
              </w:rPr>
            </w:pPr>
            <w:r w:rsidRPr="008E3CF1">
              <w:rPr>
                <w:rFonts w:ascii="Times New Roman" w:hAnsi="Times New Roman" w:cs="Times New Roman"/>
                <w:b/>
              </w:rPr>
              <w:t>Poznámky</w:t>
            </w:r>
          </w:p>
        </w:tc>
      </w:tr>
      <w:tr w:rsidR="004F6F1F" w:rsidRPr="008E3CF1"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70726A" w:rsidRPr="00135F57" w:rsidRDefault="00B9274A" w:rsidP="00B9274A">
            <w:pPr>
              <w:jc w:val="both"/>
            </w:pPr>
            <w:r w:rsidRPr="00135F57">
              <w:t xml:space="preserve">Schválením predloženého návrhu zákona, </w:t>
            </w:r>
            <w:r w:rsidRPr="00135F57">
              <w:rPr>
                <w:bCs/>
              </w:rPr>
              <w:t xml:space="preserve">ktorým sa mení a dopĺňa zákon č. 150/2013 Z. z. o Štátnom fonde rozvoja bývania v znení neskorších predpisov </w:t>
            </w:r>
            <w:r w:rsidRPr="00135F57">
              <w:t>a úpravy jeho vykonávacieho predpisu nevzniknú nové požiadavky na rozpočet verejnej správy.</w:t>
            </w:r>
            <w:r w:rsidR="0070726A" w:rsidRPr="00135F57">
              <w:t xml:space="preserve"> </w:t>
            </w:r>
            <w:r w:rsidRPr="00135F57">
              <w:t xml:space="preserve">Financovanie bude zabezpečené </w:t>
            </w:r>
            <w:r w:rsidRPr="00135F57">
              <w:rPr>
                <w:u w:val="single"/>
              </w:rPr>
              <w:t>v rámci schválených limitov</w:t>
            </w:r>
            <w:r w:rsidRPr="00135F57">
              <w:t xml:space="preserve"> výdavkov rozpočtu Štátneho fondu rozvoja bývania na príslušný rozpočtový rok. </w:t>
            </w:r>
          </w:p>
          <w:p w:rsidR="00B9274A" w:rsidRPr="00135F57" w:rsidRDefault="00B9274A" w:rsidP="00B9274A">
            <w:pPr>
              <w:jc w:val="both"/>
            </w:pPr>
            <w:r w:rsidRPr="00135F57">
              <w:t xml:space="preserve">V súčasnej dobe nie je možné vyčísliť výšku poskytnutých podpôr v príslušnom rozpočtovom roku, nakoľko nie je zrejmé, koľko oprávnených žiadateľov využije túto formu financovania </w:t>
            </w:r>
            <w:r w:rsidR="003B106E" w:rsidRPr="00135F57">
              <w:t xml:space="preserve">obstarávania bytov, nájomných bytov, zariadení sociálnych služieb, ubytovacích domov </w:t>
            </w:r>
            <w:r w:rsidR="00667411" w:rsidRPr="00135F57">
              <w:t xml:space="preserve">a obnovy existujúcich bytových domov, rodinných domov a zariadení sociálnych služieb. </w:t>
            </w:r>
          </w:p>
          <w:p w:rsidR="00667411" w:rsidRPr="00135F57" w:rsidRDefault="00B9274A" w:rsidP="00667411">
            <w:pPr>
              <w:jc w:val="both"/>
            </w:pPr>
            <w:r w:rsidRPr="00135F57">
              <w:t xml:space="preserve">Navrhované zmeny majú pozitívny vplyv na podnikateľské prostredie, a to možnosťou poskytovania dlhodobých úverov s nízkym úrokom </w:t>
            </w:r>
            <w:r w:rsidR="00667411" w:rsidRPr="00135F57">
              <w:t xml:space="preserve">aj pre novovzniknuté právnické osoby. </w:t>
            </w:r>
          </w:p>
          <w:p w:rsidR="004F6F1F" w:rsidRPr="008E3CF1" w:rsidRDefault="00B9274A" w:rsidP="00667411">
            <w:pPr>
              <w:jc w:val="both"/>
              <w:rPr>
                <w:b/>
              </w:rPr>
            </w:pPr>
            <w:r w:rsidRPr="00135F57">
              <w:t>Navrhovaná úprava má pozitívne sociálne vplyvy. Pozitívnym vplyvom je</w:t>
            </w:r>
            <w:r w:rsidR="009E6752" w:rsidRPr="00135F57">
              <w:t xml:space="preserve"> vytvorenie podmienok pre zvýšenie počtu </w:t>
            </w:r>
            <w:r w:rsidR="00135F57" w:rsidRPr="00135F57">
              <w:t xml:space="preserve">obstarávaných </w:t>
            </w:r>
            <w:r w:rsidR="009E6752" w:rsidRPr="00135F57">
              <w:t>nájomných bytov a zariadení sociálnych služieb.</w:t>
            </w:r>
            <w:r w:rsidR="009E6752" w:rsidRPr="008E3CF1">
              <w:t xml:space="preserve"> </w:t>
            </w:r>
            <w:r w:rsidRPr="008E3CF1">
              <w:t xml:space="preserve"> </w:t>
            </w:r>
          </w:p>
        </w:tc>
      </w:tr>
      <w:tr w:rsidR="003501A1" w:rsidRPr="008E3CF1"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8E3CF1" w:rsidRDefault="00960205" w:rsidP="003501A1">
            <w:pPr>
              <w:pStyle w:val="Odsekzoznamu"/>
              <w:numPr>
                <w:ilvl w:val="0"/>
                <w:numId w:val="1"/>
              </w:numPr>
              <w:spacing w:after="0" w:line="240" w:lineRule="auto"/>
              <w:ind w:left="426"/>
              <w:rPr>
                <w:rFonts w:ascii="Times New Roman" w:hAnsi="Times New Roman" w:cs="Times New Roman"/>
                <w:b/>
              </w:rPr>
            </w:pPr>
            <w:r>
              <w:rPr>
                <w:rFonts w:ascii="Times New Roman" w:hAnsi="Times New Roman" w:cs="Times New Roman"/>
                <w:b/>
              </w:rPr>
              <w:t>K</w:t>
            </w:r>
            <w:r w:rsidR="003501A1" w:rsidRPr="008E3CF1">
              <w:rPr>
                <w:rFonts w:ascii="Times New Roman" w:hAnsi="Times New Roman" w:cs="Times New Roman"/>
                <w:b/>
              </w:rPr>
              <w:t>ontakt na spracovateľa</w:t>
            </w:r>
          </w:p>
        </w:tc>
      </w:tr>
      <w:tr w:rsidR="003501A1" w:rsidRPr="008E3CF1"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8E3CF1" w:rsidRDefault="00040DCF" w:rsidP="007C5802">
            <w:r w:rsidRPr="008E3CF1">
              <w:t xml:space="preserve">MDV SR – Ing. </w:t>
            </w:r>
            <w:r w:rsidR="005F4DF4" w:rsidRPr="008E3CF1">
              <w:t>Čerňanská</w:t>
            </w:r>
            <w:r w:rsidRPr="008E3CF1">
              <w:t>,02/594 94 5</w:t>
            </w:r>
            <w:r w:rsidR="005F4DF4" w:rsidRPr="008E3CF1">
              <w:t>85</w:t>
            </w:r>
            <w:r w:rsidRPr="008E3CF1">
              <w:t xml:space="preserve">, </w:t>
            </w:r>
            <w:r w:rsidR="005F4DF4" w:rsidRPr="008E3CF1">
              <w:t>jana.cernanska</w:t>
            </w:r>
            <w:r w:rsidRPr="008E3CF1">
              <w:t xml:space="preserve">@mindop.sk </w:t>
            </w:r>
          </w:p>
        </w:tc>
      </w:tr>
      <w:tr w:rsidR="003501A1" w:rsidRPr="008E3CF1"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8E3CF1" w:rsidRDefault="003501A1" w:rsidP="003501A1">
            <w:pPr>
              <w:pStyle w:val="Odsekzoznamu"/>
              <w:numPr>
                <w:ilvl w:val="0"/>
                <w:numId w:val="1"/>
              </w:numPr>
              <w:spacing w:after="0" w:line="240" w:lineRule="auto"/>
              <w:ind w:left="426"/>
              <w:rPr>
                <w:rFonts w:ascii="Times New Roman" w:hAnsi="Times New Roman" w:cs="Times New Roman"/>
                <w:b/>
              </w:rPr>
            </w:pPr>
            <w:r w:rsidRPr="008E3CF1">
              <w:rPr>
                <w:rFonts w:ascii="Times New Roman" w:hAnsi="Times New Roman" w:cs="Times New Roman"/>
                <w:b/>
              </w:rPr>
              <w:t>Zdroje</w:t>
            </w:r>
          </w:p>
        </w:tc>
      </w:tr>
      <w:tr w:rsidR="003501A1" w:rsidRPr="008E3CF1"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8E3CF1" w:rsidRDefault="003501A1" w:rsidP="007B71A4">
            <w:pPr>
              <w:rPr>
                <w:i/>
              </w:rPr>
            </w:pPr>
            <w:r w:rsidRPr="008E3CF1">
              <w:rPr>
                <w:i/>
              </w:rPr>
              <w:t>Uveďte zdroje</w:t>
            </w:r>
            <w:r w:rsidR="00EB59E3" w:rsidRPr="008E3CF1">
              <w:rPr>
                <w:i/>
              </w:rPr>
              <w:t xml:space="preserve"> </w:t>
            </w:r>
            <w:r w:rsidR="00D75D35" w:rsidRPr="008E3CF1">
              <w:rPr>
                <w:i/>
              </w:rPr>
              <w:t>(štatistiky, prieskumy, spoluprácu s odborníkmi a iné)</w:t>
            </w:r>
            <w:r w:rsidRPr="008E3CF1">
              <w:rPr>
                <w:i/>
              </w:rPr>
              <w:t>, z ktorých ste pri vypracovávaní doložky, príp. analýz vplyvov vychádzali.</w:t>
            </w:r>
          </w:p>
          <w:p w:rsidR="003501A1" w:rsidRPr="008E3CF1" w:rsidRDefault="00E00D98" w:rsidP="007B71A4">
            <w:r w:rsidRPr="008E3CF1">
              <w:t>MDV SR, ŠFRB</w:t>
            </w:r>
          </w:p>
          <w:p w:rsidR="003501A1" w:rsidRPr="008E3CF1" w:rsidRDefault="003501A1" w:rsidP="007B71A4">
            <w:pPr>
              <w:rPr>
                <w:b/>
              </w:rPr>
            </w:pPr>
          </w:p>
        </w:tc>
      </w:tr>
      <w:tr w:rsidR="003501A1" w:rsidRPr="008E3CF1"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8E3CF1" w:rsidRDefault="003501A1" w:rsidP="003501A1">
            <w:pPr>
              <w:pStyle w:val="Odsekzoznamu"/>
              <w:numPr>
                <w:ilvl w:val="0"/>
                <w:numId w:val="1"/>
              </w:numPr>
              <w:spacing w:after="0" w:line="240" w:lineRule="auto"/>
              <w:ind w:left="426"/>
              <w:rPr>
                <w:rFonts w:ascii="Times New Roman" w:hAnsi="Times New Roman" w:cs="Times New Roman"/>
                <w:b/>
              </w:rPr>
            </w:pPr>
            <w:r w:rsidRPr="008E3CF1">
              <w:rPr>
                <w:rFonts w:ascii="Times New Roman" w:hAnsi="Times New Roman" w:cs="Times New Roman"/>
                <w:b/>
              </w:rPr>
              <w:t>Stanovisko Komisie pre posudzovanie vybraných vplyvov z PPK</w:t>
            </w:r>
          </w:p>
        </w:tc>
      </w:tr>
      <w:tr w:rsidR="003501A1" w:rsidRPr="008E3CF1"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8E3CF1" w:rsidRDefault="003501A1" w:rsidP="00CB0BC2">
            <w:pPr>
              <w:jc w:val="both"/>
              <w:rPr>
                <w:i/>
              </w:rPr>
            </w:pPr>
            <w:r w:rsidRPr="008E3CF1">
              <w:rPr>
                <w:i/>
              </w:rPr>
              <w:t>Uveďte stanovisko Komisie pre posudzovanie vybraných vplyvov, ktoré Vám bolo zaslané v rámci predbežného pripomienkového konania</w:t>
            </w:r>
          </w:p>
          <w:p w:rsidR="003501A1" w:rsidRPr="008E3CF1" w:rsidRDefault="003501A1" w:rsidP="00CB0BC2">
            <w:pPr>
              <w:jc w:val="both"/>
              <w:rPr>
                <w:b/>
              </w:rPr>
            </w:pPr>
          </w:p>
          <w:p w:rsidR="007C6E3A" w:rsidRPr="007C6E3A" w:rsidRDefault="007C6E3A" w:rsidP="007C6E3A">
            <w:pPr>
              <w:jc w:val="both"/>
              <w:rPr>
                <w:b/>
                <w:bCs/>
              </w:rPr>
            </w:pPr>
            <w:r w:rsidRPr="007C6E3A">
              <w:rPr>
                <w:b/>
                <w:bCs/>
              </w:rPr>
              <w:t xml:space="preserve">I. Úvod: </w:t>
            </w:r>
            <w:r w:rsidRPr="007C6E3A">
              <w:rPr>
                <w:bCs/>
              </w:rPr>
              <w:t>Ministerstvo dopravy a výstavby SR predložilo dňa 17. júla 2020 Stálej pracovnej komisii na posudzovanie vybraných vplyvov (ďalej len „Komisia“) na predbežné pripomienkové konanie materiál:</w:t>
            </w:r>
            <w:r w:rsidRPr="007C6E3A">
              <w:rPr>
                <w:bCs/>
                <w:i/>
              </w:rPr>
              <w:t xml:space="preserve"> „Návrh zákona, ktorým sa mení a dopĺňa zákon č. 150/2013 Z. z. o Štátnom fonde rozvoja bývania v znení neskorších predpisov“. </w:t>
            </w:r>
            <w:r w:rsidRPr="007C6E3A">
              <w:rPr>
                <w:bCs/>
              </w:rPr>
              <w:t>Materiál predpokladá negatívne vplyvy na rozpočet verejnej správy, ktoré sú rozpočtovo zabezpečené, pozitívne vplyvy na podnikateľské prostredie vrátane vplyvov na malé a stredné podniky a pozitívne sociálne vplyvy.</w:t>
            </w:r>
          </w:p>
          <w:p w:rsidR="007C6E3A" w:rsidRPr="007C6E3A" w:rsidRDefault="007C6E3A" w:rsidP="007C6E3A">
            <w:pPr>
              <w:jc w:val="both"/>
              <w:rPr>
                <w:b/>
                <w:bCs/>
              </w:rPr>
            </w:pPr>
          </w:p>
          <w:p w:rsidR="007C6E3A" w:rsidRPr="007C6E3A" w:rsidRDefault="007C6E3A" w:rsidP="007C6E3A">
            <w:pPr>
              <w:jc w:val="both"/>
              <w:rPr>
                <w:bCs/>
              </w:rPr>
            </w:pPr>
            <w:r w:rsidRPr="007C6E3A">
              <w:rPr>
                <w:b/>
                <w:bCs/>
              </w:rPr>
              <w:t>II. P</w:t>
            </w:r>
            <w:r w:rsidRPr="007C6E3A">
              <w:rPr>
                <w:b/>
              </w:rPr>
              <w:t>r</w:t>
            </w:r>
            <w:r w:rsidRPr="007C6E3A">
              <w:rPr>
                <w:b/>
                <w:bCs/>
              </w:rPr>
              <w:t>ipomienky a návrhy zm</w:t>
            </w:r>
            <w:r w:rsidRPr="007C6E3A">
              <w:rPr>
                <w:b/>
              </w:rPr>
              <w:t>ie</w:t>
            </w:r>
            <w:r w:rsidRPr="007C6E3A">
              <w:rPr>
                <w:b/>
                <w:bCs/>
              </w:rPr>
              <w:t xml:space="preserve">n: </w:t>
            </w:r>
            <w:r w:rsidRPr="007C6E3A">
              <w:rPr>
                <w:bCs/>
              </w:rPr>
              <w:t>Komisia uplatňuje k materiálu zásadné pripomienky a odporúčania:</w:t>
            </w:r>
          </w:p>
          <w:p w:rsidR="007C6E3A" w:rsidRPr="007C6E3A" w:rsidRDefault="007C6E3A" w:rsidP="007C6E3A">
            <w:pPr>
              <w:jc w:val="both"/>
              <w:rPr>
                <w:bCs/>
              </w:rPr>
            </w:pPr>
          </w:p>
          <w:p w:rsidR="007C6E3A" w:rsidRPr="007C6E3A" w:rsidRDefault="007C6E3A" w:rsidP="007C6E3A">
            <w:pPr>
              <w:jc w:val="both"/>
              <w:rPr>
                <w:b/>
                <w:bCs/>
              </w:rPr>
            </w:pPr>
            <w:r w:rsidRPr="007C6E3A">
              <w:rPr>
                <w:b/>
                <w:bCs/>
              </w:rPr>
              <w:t xml:space="preserve">K doložke vybraných vplyvov </w:t>
            </w:r>
          </w:p>
          <w:p w:rsidR="007C6E3A" w:rsidRPr="007C6E3A" w:rsidRDefault="007C6E3A" w:rsidP="007C6E3A">
            <w:pPr>
              <w:jc w:val="both"/>
              <w:rPr>
                <w:bCs/>
              </w:rPr>
            </w:pPr>
            <w:r w:rsidRPr="007C6E3A">
              <w:rPr>
                <w:bCs/>
              </w:rPr>
              <w:t xml:space="preserve">Na základe zhodnotenia Komisia žiada doplniť negatívne alebo pozitívne vplyvy na životné prostredie, </w:t>
            </w:r>
            <w:r w:rsidRPr="007C6E3A">
              <w:rPr>
                <w:bCs/>
              </w:rPr>
              <w:lastRenderedPageBreak/>
              <w:t xml:space="preserve">nakoľko predkladateľ uvádza, že materiál nemá žiadne vplyvy na životné prostredie. </w:t>
            </w:r>
          </w:p>
          <w:p w:rsidR="007C6E3A" w:rsidRPr="007C6E3A" w:rsidRDefault="007C6E3A" w:rsidP="007C6E3A">
            <w:pPr>
              <w:jc w:val="both"/>
              <w:rPr>
                <w:bCs/>
              </w:rPr>
            </w:pPr>
            <w:r w:rsidRPr="007C6E3A">
              <w:rPr>
                <w:bCs/>
              </w:rPr>
              <w:t>Zároveň žiadame dopracovať Analýzu vplyvov na životné prostredie na základe pozitívnych alebo negatívnych vplyvov na životné prostredie. Činnosti ako výstavba, úprava či obnova budovy so sebou nesie spotrebu ako aj nakladanie s materiálmi a zdrojmi, čo môže predstavovať dodatočnú záťaž na životné prostredie. Vo vlastnom materiáli sa zároveň spomína: Do obstarávacieho nákladu zateplenia bytovej budovy podľa § 6 ods. 1 písm. c) tretieho bodu, obnovy zariadenia sociálnych služieb podľa § 6 ods. 1 písm. e) a výmeny spoločných rozvodov plynu, elektriny, kanalizácie, vody, vzduchotechniky a tepla v bytovom dome podľa § 6 ods. 5 písm. b) sa započítava aj cena za vybudovanie technického zariadenia, ktoré bude využívať obnoviteľné zdroje energie alebo zariadenia na mechanické vetranie so systémom rekuperácie tepla. Obstarávacím nákladom obnovy bytovej budovy je možné započítať cenu energetického hodnotenia bytovej budovy. Z uvedeného vyplýva, že podporujete činnosti spojené so zlepšovaním stavu životného prostredia. Pre absenciu Analýzy však nie je možné posúdiť odhadované pozitívne alebo negatívne dopady na zložky životného prostredia (napr. k akým úsporám energií, zdrojov či zamedzeniu emitovania znečisťujúcich látok vďaka tejto podpore dôjde) ani aké opatrenia budú vykonané na zmiernenie dopadu na životné prostredie (napr. posudzovanie žiadostí na základe energetickej efektívnosti, voľby použitých materiálov zvýhodňovaním ekologických alternatív, nakladania s odpadom pri prerábkach (napr. stavebným) alebo projektových úprav zohľadňujúcich dopady na životné prostredie, a.i).</w:t>
            </w:r>
          </w:p>
          <w:p w:rsidR="007C6E3A" w:rsidRPr="007C6E3A" w:rsidRDefault="007C6E3A" w:rsidP="007C6E3A">
            <w:pPr>
              <w:jc w:val="both"/>
              <w:rPr>
                <w:bCs/>
              </w:rPr>
            </w:pPr>
          </w:p>
          <w:p w:rsidR="007C6E3A" w:rsidRPr="007C6E3A" w:rsidRDefault="007C6E3A" w:rsidP="007C6E3A">
            <w:pPr>
              <w:jc w:val="both"/>
              <w:rPr>
                <w:bCs/>
              </w:rPr>
            </w:pPr>
            <w:r w:rsidRPr="007C6E3A">
              <w:rPr>
                <w:bCs/>
              </w:rPr>
              <w:t>Komisia tiež v doložke vybraných vplyvov odporúča dopracovať časť 5. Alternatívne riešenia, kde je potrebné uviesť minimálne nulový variant, t. j. popis súčasného stavu, kedy by sa návrh zákona nerealizoval.</w:t>
            </w:r>
          </w:p>
          <w:p w:rsidR="007C6E3A" w:rsidRPr="007C6E3A" w:rsidRDefault="007C6E3A" w:rsidP="007C6E3A">
            <w:pPr>
              <w:jc w:val="both"/>
              <w:rPr>
                <w:bCs/>
              </w:rPr>
            </w:pPr>
          </w:p>
          <w:p w:rsidR="007C6E3A" w:rsidRPr="007C6E3A" w:rsidRDefault="007C6E3A" w:rsidP="007C6E3A">
            <w:pPr>
              <w:jc w:val="both"/>
              <w:rPr>
                <w:b/>
                <w:bCs/>
              </w:rPr>
            </w:pPr>
            <w:r w:rsidRPr="007C6E3A">
              <w:rPr>
                <w:b/>
                <w:bCs/>
              </w:rPr>
              <w:t>K analýze sociálnych vplyvov</w:t>
            </w:r>
          </w:p>
          <w:p w:rsidR="007C6E3A" w:rsidRPr="007C6E3A" w:rsidRDefault="007C6E3A" w:rsidP="007C6E3A">
            <w:pPr>
              <w:numPr>
                <w:ilvl w:val="0"/>
                <w:numId w:val="2"/>
              </w:numPr>
              <w:suppressAutoHyphens/>
              <w:spacing w:line="100" w:lineRule="atLeast"/>
              <w:ind w:left="284" w:hanging="284"/>
              <w:jc w:val="both"/>
              <w:rPr>
                <w:bCs/>
              </w:rPr>
            </w:pPr>
            <w:r w:rsidRPr="007C6E3A">
              <w:rPr>
                <w:bCs/>
              </w:rPr>
              <w:t xml:space="preserve">v časti 4.2 odporúčame doplniť druhú sekciu (významný vplyv na zraniteľné skupiny obyvateľstva alebo v riziku chudoby alebo sociálneho vylúčenia); </w:t>
            </w:r>
          </w:p>
          <w:p w:rsidR="007C6E3A" w:rsidRPr="007C6E3A" w:rsidRDefault="007C6E3A" w:rsidP="007C6E3A">
            <w:pPr>
              <w:numPr>
                <w:ilvl w:val="0"/>
                <w:numId w:val="2"/>
              </w:numPr>
              <w:suppressAutoHyphens/>
              <w:spacing w:line="100" w:lineRule="atLeast"/>
              <w:ind w:left="284" w:hanging="284"/>
              <w:jc w:val="both"/>
              <w:rPr>
                <w:bCs/>
              </w:rPr>
            </w:pPr>
            <w:r w:rsidRPr="007C6E3A">
              <w:rPr>
                <w:bCs/>
              </w:rPr>
              <w:t>v časti 4.3 odporúčame taktiež doplniť jej druhú sekciu;</w:t>
            </w:r>
            <w:r w:rsidRPr="007C6E3A">
              <w:rPr>
                <w:bCs/>
              </w:rPr>
              <w:tab/>
              <w:t xml:space="preserve"> </w:t>
            </w:r>
          </w:p>
          <w:p w:rsidR="007C6E3A" w:rsidRPr="007C6E3A" w:rsidRDefault="007C6E3A" w:rsidP="007C6E3A">
            <w:pPr>
              <w:numPr>
                <w:ilvl w:val="0"/>
                <w:numId w:val="2"/>
              </w:numPr>
              <w:suppressAutoHyphens/>
              <w:spacing w:line="100" w:lineRule="atLeast"/>
              <w:ind w:left="284" w:hanging="284"/>
              <w:jc w:val="both"/>
              <w:rPr>
                <w:bCs/>
              </w:rPr>
            </w:pPr>
            <w:r w:rsidRPr="007C6E3A">
              <w:rPr>
                <w:bCs/>
              </w:rPr>
              <w:t>v  časti 4.4 odporúčame doplniť všetky časti, ku ktorým sa navrhovateľ nevyjadril.</w:t>
            </w:r>
          </w:p>
          <w:p w:rsidR="007C6E3A" w:rsidRPr="007C6E3A" w:rsidRDefault="007C6E3A" w:rsidP="007C6E3A">
            <w:pPr>
              <w:ind w:left="284" w:hanging="284"/>
              <w:jc w:val="both"/>
              <w:rPr>
                <w:bCs/>
              </w:rPr>
            </w:pPr>
          </w:p>
          <w:p w:rsidR="007C6E3A" w:rsidRPr="007C6E3A" w:rsidRDefault="007C6E3A" w:rsidP="007C6E3A">
            <w:pPr>
              <w:jc w:val="both"/>
              <w:rPr>
                <w:bCs/>
              </w:rPr>
            </w:pPr>
            <w:r w:rsidRPr="007C6E3A">
              <w:rPr>
                <w:bCs/>
              </w:rPr>
              <w:t>Všeobecne platí, že pokiaľ v konkrétnom aspekte návrh sociálny vplyv nezakladá, odporúčame v príslušnej sekcii uviesť formáciu „bez vplyvu“. Tým navrhovateľ deklaruje, že posudzoval všetky aspekty sociálnych vplyvov návrhu a nielen tie, ku ktorým sa v analýze explicitne vyjadril.</w:t>
            </w:r>
          </w:p>
          <w:p w:rsidR="007C6E3A" w:rsidRPr="007C6E3A" w:rsidRDefault="007C6E3A" w:rsidP="007C6E3A">
            <w:pPr>
              <w:jc w:val="both"/>
              <w:rPr>
                <w:bCs/>
              </w:rPr>
            </w:pPr>
          </w:p>
          <w:p w:rsidR="007C6E3A" w:rsidRPr="007C6E3A" w:rsidRDefault="007C6E3A" w:rsidP="007C6E3A">
            <w:pPr>
              <w:jc w:val="both"/>
              <w:rPr>
                <w:bCs/>
              </w:rPr>
            </w:pPr>
          </w:p>
          <w:p w:rsidR="007C6E3A" w:rsidRPr="007C6E3A" w:rsidRDefault="007C6E3A" w:rsidP="007C6E3A">
            <w:pPr>
              <w:jc w:val="both"/>
              <w:rPr>
                <w:bCs/>
              </w:rPr>
            </w:pPr>
            <w:r w:rsidRPr="007C6E3A">
              <w:rPr>
                <w:b/>
                <w:bCs/>
              </w:rPr>
              <w:t xml:space="preserve">III. Záver: </w:t>
            </w:r>
            <w:r w:rsidRPr="007C6E3A">
              <w:rPr>
                <w:bCs/>
              </w:rPr>
              <w:t xml:space="preserve">Stála pracovná komisia na posudzovanie vybraných vplyvov vyjadruje </w:t>
            </w:r>
          </w:p>
          <w:p w:rsidR="007C6E3A" w:rsidRPr="007C6E3A" w:rsidRDefault="007C6E3A" w:rsidP="007C6E3A">
            <w:pPr>
              <w:tabs>
                <w:tab w:val="center" w:pos="6379"/>
              </w:tabs>
              <w:ind w:right="-2"/>
              <w:jc w:val="both"/>
              <w:rPr>
                <w:bCs/>
              </w:rPr>
            </w:pPr>
          </w:p>
          <w:p w:rsidR="007C6E3A" w:rsidRPr="007C6E3A" w:rsidRDefault="007C6E3A" w:rsidP="007C6E3A">
            <w:pPr>
              <w:tabs>
                <w:tab w:val="center" w:pos="6379"/>
              </w:tabs>
              <w:jc w:val="center"/>
              <w:rPr>
                <w:bCs/>
              </w:rPr>
            </w:pPr>
            <w:r w:rsidRPr="007C6E3A">
              <w:rPr>
                <w:b/>
                <w:bCs/>
              </w:rPr>
              <w:t>nesúhlasné stanovisko</w:t>
            </w:r>
          </w:p>
          <w:p w:rsidR="007C6E3A" w:rsidRPr="007C6E3A" w:rsidRDefault="007C6E3A" w:rsidP="007C6E3A">
            <w:pPr>
              <w:tabs>
                <w:tab w:val="center" w:pos="6379"/>
              </w:tabs>
              <w:jc w:val="both"/>
              <w:rPr>
                <w:bCs/>
              </w:rPr>
            </w:pPr>
          </w:p>
          <w:p w:rsidR="007C6E3A" w:rsidRPr="007C6E3A" w:rsidRDefault="007C6E3A" w:rsidP="007C6E3A">
            <w:pPr>
              <w:tabs>
                <w:tab w:val="center" w:pos="6379"/>
              </w:tabs>
              <w:jc w:val="both"/>
              <w:rPr>
                <w:bCs/>
              </w:rPr>
            </w:pPr>
            <w:r w:rsidRPr="007C6E3A">
              <w:rPr>
                <w:bCs/>
              </w:rPr>
              <w:t>s materiálom predloženým na predbežné pripomienkové konanie.</w:t>
            </w:r>
          </w:p>
          <w:p w:rsidR="00CB0BC2" w:rsidRPr="00CB0BC2" w:rsidRDefault="00CB0BC2" w:rsidP="00CB0BC2">
            <w:pPr>
              <w:spacing w:after="200" w:line="276" w:lineRule="auto"/>
              <w:jc w:val="both"/>
              <w:rPr>
                <w:b/>
                <w:bCs/>
                <w:lang w:eastAsia="ar-SA"/>
              </w:rPr>
            </w:pPr>
          </w:p>
          <w:p w:rsidR="007451DA" w:rsidRPr="00822094" w:rsidRDefault="007C6E3A" w:rsidP="00CB0BC2">
            <w:pPr>
              <w:tabs>
                <w:tab w:val="center" w:pos="6379"/>
              </w:tabs>
              <w:suppressAutoHyphens/>
              <w:spacing w:line="100" w:lineRule="atLeast"/>
              <w:ind w:right="-2"/>
              <w:jc w:val="both"/>
              <w:rPr>
                <w:bCs/>
              </w:rPr>
            </w:pPr>
            <w:r w:rsidRPr="00822094">
              <w:rPr>
                <w:bCs/>
              </w:rPr>
              <w:t xml:space="preserve">MDV SR </w:t>
            </w:r>
            <w:r w:rsidR="00D455BC" w:rsidRPr="00822094">
              <w:rPr>
                <w:bCs/>
              </w:rPr>
              <w:t xml:space="preserve">uplatnené </w:t>
            </w:r>
            <w:r w:rsidRPr="00822094">
              <w:rPr>
                <w:bCs/>
              </w:rPr>
              <w:t>pripomienky Komisie v stanovisku k</w:t>
            </w:r>
            <w:r w:rsidR="00D455BC" w:rsidRPr="00822094">
              <w:rPr>
                <w:bCs/>
              </w:rPr>
              <w:t xml:space="preserve"> doložke vybraných vplyvov časť 5. Alternatívne riešenia a k analýze sociálnych vplyvov </w:t>
            </w:r>
            <w:r w:rsidRPr="00822094">
              <w:rPr>
                <w:bCs/>
              </w:rPr>
              <w:t xml:space="preserve">akceptovalo a zapracovalo do návrhu materiálu, ktorý je predložený na medzirezortné pripomienkové konanie. </w:t>
            </w:r>
          </w:p>
          <w:p w:rsidR="003501A1" w:rsidRPr="00385AB0" w:rsidRDefault="007C6E3A" w:rsidP="007451DA">
            <w:pPr>
              <w:tabs>
                <w:tab w:val="center" w:pos="6379"/>
              </w:tabs>
              <w:suppressAutoHyphens/>
              <w:spacing w:line="100" w:lineRule="atLeast"/>
              <w:ind w:right="-2"/>
              <w:jc w:val="both"/>
              <w:rPr>
                <w:b/>
              </w:rPr>
            </w:pPr>
            <w:r w:rsidRPr="00822094">
              <w:rPr>
                <w:bCs/>
              </w:rPr>
              <w:t xml:space="preserve">V prípade </w:t>
            </w:r>
            <w:r w:rsidR="00D455BC" w:rsidRPr="00822094">
              <w:rPr>
                <w:bCs/>
              </w:rPr>
              <w:t xml:space="preserve">požiadavky na doplnenie vplyvov na životné prostredie </w:t>
            </w:r>
            <w:r w:rsidR="007451DA" w:rsidRPr="00822094">
              <w:rPr>
                <w:bCs/>
              </w:rPr>
              <w:t xml:space="preserve">uvádzame, že novelou zákona sa nevytvárajú nové účely podpory, iba sa spresňuje a zjednocuje ich definovanie s inými právnymi predpismi a preto nevnikajú nové vplyvy </w:t>
            </w:r>
            <w:r w:rsidR="00D455BC" w:rsidRPr="00822094">
              <w:rPr>
                <w:bCs/>
              </w:rPr>
              <w:t>na životné prostredie</w:t>
            </w:r>
            <w:r w:rsidR="007451DA" w:rsidRPr="00822094">
              <w:rPr>
                <w:bCs/>
              </w:rPr>
              <w:t xml:space="preserve"> v porovnaní s platným znením zákona.</w:t>
            </w:r>
          </w:p>
        </w:tc>
      </w:tr>
    </w:tbl>
    <w:p w:rsidR="003501A1" w:rsidRPr="008E3CF1" w:rsidRDefault="003501A1" w:rsidP="00CB0BC2">
      <w:pPr>
        <w:jc w:val="both"/>
        <w:rPr>
          <w:b/>
        </w:rPr>
      </w:pPr>
    </w:p>
    <w:p w:rsidR="003501A1" w:rsidRPr="008E3CF1" w:rsidRDefault="003501A1" w:rsidP="003501A1">
      <w:pPr>
        <w:rPr>
          <w:b/>
        </w:rPr>
      </w:pPr>
    </w:p>
    <w:p w:rsidR="00CB3623" w:rsidRPr="008E3CF1" w:rsidRDefault="00CB3623"/>
    <w:sectPr w:rsidR="00CB3623" w:rsidRPr="008E3CF1" w:rsidSect="00995E87">
      <w:footerReference w:type="default" r:id="rId8"/>
      <w:pgSz w:w="11906" w:h="16838"/>
      <w:pgMar w:top="851"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55B" w:rsidRDefault="00F8455B" w:rsidP="003501A1">
      <w:r>
        <w:separator/>
      </w:r>
    </w:p>
  </w:endnote>
  <w:endnote w:type="continuationSeparator" w:id="0">
    <w:p w:rsidR="00F8455B" w:rsidRDefault="00F8455B"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631807"/>
      <w:docPartObj>
        <w:docPartGallery w:val="Page Numbers (Bottom of Page)"/>
        <w:docPartUnique/>
      </w:docPartObj>
    </w:sdtPr>
    <w:sdtEndPr/>
    <w:sdtContent>
      <w:p w:rsidR="00820FC1" w:rsidRDefault="00C07AD2">
        <w:pPr>
          <w:pStyle w:val="Pta"/>
          <w:jc w:val="center"/>
        </w:pPr>
        <w:r>
          <w:fldChar w:fldCharType="begin"/>
        </w:r>
        <w:r w:rsidR="00820FC1">
          <w:instrText>PAGE   \* MERGEFORMAT</w:instrText>
        </w:r>
        <w:r>
          <w:fldChar w:fldCharType="separate"/>
        </w:r>
        <w:r w:rsidR="00433F37">
          <w:rPr>
            <w:noProof/>
          </w:rPr>
          <w:t>2</w:t>
        </w:r>
        <w:r>
          <w:fldChar w:fldCharType="end"/>
        </w:r>
      </w:p>
    </w:sdtContent>
  </w:sdt>
  <w:p w:rsidR="00820FC1" w:rsidRDefault="00820F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55B" w:rsidRDefault="00F8455B" w:rsidP="003501A1">
      <w:r>
        <w:separator/>
      </w:r>
    </w:p>
  </w:footnote>
  <w:footnote w:type="continuationSeparator" w:id="0">
    <w:p w:rsidR="00F8455B" w:rsidRDefault="00F8455B"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254DA"/>
    <w:multiLevelType w:val="hybridMultilevel"/>
    <w:tmpl w:val="E9FE36B4"/>
    <w:lvl w:ilvl="0" w:tplc="041B000F">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5A86"/>
    <w:rsid w:val="0000440B"/>
    <w:rsid w:val="0001187A"/>
    <w:rsid w:val="0002248E"/>
    <w:rsid w:val="00036A60"/>
    <w:rsid w:val="00040DCF"/>
    <w:rsid w:val="000476F5"/>
    <w:rsid w:val="0005685A"/>
    <w:rsid w:val="00084AD6"/>
    <w:rsid w:val="00097156"/>
    <w:rsid w:val="000B6C82"/>
    <w:rsid w:val="000D40AB"/>
    <w:rsid w:val="000E5C0E"/>
    <w:rsid w:val="0011693A"/>
    <w:rsid w:val="00135F57"/>
    <w:rsid w:val="00141BE7"/>
    <w:rsid w:val="00175FD8"/>
    <w:rsid w:val="001A1559"/>
    <w:rsid w:val="001E0DEA"/>
    <w:rsid w:val="001E379E"/>
    <w:rsid w:val="002007D9"/>
    <w:rsid w:val="00207376"/>
    <w:rsid w:val="00226D37"/>
    <w:rsid w:val="00252A94"/>
    <w:rsid w:val="003501A1"/>
    <w:rsid w:val="003844FC"/>
    <w:rsid w:val="00385AB0"/>
    <w:rsid w:val="00387B99"/>
    <w:rsid w:val="00395098"/>
    <w:rsid w:val="003B106E"/>
    <w:rsid w:val="003D52CC"/>
    <w:rsid w:val="0041564C"/>
    <w:rsid w:val="00433F37"/>
    <w:rsid w:val="004459E3"/>
    <w:rsid w:val="0045465B"/>
    <w:rsid w:val="00454ABC"/>
    <w:rsid w:val="00467385"/>
    <w:rsid w:val="004763C4"/>
    <w:rsid w:val="004B0843"/>
    <w:rsid w:val="004C60B8"/>
    <w:rsid w:val="004C794A"/>
    <w:rsid w:val="004D38C3"/>
    <w:rsid w:val="004F6F1F"/>
    <w:rsid w:val="004F7496"/>
    <w:rsid w:val="004F7D6F"/>
    <w:rsid w:val="0051017A"/>
    <w:rsid w:val="00570B48"/>
    <w:rsid w:val="00585D3B"/>
    <w:rsid w:val="005968F8"/>
    <w:rsid w:val="005B7A8D"/>
    <w:rsid w:val="005F4DF4"/>
    <w:rsid w:val="00643F51"/>
    <w:rsid w:val="00667411"/>
    <w:rsid w:val="00672A49"/>
    <w:rsid w:val="0067508D"/>
    <w:rsid w:val="006824C3"/>
    <w:rsid w:val="006C3B7D"/>
    <w:rsid w:val="006E2167"/>
    <w:rsid w:val="0070237C"/>
    <w:rsid w:val="0070726A"/>
    <w:rsid w:val="007451DA"/>
    <w:rsid w:val="007906D8"/>
    <w:rsid w:val="007C5802"/>
    <w:rsid w:val="007C6E3A"/>
    <w:rsid w:val="007E07E1"/>
    <w:rsid w:val="007E41E7"/>
    <w:rsid w:val="007E60D4"/>
    <w:rsid w:val="00820FC1"/>
    <w:rsid w:val="00822094"/>
    <w:rsid w:val="008509EB"/>
    <w:rsid w:val="008546BA"/>
    <w:rsid w:val="0085486B"/>
    <w:rsid w:val="00885DDB"/>
    <w:rsid w:val="00892B0D"/>
    <w:rsid w:val="00892D5E"/>
    <w:rsid w:val="008D6C97"/>
    <w:rsid w:val="008D7BF9"/>
    <w:rsid w:val="008E3CF1"/>
    <w:rsid w:val="00927F5A"/>
    <w:rsid w:val="00953BF3"/>
    <w:rsid w:val="00960205"/>
    <w:rsid w:val="00975D97"/>
    <w:rsid w:val="00981CE2"/>
    <w:rsid w:val="00990D53"/>
    <w:rsid w:val="00995E87"/>
    <w:rsid w:val="009A5865"/>
    <w:rsid w:val="009C5D6D"/>
    <w:rsid w:val="009E6752"/>
    <w:rsid w:val="009F6C39"/>
    <w:rsid w:val="009F6E34"/>
    <w:rsid w:val="00A7756B"/>
    <w:rsid w:val="00A80EC7"/>
    <w:rsid w:val="00AB1ADE"/>
    <w:rsid w:val="00AB6565"/>
    <w:rsid w:val="00AC2477"/>
    <w:rsid w:val="00AE2BEA"/>
    <w:rsid w:val="00AF4985"/>
    <w:rsid w:val="00B04C55"/>
    <w:rsid w:val="00B1135B"/>
    <w:rsid w:val="00B21F1B"/>
    <w:rsid w:val="00B2599D"/>
    <w:rsid w:val="00B436FC"/>
    <w:rsid w:val="00B65A86"/>
    <w:rsid w:val="00B9274A"/>
    <w:rsid w:val="00BA795B"/>
    <w:rsid w:val="00BD2DFA"/>
    <w:rsid w:val="00C07AD2"/>
    <w:rsid w:val="00C47E33"/>
    <w:rsid w:val="00C557E8"/>
    <w:rsid w:val="00C56970"/>
    <w:rsid w:val="00CA21CA"/>
    <w:rsid w:val="00CB0BC2"/>
    <w:rsid w:val="00CB3623"/>
    <w:rsid w:val="00CC1ABD"/>
    <w:rsid w:val="00CC6E00"/>
    <w:rsid w:val="00CE5D12"/>
    <w:rsid w:val="00D13B6F"/>
    <w:rsid w:val="00D1567D"/>
    <w:rsid w:val="00D41ACA"/>
    <w:rsid w:val="00D455BC"/>
    <w:rsid w:val="00D559AD"/>
    <w:rsid w:val="00D75D35"/>
    <w:rsid w:val="00DE2A12"/>
    <w:rsid w:val="00DE57B0"/>
    <w:rsid w:val="00E00D98"/>
    <w:rsid w:val="00E81FA9"/>
    <w:rsid w:val="00EB59E3"/>
    <w:rsid w:val="00EE0868"/>
    <w:rsid w:val="00EF466C"/>
    <w:rsid w:val="00F22831"/>
    <w:rsid w:val="00F35B8E"/>
    <w:rsid w:val="00F41885"/>
    <w:rsid w:val="00F62771"/>
    <w:rsid w:val="00F77189"/>
    <w:rsid w:val="00F8455B"/>
    <w:rsid w:val="00FE66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C66D5-304B-4D98-931E-23B0A21D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Zstupntext">
    <w:name w:val="Placeholder Text"/>
    <w:basedOn w:val="Predvolenpsmoodseku"/>
    <w:uiPriority w:val="99"/>
    <w:semiHidden/>
    <w:rsid w:val="004763C4"/>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05D6-922B-490A-8EA2-ABE45FC4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1536</Words>
  <Characters>8758</Characters>
  <Application>Microsoft Office Word</Application>
  <DocSecurity>0</DocSecurity>
  <Lines>72</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Čerňanská, Jana</cp:lastModifiedBy>
  <cp:revision>91</cp:revision>
  <dcterms:created xsi:type="dcterms:W3CDTF">2016-09-06T08:52:00Z</dcterms:created>
  <dcterms:modified xsi:type="dcterms:W3CDTF">2020-09-07T06:41:00Z</dcterms:modified>
</cp:coreProperties>
</file>