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9F" w:rsidRPr="00B47D06" w:rsidRDefault="007B0C9F" w:rsidP="007B0C9F">
      <w:pPr>
        <w:pStyle w:val="Nadpis5"/>
        <w:spacing w:before="0"/>
        <w:rPr>
          <w:bCs/>
          <w:sz w:val="24"/>
          <w:szCs w:val="24"/>
        </w:rPr>
      </w:pPr>
      <w:r w:rsidRPr="00B47D06">
        <w:rPr>
          <w:bCs/>
          <w:sz w:val="24"/>
          <w:szCs w:val="24"/>
        </w:rPr>
        <w:t>Návrh</w:t>
      </w:r>
    </w:p>
    <w:p w:rsidR="007B0C9F" w:rsidRPr="00B47D06" w:rsidRDefault="007B0C9F" w:rsidP="007B0C9F">
      <w:pPr>
        <w:pStyle w:val="Nadpis5"/>
        <w:spacing w:before="0"/>
        <w:rPr>
          <w:smallCaps/>
          <w:sz w:val="24"/>
          <w:szCs w:val="24"/>
        </w:rPr>
      </w:pPr>
      <w:r w:rsidRPr="00B47D06">
        <w:rPr>
          <w:smallCaps/>
          <w:sz w:val="24"/>
          <w:szCs w:val="24"/>
        </w:rPr>
        <w:t>Vyhláška</w:t>
      </w:r>
    </w:p>
    <w:p w:rsidR="007B0C9F" w:rsidRPr="00B47D06" w:rsidRDefault="007B0C9F" w:rsidP="007B0C9F">
      <w:pPr>
        <w:spacing w:line="240" w:lineRule="auto"/>
        <w:jc w:val="center"/>
        <w:rPr>
          <w:szCs w:val="24"/>
        </w:rPr>
      </w:pPr>
      <w:r w:rsidRPr="00B47D06">
        <w:rPr>
          <w:szCs w:val="24"/>
        </w:rPr>
        <w:t>Ministerstva dopravy a výstavby Slovenskej republiky</w:t>
      </w:r>
    </w:p>
    <w:p w:rsidR="007B0C9F" w:rsidRPr="00B47D06" w:rsidRDefault="007B0C9F" w:rsidP="007B0C9F">
      <w:pPr>
        <w:spacing w:before="240" w:line="240" w:lineRule="auto"/>
        <w:jc w:val="center"/>
        <w:rPr>
          <w:szCs w:val="24"/>
        </w:rPr>
      </w:pPr>
      <w:r w:rsidRPr="00B47D06">
        <w:rPr>
          <w:szCs w:val="24"/>
        </w:rPr>
        <w:t>z ............20</w:t>
      </w:r>
      <w:r w:rsidR="005B1C02">
        <w:rPr>
          <w:szCs w:val="24"/>
        </w:rPr>
        <w:t>20</w:t>
      </w:r>
      <w:r w:rsidRPr="00B47D06">
        <w:rPr>
          <w:szCs w:val="24"/>
        </w:rPr>
        <w:t>,</w:t>
      </w:r>
    </w:p>
    <w:p w:rsidR="007B0C9F" w:rsidRPr="00B47D06" w:rsidRDefault="007B0C9F" w:rsidP="007B0C9F">
      <w:pPr>
        <w:pStyle w:val="Nzov"/>
        <w:spacing w:before="0" w:line="240" w:lineRule="auto"/>
        <w:jc w:val="both"/>
        <w:rPr>
          <w:b w:val="0"/>
          <w:bCs/>
          <w:szCs w:val="24"/>
        </w:rPr>
      </w:pPr>
      <w:r w:rsidRPr="00B47D06">
        <w:rPr>
          <w:b w:val="0"/>
          <w:szCs w:val="24"/>
        </w:rPr>
        <w:t xml:space="preserve">ktorou sa mení </w:t>
      </w:r>
      <w:r w:rsidR="001064DF" w:rsidRPr="00B47D06">
        <w:rPr>
          <w:b w:val="0"/>
          <w:szCs w:val="24"/>
        </w:rPr>
        <w:t xml:space="preserve">a dopĺňa </w:t>
      </w:r>
      <w:r w:rsidRPr="00B47D06">
        <w:rPr>
          <w:b w:val="0"/>
          <w:szCs w:val="24"/>
        </w:rPr>
        <w:t xml:space="preserve">vyhláška Ministerstva dopravy, výstavby a regionálneho rozvoja Slovenskej republiky č. 284/2013 Z. z. </w:t>
      </w:r>
      <w:r w:rsidRPr="00B47D06">
        <w:rPr>
          <w:b w:val="0"/>
          <w:bCs/>
          <w:szCs w:val="24"/>
        </w:rPr>
        <w:t xml:space="preserve">o podrobnostiach o výške poskytovanej podpory zo Štátneho fondu rozvoja bývania, </w:t>
      </w:r>
      <w:r w:rsidRPr="00B47D06">
        <w:rPr>
          <w:b w:val="0"/>
          <w:szCs w:val="24"/>
        </w:rPr>
        <w:t>o všeobecných podmienkach poskytnutia podpory a o obsahu žiadosti v znení neskorších predpisov</w:t>
      </w:r>
    </w:p>
    <w:p w:rsidR="007B0C9F" w:rsidRPr="00B47D06" w:rsidRDefault="007B0C9F" w:rsidP="007B0C9F">
      <w:pPr>
        <w:pStyle w:val="Zkladntext3"/>
        <w:jc w:val="both"/>
        <w:rPr>
          <w:szCs w:val="24"/>
        </w:rPr>
      </w:pPr>
      <w:r w:rsidRPr="00B47D06">
        <w:rPr>
          <w:szCs w:val="24"/>
        </w:rPr>
        <w:t>Ministerstvo dopravy a výstavby Slovenskej republiky podľa § 21 zákona č. 150/2013 Z. z. o Štátnom fonde rozvoja bývania ustanovuje:</w:t>
      </w:r>
    </w:p>
    <w:p w:rsidR="007B0C9F" w:rsidRPr="00B47D06" w:rsidRDefault="007B0C9F" w:rsidP="007B0C9F">
      <w:pPr>
        <w:pStyle w:val="Zarkazkladnhotextu3"/>
        <w:spacing w:before="240" w:line="240" w:lineRule="auto"/>
        <w:jc w:val="center"/>
        <w:rPr>
          <w:szCs w:val="24"/>
        </w:rPr>
      </w:pPr>
      <w:r w:rsidRPr="00B47D06">
        <w:rPr>
          <w:szCs w:val="24"/>
        </w:rPr>
        <w:t>Čl. I</w:t>
      </w:r>
    </w:p>
    <w:p w:rsidR="007B0C9F" w:rsidRPr="00B47D06" w:rsidRDefault="007B0C9F" w:rsidP="007B0C9F">
      <w:pPr>
        <w:pStyle w:val="Zkladntext3"/>
        <w:ind w:firstLine="284"/>
        <w:jc w:val="both"/>
        <w:rPr>
          <w:bCs w:val="0"/>
          <w:szCs w:val="24"/>
        </w:rPr>
      </w:pPr>
      <w:r w:rsidRPr="00B47D06">
        <w:rPr>
          <w:szCs w:val="24"/>
        </w:rPr>
        <w:t xml:space="preserve">Vyhláška Ministerstva dopravy, výstavby a regionálneho rozvoja Slovenskej republiky č. 284/2013 Z. z. </w:t>
      </w:r>
      <w:r w:rsidRPr="00B47D06">
        <w:rPr>
          <w:bCs w:val="0"/>
          <w:szCs w:val="24"/>
        </w:rPr>
        <w:t xml:space="preserve">o podrobnostiach o výške poskytovanej podpory zo Štátneho fondu rozvoja bývania, </w:t>
      </w:r>
      <w:r w:rsidRPr="00B47D06">
        <w:rPr>
          <w:szCs w:val="24"/>
        </w:rPr>
        <w:t>o všeobecných podmienkach poskytnutia podpory a o obsahu žiadosti</w:t>
      </w:r>
      <w:r w:rsidRPr="00B47D06">
        <w:rPr>
          <w:bCs w:val="0"/>
          <w:szCs w:val="24"/>
        </w:rPr>
        <w:t xml:space="preserve"> v znení vyhlášky č. 341/2015 Z.</w:t>
      </w:r>
      <w:r w:rsidR="00CD0D4C" w:rsidRPr="00B47D06">
        <w:rPr>
          <w:bCs w:val="0"/>
          <w:szCs w:val="24"/>
        </w:rPr>
        <w:t xml:space="preserve"> z., vyhlášky č. 283/2017 Z. z., </w:t>
      </w:r>
      <w:r w:rsidRPr="00B47D06">
        <w:rPr>
          <w:bCs w:val="0"/>
          <w:szCs w:val="24"/>
        </w:rPr>
        <w:t>vyhlášky č. 361/2018 Z. z.</w:t>
      </w:r>
      <w:r w:rsidR="00447E30" w:rsidRPr="00B47D06">
        <w:rPr>
          <w:bCs w:val="0"/>
          <w:szCs w:val="24"/>
        </w:rPr>
        <w:t xml:space="preserve">, </w:t>
      </w:r>
      <w:r w:rsidR="00CD0D4C" w:rsidRPr="00B47D06">
        <w:rPr>
          <w:bCs w:val="0"/>
          <w:szCs w:val="24"/>
        </w:rPr>
        <w:t>vyhlášky č. 129/2019 Z. z.</w:t>
      </w:r>
      <w:r w:rsidRPr="00B47D06">
        <w:rPr>
          <w:bCs w:val="0"/>
          <w:szCs w:val="24"/>
        </w:rPr>
        <w:t xml:space="preserve"> </w:t>
      </w:r>
      <w:r w:rsidR="00447E30" w:rsidRPr="00B47D06">
        <w:rPr>
          <w:bCs w:val="0"/>
          <w:szCs w:val="24"/>
        </w:rPr>
        <w:t xml:space="preserve">a vyhlášky č. 348/2019 Z. z. </w:t>
      </w:r>
      <w:r w:rsidRPr="00B47D06">
        <w:rPr>
          <w:bCs w:val="0"/>
          <w:szCs w:val="24"/>
        </w:rPr>
        <w:t>sa mení a dopĺňa takto:</w:t>
      </w:r>
    </w:p>
    <w:p w:rsidR="0023676C" w:rsidRPr="00B47D06" w:rsidRDefault="0059405B" w:rsidP="0059405B">
      <w:pPr>
        <w:pStyle w:val="tlnovelizanbod"/>
        <w:numPr>
          <w:ilvl w:val="0"/>
          <w:numId w:val="1"/>
        </w:numPr>
        <w:ind w:left="567" w:hanging="567"/>
      </w:pPr>
      <w:r w:rsidRPr="00B47D06">
        <w:t xml:space="preserve">§ 2 </w:t>
      </w:r>
      <w:r w:rsidR="00D209EE" w:rsidRPr="00B47D06">
        <w:t>vrátane nadpisu znie:</w:t>
      </w:r>
    </w:p>
    <w:p w:rsidR="00D209EE" w:rsidRPr="00B47D06" w:rsidRDefault="00D209EE" w:rsidP="000513D2">
      <w:pPr>
        <w:spacing w:line="240" w:lineRule="auto"/>
        <w:ind w:left="848" w:right="838"/>
        <w:jc w:val="center"/>
      </w:pPr>
      <w:r w:rsidRPr="00B47D06">
        <w:t>„§ 2</w:t>
      </w:r>
    </w:p>
    <w:p w:rsidR="00D209EE" w:rsidRPr="00B47D06" w:rsidRDefault="00D209EE" w:rsidP="000513D2">
      <w:pPr>
        <w:spacing w:line="240" w:lineRule="auto"/>
        <w:ind w:left="848" w:right="838"/>
        <w:jc w:val="center"/>
      </w:pPr>
      <w:r w:rsidRPr="00B47D06">
        <w:t>Podrobnosti o výške podpory</w:t>
      </w:r>
    </w:p>
    <w:p w:rsidR="00D209EE" w:rsidRPr="00B47D06" w:rsidRDefault="00D209EE" w:rsidP="000513D2">
      <w:pPr>
        <w:spacing w:line="240" w:lineRule="auto"/>
        <w:ind w:left="237"/>
      </w:pPr>
      <w:r w:rsidRPr="00B47D06">
        <w:t>(1) Na obstaranie bytu podľa § 6 ods. 1 písm. a) zákona možno poskytnúť</w:t>
      </w:r>
    </w:p>
    <w:p w:rsidR="00D209EE" w:rsidRPr="00B47D06" w:rsidRDefault="00D209EE" w:rsidP="000513D2">
      <w:pPr>
        <w:numPr>
          <w:ilvl w:val="0"/>
          <w:numId w:val="17"/>
        </w:numPr>
        <w:spacing w:line="240" w:lineRule="auto"/>
        <w:ind w:hanging="283"/>
      </w:pPr>
      <w:r w:rsidRPr="00B47D06">
        <w:t xml:space="preserve">manželom podľa § </w:t>
      </w:r>
      <w:r w:rsidR="00BB1C40">
        <w:t>10 ods. 5 písm. a) a b) zákona a</w:t>
      </w:r>
      <w:r w:rsidRPr="00B47D06">
        <w:t xml:space="preserve"> fyzickej osobe podľa § 10 ods. 5 písm. e) zákona úver vo výške 75 % obstarávacieho nákladu, najviac 90 000 eur na byt, najdlhšie na 30 rokov s ročnou úrokovou sadzbou vo výške 2 %,</w:t>
      </w:r>
    </w:p>
    <w:p w:rsidR="00D209EE" w:rsidRPr="00B47D06" w:rsidRDefault="00D209EE" w:rsidP="000513D2">
      <w:pPr>
        <w:numPr>
          <w:ilvl w:val="0"/>
          <w:numId w:val="17"/>
        </w:numPr>
        <w:spacing w:line="240" w:lineRule="auto"/>
        <w:ind w:hanging="283"/>
      </w:pPr>
      <w:r w:rsidRPr="00B47D06">
        <w:t xml:space="preserve">mladomanželom </w:t>
      </w:r>
      <w:r w:rsidR="005D6391" w:rsidRPr="005D6391">
        <w:t>podľa § 6 ods. 4 písm. a) zákona</w:t>
      </w:r>
      <w:r w:rsidR="005D6391" w:rsidRPr="008D7B75">
        <w:t xml:space="preserve"> </w:t>
      </w:r>
      <w:r w:rsidRPr="00B47D06">
        <w:t>a fyzickej osobe podľa § 10 ods. 5 písm. c) a d) zákona úver vo výške 100 % obstarávacieho nákladu, najviac 120 000 eur na byt, najdlhšie na 40 rokov s ročnou úrokovou sadzbou vo výške 1 %.</w:t>
      </w:r>
    </w:p>
    <w:p w:rsidR="00D209EE" w:rsidRPr="00B47D06" w:rsidRDefault="00D209EE" w:rsidP="000513D2">
      <w:pPr>
        <w:spacing w:line="240" w:lineRule="auto"/>
        <w:ind w:left="-15" w:firstLine="227"/>
      </w:pPr>
      <w:r w:rsidRPr="00B47D06">
        <w:t>(2) Na obstaranie nájomného bytu podľa § 6 ods.1 písm. b) zákona možno poskytnúť obci, samosprávnemu kraju alebo neziskovej organizácii podľa § 7 ods.1 písm. f) zákona úver najdlhšie na 40 rokov vo výške</w:t>
      </w:r>
    </w:p>
    <w:p w:rsidR="00D209EE" w:rsidRPr="00B47D06" w:rsidRDefault="00D209EE" w:rsidP="000513D2">
      <w:pPr>
        <w:numPr>
          <w:ilvl w:val="0"/>
          <w:numId w:val="20"/>
        </w:numPr>
        <w:spacing w:line="240" w:lineRule="auto"/>
        <w:ind w:hanging="283"/>
      </w:pPr>
      <w:r w:rsidRPr="00B47D06">
        <w:t>80 % obstarávacieho nákladu, najviac 1 080 eur na 1 m</w:t>
      </w:r>
      <w:r w:rsidRPr="00B47D06">
        <w:rPr>
          <w:vertAlign w:val="superscript"/>
        </w:rPr>
        <w:t xml:space="preserve">2 </w:t>
      </w:r>
      <w:r w:rsidRPr="00B47D06">
        <w:t>podlahovej plochy bytu,</w:t>
      </w:r>
    </w:p>
    <w:p w:rsidR="00D209EE" w:rsidRPr="00B47D06" w:rsidRDefault="00D209EE" w:rsidP="000513D2">
      <w:pPr>
        <w:numPr>
          <w:ilvl w:val="1"/>
          <w:numId w:val="20"/>
        </w:numPr>
        <w:spacing w:line="240" w:lineRule="auto"/>
        <w:ind w:left="566" w:hanging="283"/>
      </w:pPr>
      <w:r w:rsidRPr="00B47D06">
        <w:t>s ročnou úrokovou sadzbou vo výške 1 % alebo</w:t>
      </w:r>
    </w:p>
    <w:p w:rsidR="00D209EE" w:rsidRPr="00B47D06" w:rsidRDefault="00D209EE" w:rsidP="000513D2">
      <w:pPr>
        <w:numPr>
          <w:ilvl w:val="1"/>
          <w:numId w:val="20"/>
        </w:numPr>
        <w:spacing w:line="240" w:lineRule="auto"/>
        <w:ind w:left="566" w:hanging="283"/>
      </w:pPr>
      <w:r w:rsidRPr="00B47D06">
        <w:t>s ročnou úrokovou sadzbou vo výške 0 %, ak sa obstaráva nájomný byt v najmenej rozvinutom okrese,</w:t>
      </w:r>
      <w:r w:rsidRPr="00B47D06">
        <w:rPr>
          <w:vertAlign w:val="superscript"/>
        </w:rPr>
        <w:t>1</w:t>
      </w:r>
      <w:r w:rsidRPr="00B47D06">
        <w:t>)</w:t>
      </w:r>
    </w:p>
    <w:p w:rsidR="00D209EE" w:rsidRPr="00B47D06" w:rsidRDefault="00D209EE" w:rsidP="000513D2">
      <w:pPr>
        <w:numPr>
          <w:ilvl w:val="0"/>
          <w:numId w:val="20"/>
        </w:numPr>
        <w:spacing w:line="240" w:lineRule="auto"/>
        <w:ind w:hanging="283"/>
      </w:pPr>
      <w:r w:rsidRPr="00B47D06">
        <w:t>100 % obstarávacieho nákladu, najviac 1 350 eur na 1 m</w:t>
      </w:r>
      <w:r w:rsidRPr="00B47D06">
        <w:rPr>
          <w:vertAlign w:val="superscript"/>
        </w:rPr>
        <w:t xml:space="preserve">2 </w:t>
      </w:r>
      <w:r w:rsidRPr="00B47D06">
        <w:t>podlahovej plochy bytu, ak je splnená podmienka podľa § 10 ods. 17 zákona</w:t>
      </w:r>
    </w:p>
    <w:p w:rsidR="00D209EE" w:rsidRPr="00B47D06" w:rsidRDefault="00D209EE" w:rsidP="000513D2">
      <w:pPr>
        <w:numPr>
          <w:ilvl w:val="1"/>
          <w:numId w:val="20"/>
        </w:numPr>
        <w:spacing w:line="240" w:lineRule="auto"/>
        <w:ind w:left="566" w:hanging="283"/>
      </w:pPr>
      <w:r w:rsidRPr="00B47D06">
        <w:t>s ročnou úrokovou sadzbou vo výške 1 % alebo</w:t>
      </w:r>
    </w:p>
    <w:p w:rsidR="00D209EE" w:rsidRPr="00B47D06" w:rsidRDefault="00D209EE" w:rsidP="000513D2">
      <w:pPr>
        <w:numPr>
          <w:ilvl w:val="1"/>
          <w:numId w:val="20"/>
        </w:numPr>
        <w:spacing w:line="240" w:lineRule="auto"/>
        <w:ind w:left="566" w:hanging="283"/>
      </w:pPr>
      <w:r w:rsidRPr="00B47D06">
        <w:t>s ročnou úrokovou sadzbou vo výške 0 %, ak sa obstaráva nájomný byt v najmenej rozvinutom okrese.</w:t>
      </w:r>
      <w:r w:rsidRPr="00B47D06">
        <w:rPr>
          <w:vertAlign w:val="superscript"/>
        </w:rPr>
        <w:t>1</w:t>
      </w:r>
      <w:r w:rsidRPr="00B47D06">
        <w:t>)</w:t>
      </w:r>
    </w:p>
    <w:p w:rsidR="00D209EE" w:rsidRPr="00B47D06" w:rsidRDefault="00D209EE" w:rsidP="000513D2">
      <w:pPr>
        <w:numPr>
          <w:ilvl w:val="0"/>
          <w:numId w:val="30"/>
        </w:numPr>
        <w:spacing w:line="240" w:lineRule="auto"/>
        <w:ind w:left="0" w:firstLine="142"/>
      </w:pPr>
      <w:r w:rsidRPr="00B47D06">
        <w:t>Ak bolo rozhodnuté o poskytnutí dotácie na rozvoj bývania podľa osobitného predpisu,</w:t>
      </w:r>
      <w:r w:rsidRPr="00B47D06">
        <w:rPr>
          <w:vertAlign w:val="superscript"/>
        </w:rPr>
        <w:t>1a</w:t>
      </w:r>
      <w:r w:rsidRPr="00B47D06">
        <w:t xml:space="preserve">) suma poskytnutého úveru na obstaranie nájomného bytu podľa odseku </w:t>
      </w:r>
      <w:r w:rsidR="00D861CE" w:rsidRPr="00B47D06">
        <w:t>2</w:t>
      </w:r>
      <w:r w:rsidRPr="00B47D06">
        <w:t xml:space="preserve"> písm. a) nemôže byť </w:t>
      </w:r>
      <w:r w:rsidRPr="00B47D06">
        <w:lastRenderedPageBreak/>
        <w:t>vyššia ako rozdiel medzi obstarávacím nákladom nájomného bytu a výškou dotácie poskytnutej podľa osobitného predpisu.</w:t>
      </w:r>
      <w:r w:rsidRPr="00B47D06">
        <w:rPr>
          <w:vertAlign w:val="superscript"/>
        </w:rPr>
        <w:t>1a</w:t>
      </w:r>
      <w:r w:rsidRPr="00B47D06">
        <w:t>)</w:t>
      </w:r>
    </w:p>
    <w:p w:rsidR="00D209EE" w:rsidRPr="00B47D06" w:rsidRDefault="00D209EE" w:rsidP="000513D2">
      <w:pPr>
        <w:numPr>
          <w:ilvl w:val="0"/>
          <w:numId w:val="30"/>
        </w:numPr>
        <w:spacing w:line="240" w:lineRule="auto"/>
        <w:ind w:left="0" w:firstLine="142"/>
      </w:pPr>
      <w:r w:rsidRPr="00B47D06">
        <w:t>Na obstaranie nájomného bytu podľa § 6 ods. 1 písm. b) zákona možno poskytnúť právnickej osobe podľa § 7 ods. 1 písm. g) zákona úver vo výške 95 % obstarávacieho nákladu, najviac 1 300 eur na 1 m</w:t>
      </w:r>
      <w:r w:rsidRPr="00B47D06">
        <w:rPr>
          <w:vertAlign w:val="superscript"/>
        </w:rPr>
        <w:t xml:space="preserve">2 </w:t>
      </w:r>
      <w:r w:rsidRPr="00B47D06">
        <w:t>podlahovej plochy bytu, najdlhšie na 40 rokov s ročnou úrokovou sadzbou vo výške 1 %.</w:t>
      </w:r>
    </w:p>
    <w:p w:rsidR="00D209EE" w:rsidRPr="00B47D06" w:rsidRDefault="00D209EE" w:rsidP="000513D2">
      <w:pPr>
        <w:numPr>
          <w:ilvl w:val="0"/>
          <w:numId w:val="30"/>
        </w:numPr>
        <w:spacing w:line="240" w:lineRule="auto"/>
        <w:ind w:left="0" w:firstLine="142"/>
      </w:pPr>
      <w:r w:rsidRPr="00B47D06">
        <w:t>Na modernizáciu bytového domu podľa § 6 ods. 5 písm. a) zákona možno poskytnúť žiadateľovi podľa § 7 ods. 1 zákona úver najdlhšie na 20 rokov s ročnou úrokovou sadzbou vo výške 0,5 % a vo výške</w:t>
      </w:r>
    </w:p>
    <w:p w:rsidR="00D209EE" w:rsidRPr="00B47D06" w:rsidRDefault="00D209EE" w:rsidP="000513D2">
      <w:pPr>
        <w:numPr>
          <w:ilvl w:val="0"/>
          <w:numId w:val="22"/>
        </w:numPr>
        <w:spacing w:line="240" w:lineRule="auto"/>
        <w:ind w:hanging="283"/>
      </w:pPr>
      <w:r w:rsidRPr="00B47D06">
        <w:t>100 % obstarávacieho nákladu, najviac 70 000 eur na výťah, ak ide o výmenu výťahu v bytovom dome alebo</w:t>
      </w:r>
    </w:p>
    <w:p w:rsidR="00D209EE" w:rsidRPr="00B47D06" w:rsidRDefault="00D209EE" w:rsidP="000513D2">
      <w:pPr>
        <w:numPr>
          <w:ilvl w:val="0"/>
          <w:numId w:val="22"/>
        </w:numPr>
        <w:spacing w:line="240" w:lineRule="auto"/>
        <w:ind w:hanging="283"/>
      </w:pPr>
      <w:r w:rsidRPr="00B47D06">
        <w:t>75 % obstarávacieho nákladu, najviac 50 000 eur na výťah, ak ide o modernizáciu výťahu v bytovom dome.</w:t>
      </w:r>
    </w:p>
    <w:p w:rsidR="00D209EE" w:rsidRPr="00B47D06" w:rsidRDefault="00D209EE" w:rsidP="000513D2">
      <w:pPr>
        <w:numPr>
          <w:ilvl w:val="0"/>
          <w:numId w:val="31"/>
        </w:numPr>
        <w:spacing w:line="240" w:lineRule="auto"/>
        <w:ind w:left="0" w:firstLine="142"/>
      </w:pPr>
      <w:r w:rsidRPr="00B47D06">
        <w:t>Na modernizáciu bytového domu podľa § 6 ods. 5 písm. b) zákona možno poskytnúť žiadateľovi podľa § 7 ods. 1 zákona úver vo výške 75 % obstarávacieho nákladu, najviac 70 eur na 1 m</w:t>
      </w:r>
      <w:r w:rsidRPr="00B47D06">
        <w:rPr>
          <w:vertAlign w:val="superscript"/>
        </w:rPr>
        <w:t xml:space="preserve">2 </w:t>
      </w:r>
      <w:r w:rsidRPr="00B47D06">
        <w:t>podlahovej plochy bytu, najdlhšie na 20 rokov s ročnou úrokovou sadzbou vo výške 0,5 %.</w:t>
      </w:r>
    </w:p>
    <w:p w:rsidR="00D209EE" w:rsidRPr="00B47D06" w:rsidRDefault="00D209EE" w:rsidP="000513D2">
      <w:pPr>
        <w:numPr>
          <w:ilvl w:val="0"/>
          <w:numId w:val="31"/>
        </w:numPr>
        <w:spacing w:line="240" w:lineRule="auto"/>
        <w:ind w:left="0" w:firstLine="142"/>
      </w:pPr>
      <w:r w:rsidRPr="00B47D06">
        <w:t>Na modernizáciu bytového domu podľa § 6 ods. 5 písm. c) zákona možno poskytnúť žiadateľovi podľa § 7 ods. 1 zákona úver vo výške 100 % obstarávacieho nákladu, najviac 150 eur na 1 m</w:t>
      </w:r>
      <w:r w:rsidRPr="00B47D06">
        <w:rPr>
          <w:vertAlign w:val="superscript"/>
        </w:rPr>
        <w:t xml:space="preserve">2 </w:t>
      </w:r>
      <w:r w:rsidRPr="00B47D06">
        <w:t>podlahovej plochy bytu, najdlhšie na 20 rokov s r</w:t>
      </w:r>
      <w:r w:rsidR="00D861CE" w:rsidRPr="00B47D06">
        <w:t>očnou úrokovou sadzbou vo výške</w:t>
      </w:r>
      <w:r w:rsidRPr="00B47D06">
        <w:t xml:space="preserve"> 0,5</w:t>
      </w:r>
      <w:r w:rsidR="00D861CE" w:rsidRPr="00B47D06">
        <w:t> </w:t>
      </w:r>
      <w:r w:rsidRPr="00B47D06">
        <w:t>%.</w:t>
      </w:r>
    </w:p>
    <w:p w:rsidR="00D209EE" w:rsidRPr="00B47D06" w:rsidRDefault="00D209EE" w:rsidP="000513D2">
      <w:pPr>
        <w:numPr>
          <w:ilvl w:val="0"/>
          <w:numId w:val="31"/>
        </w:numPr>
        <w:spacing w:line="240" w:lineRule="auto"/>
        <w:ind w:left="0" w:firstLine="142"/>
      </w:pPr>
      <w:r w:rsidRPr="00B47D06">
        <w:t>Na modernizáciu bytového domu podľa § 6 ods. 5 písm. d) zákona možno poskytnúť žiadateľovi podľa § 7 ods. 1 zákona úver vo výške 75 % obstarávacieho nákladu, najviac 90 eur na 1 m</w:t>
      </w:r>
      <w:r w:rsidRPr="00B47D06">
        <w:rPr>
          <w:vertAlign w:val="superscript"/>
        </w:rPr>
        <w:t xml:space="preserve">2 </w:t>
      </w:r>
      <w:r w:rsidRPr="00B47D06">
        <w:t>podlahovej plochy bytu, najdlhšie na 20 rokov s ročnou úrokovou sadzbou vo výške 2 %.</w:t>
      </w:r>
    </w:p>
    <w:p w:rsidR="00D209EE" w:rsidRPr="00B47D06" w:rsidRDefault="00D209EE" w:rsidP="000513D2">
      <w:pPr>
        <w:numPr>
          <w:ilvl w:val="0"/>
          <w:numId w:val="31"/>
        </w:numPr>
        <w:spacing w:line="240" w:lineRule="auto"/>
        <w:ind w:left="0" w:firstLine="142"/>
      </w:pPr>
      <w:r w:rsidRPr="00B47D06">
        <w:t>Na odstránenie systémovej poruchy bytového domu podľa § 6 ods. 1 písm. c) druhého bodu zákona možno poskytnúť žiadateľovi podľa § 7 ods. 1 písm. b) až g) zákona úver vo výške 75 % obstarávacieho nákladu, najviac 70 eur na 1 m</w:t>
      </w:r>
      <w:r w:rsidRPr="00B47D06">
        <w:rPr>
          <w:vertAlign w:val="superscript"/>
        </w:rPr>
        <w:t xml:space="preserve">2 </w:t>
      </w:r>
      <w:r w:rsidRPr="00B47D06">
        <w:t>podlahovej plochy bytu, najdlhšie na 20 rokov s ročnou úrokovou sadzbou vo výške 1 %.</w:t>
      </w:r>
    </w:p>
    <w:p w:rsidR="00D209EE" w:rsidRPr="00B47D06" w:rsidRDefault="00D209EE" w:rsidP="000513D2">
      <w:pPr>
        <w:numPr>
          <w:ilvl w:val="0"/>
          <w:numId w:val="31"/>
        </w:numPr>
        <w:spacing w:line="240" w:lineRule="auto"/>
        <w:ind w:left="0" w:firstLine="142"/>
      </w:pPr>
      <w:r w:rsidRPr="00B47D06">
        <w:t>Na zateplenie bytovej budovy podľa § 6 ods. 1 písm. c) tretieho bodu zákona možno poskytnúť žiadateľovi podľa § 7 ods. 1 zákona úver vo výške</w:t>
      </w:r>
    </w:p>
    <w:p w:rsidR="00D209EE" w:rsidRPr="00B47D06" w:rsidRDefault="00D209EE" w:rsidP="000513D2">
      <w:pPr>
        <w:numPr>
          <w:ilvl w:val="0"/>
          <w:numId w:val="23"/>
        </w:numPr>
        <w:spacing w:line="240" w:lineRule="auto"/>
        <w:ind w:hanging="283"/>
      </w:pPr>
      <w:r w:rsidRPr="00B47D06">
        <w:t>75 % obstarávacieho nákladu, najviac1</w:t>
      </w:r>
      <w:r w:rsidR="00A84625">
        <w:t>7</w:t>
      </w:r>
      <w:r w:rsidRPr="00B47D06">
        <w:t>0 eur na 1 m</w:t>
      </w:r>
      <w:r w:rsidRPr="00B47D06">
        <w:rPr>
          <w:vertAlign w:val="superscript"/>
        </w:rPr>
        <w:t xml:space="preserve">2 </w:t>
      </w:r>
      <w:r w:rsidRPr="00B47D06">
        <w:t>podlahovej plochy bytu, najdlhšie na 20 rokov s ročnou úrokovou sadzbou vo výške 1 %,</w:t>
      </w:r>
    </w:p>
    <w:p w:rsidR="00D209EE" w:rsidRPr="00B47D06" w:rsidRDefault="00D209EE" w:rsidP="000513D2">
      <w:pPr>
        <w:numPr>
          <w:ilvl w:val="0"/>
          <w:numId w:val="23"/>
        </w:numPr>
        <w:spacing w:line="240" w:lineRule="auto"/>
        <w:ind w:hanging="283"/>
      </w:pPr>
      <w:r w:rsidRPr="00B47D06">
        <w:t xml:space="preserve">100 % obstarávacieho nákladu, najviac </w:t>
      </w:r>
      <w:r w:rsidR="00A84625">
        <w:t>200</w:t>
      </w:r>
      <w:r w:rsidRPr="00B47D06">
        <w:t xml:space="preserve"> eur na 1 m</w:t>
      </w:r>
      <w:r w:rsidRPr="00B47D06">
        <w:rPr>
          <w:vertAlign w:val="superscript"/>
        </w:rPr>
        <w:t xml:space="preserve">2 </w:t>
      </w:r>
      <w:r w:rsidRPr="00B47D06">
        <w:t>podlahovej plochy bytu, najdlhšie na 25 rokov s ročnou úrokovou sadzbou vo výške 0,5 %, ak budova dosiahne hodnotu hornej hranice energetickej triedy pre ultranízkoenergetické budovy alebo hodnotu nižšiu podľa osobitného predpisu.</w:t>
      </w:r>
      <w:r w:rsidRPr="00B47D06">
        <w:rPr>
          <w:vertAlign w:val="superscript"/>
        </w:rPr>
        <w:t>1b</w:t>
      </w:r>
      <w:r w:rsidRPr="00B47D06">
        <w:t>)</w:t>
      </w:r>
    </w:p>
    <w:p w:rsidR="00D209EE" w:rsidRPr="00B47D06" w:rsidRDefault="00D209EE" w:rsidP="000513D2">
      <w:pPr>
        <w:numPr>
          <w:ilvl w:val="0"/>
          <w:numId w:val="32"/>
        </w:numPr>
        <w:spacing w:line="240" w:lineRule="auto"/>
        <w:ind w:left="0" w:firstLine="142"/>
      </w:pPr>
      <w:r w:rsidRPr="00B47D06">
        <w:t>Ak možno p</w:t>
      </w:r>
      <w:r w:rsidR="00343C26" w:rsidRPr="00B47D06">
        <w:t>oskytnúť podporu podľa odseku 10</w:t>
      </w:r>
      <w:r w:rsidRPr="00B47D06">
        <w:t xml:space="preserve"> písm. b) a na stavbe sa súčasne realizuje ďalší z typov obnovy bytovej budovy uvedený v odsekoch </w:t>
      </w:r>
      <w:r w:rsidR="00343C26" w:rsidRPr="00B47D06">
        <w:t>5</w:t>
      </w:r>
      <w:r w:rsidRPr="00B47D06">
        <w:t xml:space="preserve"> až </w:t>
      </w:r>
      <w:r w:rsidR="00343C26" w:rsidRPr="00B47D06">
        <w:t>9</w:t>
      </w:r>
      <w:r w:rsidRPr="00B47D06">
        <w:t>, určí sa pre poskytnutý úver spoločná lehota splatnosti najdlhšie na 25 rokov.</w:t>
      </w:r>
    </w:p>
    <w:p w:rsidR="00D209EE" w:rsidRPr="00B47D06" w:rsidRDefault="00D209EE" w:rsidP="000513D2">
      <w:pPr>
        <w:numPr>
          <w:ilvl w:val="0"/>
          <w:numId w:val="32"/>
        </w:numPr>
        <w:spacing w:line="240" w:lineRule="auto"/>
        <w:ind w:left="0" w:firstLine="142"/>
      </w:pPr>
      <w:r w:rsidRPr="00B47D06">
        <w:t>Ak sa na jednej stavbe súčasne realizujú dva z typov obnov bytovej budovy u</w:t>
      </w:r>
      <w:bookmarkStart w:id="0" w:name="_GoBack"/>
      <w:bookmarkEnd w:id="0"/>
      <w:r w:rsidRPr="00B47D06">
        <w:t xml:space="preserve">vedených v odsekoch </w:t>
      </w:r>
      <w:r w:rsidR="00343C26" w:rsidRPr="00B47D06">
        <w:t>5</w:t>
      </w:r>
      <w:r w:rsidRPr="00B47D06">
        <w:t xml:space="preserve"> až 1</w:t>
      </w:r>
      <w:r w:rsidR="00343C26" w:rsidRPr="00B47D06">
        <w:t>0</w:t>
      </w:r>
      <w:r w:rsidRPr="00B47D06">
        <w:t>, určí sa pre poskytnutý úver spoločná ročná úroková sadzba, a to vo výške nižšej z hodnôt ročnej úrokovej sadzby uvedených pre realizované typy obnovy.</w:t>
      </w:r>
    </w:p>
    <w:p w:rsidR="00D209EE" w:rsidRPr="00B47D06" w:rsidRDefault="00D209EE" w:rsidP="000513D2">
      <w:pPr>
        <w:numPr>
          <w:ilvl w:val="0"/>
          <w:numId w:val="32"/>
        </w:numPr>
        <w:spacing w:line="240" w:lineRule="auto"/>
        <w:ind w:left="0" w:firstLine="142"/>
      </w:pPr>
      <w:r w:rsidRPr="00B47D06">
        <w:t xml:space="preserve">Ak sa na jednej stavbe súčasne realizujú tri a viac z typov obnov bytovej budovy uvedených v odsekoch </w:t>
      </w:r>
      <w:r w:rsidR="00343C26" w:rsidRPr="00B47D06">
        <w:t xml:space="preserve">5 až 10, </w:t>
      </w:r>
      <w:r w:rsidRPr="00B47D06">
        <w:t>určí sa pre poskytnutý úver spoločná ročná úroková sadzba, a to vo výške vypočítanej ako rozdiel medzi najnižšou z hodnôt ročnej úrokovej sadzby uvedených pre realizované typy obnovy a 0,5 percentuálneho bodu.</w:t>
      </w:r>
    </w:p>
    <w:p w:rsidR="00D209EE" w:rsidRPr="00B47D06" w:rsidRDefault="00D209EE" w:rsidP="000513D2">
      <w:pPr>
        <w:numPr>
          <w:ilvl w:val="0"/>
          <w:numId w:val="32"/>
        </w:numPr>
        <w:spacing w:line="240" w:lineRule="auto"/>
        <w:ind w:left="0" w:firstLine="142"/>
      </w:pPr>
      <w:r w:rsidRPr="00B47D06">
        <w:lastRenderedPageBreak/>
        <w:t>Určenie ročnej úrokovej sadzby podľa odsekov 1</w:t>
      </w:r>
      <w:r w:rsidR="00343C26" w:rsidRPr="00B47D06">
        <w:t>2 a 13</w:t>
      </w:r>
      <w:r w:rsidRPr="00B47D06">
        <w:t xml:space="preserve"> sa uplatní aj v prípade, ak finančné krytie úveru je z rôznych zdrojov podľa § 3 zákona a Štátny fond rozvoja bývania (ďalej len „fond“) na poskytnutie úveru uzatvorí viac úverových zmlúv.</w:t>
      </w:r>
    </w:p>
    <w:p w:rsidR="00D209EE" w:rsidRPr="00B47D06" w:rsidRDefault="00D209EE" w:rsidP="000513D2">
      <w:pPr>
        <w:numPr>
          <w:ilvl w:val="0"/>
          <w:numId w:val="32"/>
        </w:numPr>
        <w:spacing w:line="240" w:lineRule="auto"/>
        <w:ind w:left="0" w:firstLine="142"/>
        <w:rPr>
          <w:strike/>
        </w:rPr>
      </w:pPr>
      <w:r w:rsidRPr="00B47D06">
        <w:t>Na stavebnú úpravu bytu v bytovom dome alebo rodinnom dome podľa § 6 ods. 1 písm. c) štvrtého bodu zákona možno poskytnúť mladomanželom úver vo výške 100 % obstarávacieho nákladu, najviac 30 000 eur na byt, najdlhšie na 20 rokov s ročnou úrokovou sadzbou vo výške 1</w:t>
      </w:r>
      <w:r w:rsidR="00343C26" w:rsidRPr="00B47D06">
        <w:t> </w:t>
      </w:r>
      <w:r w:rsidRPr="00B47D06">
        <w:t>%.</w:t>
      </w:r>
    </w:p>
    <w:p w:rsidR="0084100E" w:rsidRPr="00B47D06" w:rsidRDefault="00D209EE" w:rsidP="000513D2">
      <w:pPr>
        <w:numPr>
          <w:ilvl w:val="0"/>
          <w:numId w:val="33"/>
        </w:numPr>
        <w:spacing w:line="240" w:lineRule="auto"/>
        <w:ind w:left="0" w:firstLine="142"/>
      </w:pPr>
      <w:r w:rsidRPr="00B47D06">
        <w:t>Na výstavbu zariadenia sociálnych služieb podľa § 6 ods. 1 písm. d) zákona možno poskytnúť žiadateľovi podľa § 7 ods. 1 písm. b), c), f) a g) zákona úver vo výške 100 % obstarávacieho nákladu, najviac 1 200 eur na 1 m</w:t>
      </w:r>
      <w:r w:rsidRPr="00B47D06">
        <w:rPr>
          <w:vertAlign w:val="superscript"/>
        </w:rPr>
        <w:t xml:space="preserve">2 </w:t>
      </w:r>
      <w:r w:rsidRPr="00B47D06">
        <w:t xml:space="preserve">podlahovej plochy obytných miestností, príslušenstva obytných miestností a spoločných priestorov zariadení sociálnych služieb podľa § 6 ods. 7 zákona, najdlhšie na 40 rokov s ročnou úrokovou sadzbou vo výške 0,5 %. </w:t>
      </w:r>
    </w:p>
    <w:p w:rsidR="00D209EE" w:rsidRPr="00B47D06" w:rsidRDefault="00D209EE" w:rsidP="000513D2">
      <w:pPr>
        <w:numPr>
          <w:ilvl w:val="0"/>
          <w:numId w:val="33"/>
        </w:numPr>
        <w:spacing w:line="240" w:lineRule="auto"/>
        <w:ind w:left="0" w:firstLine="142"/>
      </w:pPr>
      <w:r w:rsidRPr="00B47D06">
        <w:t>Na zateplenie zariadenia sociálnych služieb podľa § 6 ods. 1 písm. e) prvého bodu zákona možno poskytnúť žiadateľovi podľa § 7 ods. 1 písm. b), c), f) a g) zákona úver vo výške 100 % obstarávacieho nákladu, najviac </w:t>
      </w:r>
      <w:r w:rsidR="00A84625">
        <w:t>200</w:t>
      </w:r>
      <w:r w:rsidRPr="00B47D06">
        <w:t xml:space="preserve"> eur na 1 m</w:t>
      </w:r>
      <w:r w:rsidRPr="00B47D06">
        <w:rPr>
          <w:vertAlign w:val="superscript"/>
        </w:rPr>
        <w:t xml:space="preserve">2 </w:t>
      </w:r>
      <w:r w:rsidRPr="00B47D06">
        <w:t>podlahovej plochy obytných miestností, príslušenstva obytných miestností a spoločných priestorov zariadení sociálnych služieb, najdlhšie na 25 rokov s ročnou úrokovou sadzbou vo výške 0,5 %.</w:t>
      </w:r>
    </w:p>
    <w:p w:rsidR="00D209EE" w:rsidRPr="00B47D06" w:rsidRDefault="00D209EE" w:rsidP="000513D2">
      <w:pPr>
        <w:numPr>
          <w:ilvl w:val="0"/>
          <w:numId w:val="33"/>
        </w:numPr>
        <w:spacing w:line="240" w:lineRule="auto"/>
        <w:ind w:left="0" w:firstLine="142"/>
      </w:pPr>
      <w:r w:rsidRPr="00B47D06">
        <w:t>Na modernizáciu zariadenia sociálnych služieb podľa § 6 ods. 1 písm. e) druhého bodu zákona možno poskytnúť žiadateľovi podľa § 7 ods. 1 písm. b), c), f) a g) zákona úver vo výške 100 % obstarávacieho nákladu, najviac 800 eur na 1 m</w:t>
      </w:r>
      <w:r w:rsidRPr="00B47D06">
        <w:rPr>
          <w:vertAlign w:val="superscript"/>
        </w:rPr>
        <w:t xml:space="preserve">2 </w:t>
      </w:r>
      <w:r w:rsidRPr="00B47D06">
        <w:t>podlahovej plochy obytných miestností, príslušenstva obytných miestností a spoločných priestorov zariadení sociálnych služieb podľa § 6 ods. 7 zákona, najdlhšie na 25 rokov s ročnou úrokovou sadzbou vo výške 0,5 %.</w:t>
      </w:r>
    </w:p>
    <w:p w:rsidR="00D209EE" w:rsidRPr="00B47D06" w:rsidRDefault="00D209EE" w:rsidP="000513D2">
      <w:pPr>
        <w:numPr>
          <w:ilvl w:val="0"/>
          <w:numId w:val="33"/>
        </w:numPr>
        <w:spacing w:line="240" w:lineRule="auto"/>
        <w:ind w:left="0" w:firstLine="142"/>
      </w:pPr>
      <w:r w:rsidRPr="00B47D06">
        <w:t>Na obstaranie technickej vybavenosti podľa § 6 ods. 1 písm. f) zákona možno poskytnúť žiadateľovi podľa § 7 ods. 1 písm. b), c), f) a g) zákona úver najdlhšie na 20 rokov s ročnou úrokovou sadzbou vo výške 1 % na</w:t>
      </w:r>
    </w:p>
    <w:p w:rsidR="00D209EE" w:rsidRPr="00CA6638" w:rsidRDefault="00D209EE" w:rsidP="000513D2">
      <w:pPr>
        <w:numPr>
          <w:ilvl w:val="0"/>
          <w:numId w:val="26"/>
        </w:numPr>
        <w:spacing w:line="240" w:lineRule="auto"/>
        <w:ind w:hanging="283"/>
      </w:pPr>
      <w:r w:rsidRPr="00B47D06">
        <w:t xml:space="preserve">verejný vodovod a vodovodnú prípojku vo výške 75 % obstarávacieho nákladu, najviac </w:t>
      </w:r>
      <w:r w:rsidR="00BA0F2C" w:rsidRPr="00CA6638">
        <w:t xml:space="preserve">1 300 </w:t>
      </w:r>
      <w:r w:rsidRPr="00CA6638">
        <w:t>eur na nájomný byt, obytnú miestnosť alebo ubytovaciu bunku,</w:t>
      </w:r>
    </w:p>
    <w:p w:rsidR="00D209EE" w:rsidRPr="00CA6638" w:rsidRDefault="00D209EE" w:rsidP="000513D2">
      <w:pPr>
        <w:numPr>
          <w:ilvl w:val="0"/>
          <w:numId w:val="26"/>
        </w:numPr>
        <w:spacing w:line="240" w:lineRule="auto"/>
        <w:ind w:hanging="283"/>
      </w:pPr>
      <w:r w:rsidRPr="00CA6638">
        <w:t>verejnú kanalizáciu a kanalizačnú prípojku vrátane čistiarne odpadových vôd vo výške 75 % obstarávacieho nákladu,</w:t>
      </w:r>
    </w:p>
    <w:p w:rsidR="00D209EE" w:rsidRPr="00CA6638" w:rsidRDefault="00D209EE" w:rsidP="000513D2">
      <w:pPr>
        <w:numPr>
          <w:ilvl w:val="1"/>
          <w:numId w:val="26"/>
        </w:numPr>
        <w:spacing w:line="240" w:lineRule="auto"/>
        <w:ind w:left="566" w:hanging="283"/>
      </w:pPr>
      <w:r w:rsidRPr="00CA6638">
        <w:t xml:space="preserve">najviac  </w:t>
      </w:r>
      <w:r w:rsidR="00BA0F2C" w:rsidRPr="00CA6638">
        <w:t xml:space="preserve">1 800 </w:t>
      </w:r>
      <w:r w:rsidRPr="00CA6638">
        <w:t>eur na nájomný byt, obytnú miestnosť alebo ubytovaciu bunku,</w:t>
      </w:r>
    </w:p>
    <w:p w:rsidR="00D209EE" w:rsidRPr="00CA6638" w:rsidRDefault="00D209EE" w:rsidP="000513D2">
      <w:pPr>
        <w:numPr>
          <w:ilvl w:val="1"/>
          <w:numId w:val="26"/>
        </w:numPr>
        <w:spacing w:line="240" w:lineRule="auto"/>
        <w:ind w:left="566" w:hanging="283"/>
      </w:pPr>
      <w:r w:rsidRPr="00CA6638">
        <w:t xml:space="preserve">najviac </w:t>
      </w:r>
      <w:r w:rsidR="001F4E18" w:rsidRPr="00CA6638">
        <w:t xml:space="preserve">20 000 </w:t>
      </w:r>
      <w:r w:rsidRPr="00CA6638">
        <w:t>eur na jednu čistiareň odpadových vôd,</w:t>
      </w:r>
    </w:p>
    <w:p w:rsidR="00D209EE" w:rsidRPr="00CA6638" w:rsidRDefault="00D209EE" w:rsidP="000513D2">
      <w:pPr>
        <w:numPr>
          <w:ilvl w:val="0"/>
          <w:numId w:val="26"/>
        </w:numPr>
        <w:spacing w:line="240" w:lineRule="auto"/>
        <w:ind w:hanging="283"/>
      </w:pPr>
      <w:r w:rsidRPr="00CA6638">
        <w:t xml:space="preserve">miestnu komunikáciu vo výške 75 % obstarávacieho nákladu, najviac </w:t>
      </w:r>
      <w:r w:rsidR="00BA0F2C" w:rsidRPr="00CA6638">
        <w:t xml:space="preserve">1 900 </w:t>
      </w:r>
      <w:r w:rsidRPr="00CA6638">
        <w:t>eur na nájomný byt, obytnú miestnosť alebo ubytovaciu bunku,</w:t>
      </w:r>
    </w:p>
    <w:p w:rsidR="00D209EE" w:rsidRPr="00B47D06" w:rsidRDefault="00D209EE" w:rsidP="000513D2">
      <w:pPr>
        <w:numPr>
          <w:ilvl w:val="0"/>
          <w:numId w:val="26"/>
        </w:numPr>
        <w:spacing w:line="240" w:lineRule="auto"/>
        <w:ind w:hanging="283"/>
      </w:pPr>
      <w:r w:rsidRPr="00CA6638">
        <w:t xml:space="preserve">odstavnú plochu vybudovanú pri obstarávanom nájomnom byte, obytnej miestnosti alebo ubytovacom dome vo výške 75 % obstarávacieho nákladu, najviac </w:t>
      </w:r>
      <w:r w:rsidR="00BA0F2C" w:rsidRPr="00CA6638">
        <w:t xml:space="preserve">1 900 </w:t>
      </w:r>
      <w:r w:rsidRPr="00CA6638">
        <w:t>eu</w:t>
      </w:r>
      <w:r w:rsidRPr="00B47D06">
        <w:t>r na nájomný byt alebo ubytovaciu bunku,</w:t>
      </w:r>
    </w:p>
    <w:p w:rsidR="00D209EE" w:rsidRPr="00B47D06" w:rsidRDefault="0084100E" w:rsidP="000513D2">
      <w:pPr>
        <w:numPr>
          <w:ilvl w:val="0"/>
          <w:numId w:val="26"/>
        </w:numPr>
        <w:spacing w:line="240" w:lineRule="auto"/>
        <w:ind w:hanging="283"/>
      </w:pPr>
      <w:r w:rsidRPr="00B47D06">
        <w:t>garážové stojisko vo výške 90 %</w:t>
      </w:r>
      <w:r w:rsidR="00D209EE" w:rsidRPr="00B47D06">
        <w:t xml:space="preserve"> obstarávacieho nákladu, najviac 6 000 eur na nájomný byt.</w:t>
      </w:r>
    </w:p>
    <w:p w:rsidR="00D209EE" w:rsidRPr="00B47D06" w:rsidRDefault="00D209EE" w:rsidP="000513D2">
      <w:pPr>
        <w:pStyle w:val="Odsekzoznamu"/>
        <w:numPr>
          <w:ilvl w:val="0"/>
          <w:numId w:val="34"/>
        </w:numPr>
        <w:spacing w:before="120" w:after="0" w:line="240" w:lineRule="auto"/>
        <w:ind w:left="0" w:firstLine="142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B47D06">
        <w:rPr>
          <w:rFonts w:ascii="Times New Roman" w:hAnsi="Times New Roman" w:cs="Times New Roman"/>
          <w:color w:val="auto"/>
          <w:sz w:val="24"/>
          <w:szCs w:val="24"/>
        </w:rPr>
        <w:t xml:space="preserve">Úver podľa odseku </w:t>
      </w:r>
      <w:r w:rsidR="00622448">
        <w:rPr>
          <w:rFonts w:ascii="Times New Roman" w:hAnsi="Times New Roman" w:cs="Times New Roman"/>
          <w:color w:val="auto"/>
          <w:sz w:val="24"/>
          <w:szCs w:val="24"/>
        </w:rPr>
        <w:t>19</w:t>
      </w:r>
      <w:r w:rsidR="00622448" w:rsidRPr="00B47D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47D06">
        <w:rPr>
          <w:rFonts w:ascii="Times New Roman" w:hAnsi="Times New Roman" w:cs="Times New Roman"/>
          <w:color w:val="auto"/>
          <w:sz w:val="24"/>
          <w:szCs w:val="24"/>
        </w:rPr>
        <w:t>sa poskytne s ročnou úrokovou sadzbou vo výške 0 %, ak sa obstaráva technická vybavenosť podmieňujúca výstavbu a užívanie nájomných bytov v najmenej rozvinutom okrese.</w:t>
      </w:r>
      <w:r w:rsidRPr="00B47D06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1)</w:t>
      </w:r>
    </w:p>
    <w:p w:rsidR="00D209EE" w:rsidRPr="00B47D06" w:rsidRDefault="00D209EE" w:rsidP="000513D2">
      <w:pPr>
        <w:numPr>
          <w:ilvl w:val="0"/>
          <w:numId w:val="34"/>
        </w:numPr>
        <w:spacing w:line="240" w:lineRule="auto"/>
        <w:ind w:left="0" w:firstLine="142"/>
      </w:pPr>
      <w:r w:rsidRPr="00B47D06">
        <w:t>Ak bolo rozhodnuté o poskytnutí dotácie na rozvoj bývania podľa osobitného predpisu,</w:t>
      </w:r>
      <w:r w:rsidRPr="00B47D06">
        <w:rPr>
          <w:vertAlign w:val="superscript"/>
        </w:rPr>
        <w:t>1a</w:t>
      </w:r>
      <w:r w:rsidRPr="00B47D06">
        <w:t>) suma poskytnutého úveru na obstaranie jednotlivých druhov technickej vybavenosti nemôže byť vyššia ako rozdiel medzi obstarávacím nákladom jednotlivých druhov technickej vybavenosti a výškou dotácie poskytnutej podľa osobitného predpisu.</w:t>
      </w:r>
      <w:r w:rsidRPr="00B47D06">
        <w:rPr>
          <w:vertAlign w:val="superscript"/>
        </w:rPr>
        <w:t>1a</w:t>
      </w:r>
      <w:r w:rsidRPr="00B47D06">
        <w:t>)</w:t>
      </w:r>
    </w:p>
    <w:p w:rsidR="00D209EE" w:rsidRPr="00B47D06" w:rsidRDefault="00D209EE" w:rsidP="000513D2">
      <w:pPr>
        <w:numPr>
          <w:ilvl w:val="0"/>
          <w:numId w:val="34"/>
        </w:numPr>
        <w:spacing w:line="240" w:lineRule="auto"/>
        <w:ind w:left="0" w:firstLine="142"/>
      </w:pPr>
      <w:r w:rsidRPr="00B47D06">
        <w:lastRenderedPageBreak/>
        <w:t xml:space="preserve">Na kúpu pozemku podľa § 6 ods. 1 písm. g) zákona možno poskytnúť žiadateľovi podľa § 7 ods. 1 písm. b), c), f) a g) zákona úver najdlhšie na 20 rokov vo výške 100 % obstarávacieho nákladu, najviac 10 000 eur na nájomný byt, obytnú miestnosť alebo ubytovaciu bunku </w:t>
      </w:r>
    </w:p>
    <w:p w:rsidR="00D209EE" w:rsidRPr="00B47D06" w:rsidRDefault="00D209EE" w:rsidP="000513D2">
      <w:pPr>
        <w:numPr>
          <w:ilvl w:val="1"/>
          <w:numId w:val="29"/>
        </w:numPr>
        <w:spacing w:line="240" w:lineRule="auto"/>
        <w:ind w:left="360" w:hanging="360"/>
      </w:pPr>
      <w:r w:rsidRPr="00B47D06">
        <w:t>s ročnou úrokovou sadzbou vo výške 1 % alebo</w:t>
      </w:r>
    </w:p>
    <w:p w:rsidR="00D209EE" w:rsidRPr="00B47D06" w:rsidRDefault="00D209EE" w:rsidP="000513D2">
      <w:pPr>
        <w:numPr>
          <w:ilvl w:val="1"/>
          <w:numId w:val="29"/>
        </w:numPr>
        <w:spacing w:line="240" w:lineRule="auto"/>
        <w:ind w:left="360" w:hanging="360"/>
      </w:pPr>
      <w:r w:rsidRPr="00B47D06">
        <w:t>s ročnou úrokovou sadzbou vo výške 0 %, ak ide o kúpu pozemku podmieňujúceho výstavbu a užívanie nájomného bytu v najmenej rozvinutom okrese.</w:t>
      </w:r>
      <w:r w:rsidRPr="00B47D06">
        <w:rPr>
          <w:vertAlign w:val="superscript"/>
        </w:rPr>
        <w:t>1</w:t>
      </w:r>
      <w:r w:rsidRPr="00B47D06">
        <w:t>)</w:t>
      </w:r>
    </w:p>
    <w:p w:rsidR="00D209EE" w:rsidRPr="00B47D06" w:rsidRDefault="00D209EE" w:rsidP="000513D2">
      <w:pPr>
        <w:spacing w:line="240" w:lineRule="auto"/>
        <w:ind w:left="-17" w:firstLine="227"/>
      </w:pPr>
      <w:r w:rsidRPr="00B47D06">
        <w:t>(2</w:t>
      </w:r>
      <w:r w:rsidR="000513D2" w:rsidRPr="00B47D06">
        <w:t>3</w:t>
      </w:r>
      <w:r w:rsidRPr="00B47D06">
        <w:t>) Na obstaranie ubytovacieho domu podľa § 6 ods. 1 písm. h) zákona možno poskytnúť žiadateľovi podľa § 7 ods. 1 písm. b), c) a g) zákona úver vo výške 95 % obstarávacieho nákladu, najviac 1 000 eur na 1 m</w:t>
      </w:r>
      <w:r w:rsidRPr="00B47D06">
        <w:rPr>
          <w:vertAlign w:val="superscript"/>
        </w:rPr>
        <w:t xml:space="preserve">2 </w:t>
      </w:r>
      <w:r w:rsidRPr="00B47D06">
        <w:t>podlahovej plochy ubytovacej bunky, najdlhšie na 30 rokov s ročnou úrokovou sadzbou vo výške 1 %.</w:t>
      </w:r>
      <w:r w:rsidR="00364F1E" w:rsidRPr="00B47D06">
        <w:t>“.</w:t>
      </w:r>
    </w:p>
    <w:p w:rsidR="00505EF6" w:rsidRPr="00B47D06" w:rsidRDefault="006D3490" w:rsidP="007B0C9F">
      <w:pPr>
        <w:pStyle w:val="tlnovelizanbod"/>
        <w:numPr>
          <w:ilvl w:val="0"/>
          <w:numId w:val="1"/>
        </w:numPr>
        <w:ind w:left="567" w:hanging="567"/>
      </w:pPr>
      <w:r w:rsidRPr="00B47D06">
        <w:t xml:space="preserve">V § 3 ods. 1 </w:t>
      </w:r>
      <w:r w:rsidR="00364F1E" w:rsidRPr="00B47D06">
        <w:t xml:space="preserve">písm. a) sa </w:t>
      </w:r>
      <w:r w:rsidRPr="00B47D06">
        <w:t xml:space="preserve">vypúšťajú </w:t>
      </w:r>
      <w:r w:rsidR="00364F1E" w:rsidRPr="00B47D06">
        <w:t>slová „nie starším ako tri mesiace,“.</w:t>
      </w:r>
      <w:r w:rsidR="00555A23" w:rsidRPr="00B47D06">
        <w:t xml:space="preserve"> </w:t>
      </w:r>
    </w:p>
    <w:p w:rsidR="00364F1E" w:rsidRPr="00B47D06" w:rsidRDefault="00364F1E" w:rsidP="007B0C9F">
      <w:pPr>
        <w:pStyle w:val="tlnovelizanbod"/>
        <w:numPr>
          <w:ilvl w:val="0"/>
          <w:numId w:val="1"/>
        </w:numPr>
        <w:ind w:left="567" w:hanging="567"/>
      </w:pPr>
      <w:r w:rsidRPr="00B47D06">
        <w:t xml:space="preserve">V § 3 ods. 1 </w:t>
      </w:r>
      <w:r w:rsidR="005210F5">
        <w:t>s</w:t>
      </w:r>
      <w:r w:rsidRPr="00B47D06">
        <w:t>a za písm</w:t>
      </w:r>
      <w:r w:rsidR="003E56DB" w:rsidRPr="00B47D06">
        <w:t>eno</w:t>
      </w:r>
      <w:r w:rsidRPr="00B47D06">
        <w:t xml:space="preserve"> a) vkladá nové písmeno b), ktoré znie:</w:t>
      </w:r>
    </w:p>
    <w:p w:rsidR="00364F1E" w:rsidRPr="00B47D06" w:rsidRDefault="00364F1E" w:rsidP="00364F1E">
      <w:pPr>
        <w:pStyle w:val="tlnovelizanbod"/>
        <w:ind w:left="1134"/>
      </w:pPr>
      <w:r w:rsidRPr="00B47D06">
        <w:t>„b) čestným vyhlásením žiadateľa, že nie je v nútenej správe,“.</w:t>
      </w:r>
    </w:p>
    <w:p w:rsidR="006D3490" w:rsidRPr="00B47D06" w:rsidRDefault="0018300D" w:rsidP="006D3490">
      <w:pPr>
        <w:pStyle w:val="tlnovelizanbod"/>
        <w:ind w:left="0" w:firstLine="567"/>
      </w:pPr>
      <w:r w:rsidRPr="00B47D06">
        <w:t>Doterajšie písmená</w:t>
      </w:r>
      <w:r w:rsidR="006D3490" w:rsidRPr="00B47D06">
        <w:t xml:space="preserve"> </w:t>
      </w:r>
      <w:r w:rsidR="00364F1E" w:rsidRPr="00B47D06">
        <w:t>b</w:t>
      </w:r>
      <w:r w:rsidR="009F2869" w:rsidRPr="00B47D06">
        <w:t>)</w:t>
      </w:r>
      <w:r w:rsidRPr="00B47D06">
        <w:t xml:space="preserve"> </w:t>
      </w:r>
      <w:r w:rsidR="00364F1E" w:rsidRPr="00B47D06">
        <w:t>až d</w:t>
      </w:r>
      <w:r w:rsidR="009F2869" w:rsidRPr="00B47D06">
        <w:t>)</w:t>
      </w:r>
      <w:r w:rsidR="006D3490" w:rsidRPr="00B47D06">
        <w:t xml:space="preserve"> sa označuj</w:t>
      </w:r>
      <w:r w:rsidRPr="00B47D06">
        <w:t>ú ako písmená</w:t>
      </w:r>
      <w:r w:rsidR="006D3490" w:rsidRPr="00B47D06">
        <w:t xml:space="preserve"> c</w:t>
      </w:r>
      <w:r w:rsidR="009F2869" w:rsidRPr="00B47D06">
        <w:t>)</w:t>
      </w:r>
      <w:r w:rsidR="00364F1E" w:rsidRPr="00B47D06">
        <w:t xml:space="preserve"> a</w:t>
      </w:r>
      <w:r w:rsidR="003E56DB" w:rsidRPr="00B47D06">
        <w:t>ž</w:t>
      </w:r>
      <w:r w:rsidR="00364F1E" w:rsidRPr="00B47D06">
        <w:t> e</w:t>
      </w:r>
      <w:r w:rsidR="009F2869" w:rsidRPr="00B47D06">
        <w:t>)</w:t>
      </w:r>
      <w:r w:rsidR="006D3490" w:rsidRPr="00B47D06">
        <w:t>.</w:t>
      </w:r>
    </w:p>
    <w:p w:rsidR="003D1FAF" w:rsidRPr="00B47D06" w:rsidRDefault="003D1FAF" w:rsidP="007B0C9F">
      <w:pPr>
        <w:pStyle w:val="tlnovelizanbod"/>
        <w:numPr>
          <w:ilvl w:val="0"/>
          <w:numId w:val="1"/>
        </w:numPr>
        <w:ind w:left="567" w:hanging="567"/>
      </w:pPr>
      <w:r w:rsidRPr="00B47D06">
        <w:t xml:space="preserve">V § </w:t>
      </w:r>
      <w:r w:rsidR="003E56DB" w:rsidRPr="00B47D06">
        <w:t>5</w:t>
      </w:r>
      <w:r w:rsidRPr="00B47D06">
        <w:t xml:space="preserve"> ods. 5 </w:t>
      </w:r>
      <w:r w:rsidR="003E56DB" w:rsidRPr="00B47D06">
        <w:t>sa za písmeno d) vkladá nové písmeno</w:t>
      </w:r>
      <w:r w:rsidRPr="00B47D06">
        <w:t xml:space="preserve"> e</w:t>
      </w:r>
      <w:r w:rsidR="009F2869" w:rsidRPr="00B47D06">
        <w:t>)</w:t>
      </w:r>
      <w:r w:rsidR="003E56DB" w:rsidRPr="00B47D06">
        <w:t>, ktoré znie:</w:t>
      </w:r>
    </w:p>
    <w:p w:rsidR="003E56DB" w:rsidRPr="00B47D06" w:rsidRDefault="003E56DB" w:rsidP="003E56DB">
      <w:pPr>
        <w:pStyle w:val="tlnovelizanbod"/>
        <w:ind w:left="1134"/>
      </w:pPr>
      <w:r w:rsidRPr="00B47D06">
        <w:t>„e) záväzok žiadateľa, že v rozpočte vyčlení finančné prostriedky na splácanie úveru počas trvania zmluvného vzťahu,“.</w:t>
      </w:r>
    </w:p>
    <w:p w:rsidR="003E56DB" w:rsidRPr="00B47D06" w:rsidRDefault="003E56DB" w:rsidP="003E56DB">
      <w:pPr>
        <w:pStyle w:val="tlnovelizanbod"/>
        <w:ind w:left="0" w:firstLine="567"/>
      </w:pPr>
      <w:r w:rsidRPr="00B47D06">
        <w:t>Doterajšie písmená e) a f) sa označujú ako písmená f) a g).</w:t>
      </w:r>
    </w:p>
    <w:p w:rsidR="006963F9" w:rsidRPr="00B47D06" w:rsidRDefault="006963F9" w:rsidP="007B0C9F">
      <w:pPr>
        <w:pStyle w:val="tlnovelizanbod"/>
        <w:numPr>
          <w:ilvl w:val="0"/>
          <w:numId w:val="1"/>
        </w:numPr>
        <w:ind w:left="567" w:hanging="567"/>
      </w:pPr>
      <w:r w:rsidRPr="00B47D06">
        <w:t>V § 6 ods. 1 písm. e</w:t>
      </w:r>
      <w:r w:rsidR="009F2869" w:rsidRPr="00B47D06">
        <w:t>)</w:t>
      </w:r>
      <w:r w:rsidRPr="00B47D06">
        <w:t xml:space="preserve"> sa </w:t>
      </w:r>
      <w:r w:rsidR="003E56DB" w:rsidRPr="00B47D06">
        <w:t>slová „obstarávacia cena</w:t>
      </w:r>
      <w:r w:rsidRPr="00B47D06">
        <w:t>“ nahrádza</w:t>
      </w:r>
      <w:r w:rsidR="000D023A" w:rsidRPr="00B47D06">
        <w:t>jú</w:t>
      </w:r>
      <w:r w:rsidRPr="00B47D06">
        <w:t xml:space="preserve"> </w:t>
      </w:r>
      <w:r w:rsidR="003E56DB" w:rsidRPr="00B47D06">
        <w:t>slov</w:t>
      </w:r>
      <w:r w:rsidR="000D023A" w:rsidRPr="00B47D06">
        <w:t>a</w:t>
      </w:r>
      <w:r w:rsidR="003E56DB" w:rsidRPr="00B47D06">
        <w:t>m</w:t>
      </w:r>
      <w:r w:rsidR="000D023A" w:rsidRPr="00B47D06">
        <w:t>i</w:t>
      </w:r>
      <w:r w:rsidR="003E56DB" w:rsidRPr="00B47D06">
        <w:t xml:space="preserve"> </w:t>
      </w:r>
      <w:r w:rsidRPr="00B47D06">
        <w:t>„</w:t>
      </w:r>
      <w:r w:rsidR="003E56DB" w:rsidRPr="00B47D06">
        <w:t>obstarávací náklad</w:t>
      </w:r>
      <w:r w:rsidRPr="00B47D06">
        <w:t>“.</w:t>
      </w:r>
    </w:p>
    <w:p w:rsidR="007B0C9F" w:rsidRPr="00B47D06" w:rsidRDefault="007B0C9F" w:rsidP="007B0C9F">
      <w:pPr>
        <w:pStyle w:val="tlnovelizanbod"/>
        <w:numPr>
          <w:ilvl w:val="0"/>
          <w:numId w:val="1"/>
        </w:numPr>
        <w:ind w:left="567" w:hanging="567"/>
      </w:pPr>
      <w:r w:rsidRPr="00B47D06">
        <w:t>V § 6 ods. 1 písm</w:t>
      </w:r>
      <w:r w:rsidR="00D33917">
        <w:t>.</w:t>
      </w:r>
      <w:r w:rsidRPr="00B47D06">
        <w:t xml:space="preserve"> h</w:t>
      </w:r>
      <w:r w:rsidR="009F2869" w:rsidRPr="00B47D06">
        <w:t>)</w:t>
      </w:r>
      <w:r w:rsidR="00D33917">
        <w:t xml:space="preserve"> sa</w:t>
      </w:r>
      <w:r w:rsidR="003E56DB" w:rsidRPr="00B47D06">
        <w:t xml:space="preserve"> za slovo „buniek“ vkladajú slová „s uvedením celkovej plochy ubytovacích buniek, príslušenstva a spoločných priestorov“.</w:t>
      </w:r>
    </w:p>
    <w:p w:rsidR="007B0C9F" w:rsidRPr="00B47D06" w:rsidRDefault="000D023A" w:rsidP="007B0C9F">
      <w:pPr>
        <w:pStyle w:val="tlnovelizanbod"/>
        <w:numPr>
          <w:ilvl w:val="0"/>
          <w:numId w:val="1"/>
        </w:numPr>
        <w:ind w:left="567" w:hanging="567"/>
      </w:pPr>
      <w:r w:rsidRPr="00B47D06">
        <w:t xml:space="preserve">V § 6 ods. 2 písm. g) </w:t>
      </w:r>
      <w:r w:rsidR="007B0C9F" w:rsidRPr="00B47D06">
        <w:t>sa slová „</w:t>
      </w:r>
      <w:r w:rsidRPr="00B47D06">
        <w:t>obstarávacej cene</w:t>
      </w:r>
      <w:r w:rsidR="007B0C9F" w:rsidRPr="00B47D06">
        <w:t xml:space="preserve">“ </w:t>
      </w:r>
      <w:r w:rsidRPr="00B47D06">
        <w:t xml:space="preserve">nahrádzajú slovami „obstarávacom náklade“. </w:t>
      </w:r>
    </w:p>
    <w:p w:rsidR="000D023A" w:rsidRPr="00B47D06" w:rsidRDefault="000D023A" w:rsidP="000D023A">
      <w:pPr>
        <w:pStyle w:val="tlnovelizanbod"/>
        <w:numPr>
          <w:ilvl w:val="0"/>
          <w:numId w:val="1"/>
        </w:numPr>
        <w:ind w:left="567" w:hanging="567"/>
      </w:pPr>
      <w:r w:rsidRPr="00B47D06">
        <w:t xml:space="preserve">V § 6 ods. 2 písm. h) sa slová „obstarávacej ceny“ nahrádzajú slovami „obstarávacieho nákladu“. </w:t>
      </w:r>
    </w:p>
    <w:p w:rsidR="000D023A" w:rsidRPr="00B47D06" w:rsidRDefault="00C066BC" w:rsidP="007B0C9F">
      <w:pPr>
        <w:pStyle w:val="tlnovelizanbod"/>
        <w:numPr>
          <w:ilvl w:val="0"/>
          <w:numId w:val="1"/>
        </w:numPr>
        <w:ind w:left="567" w:hanging="567"/>
      </w:pPr>
      <w:r w:rsidRPr="00B47D06">
        <w:t>V § 6 ods. 2 písm. i) druhý bod znie:</w:t>
      </w:r>
    </w:p>
    <w:p w:rsidR="00C066BC" w:rsidRPr="00B47D06" w:rsidRDefault="00C066BC" w:rsidP="00C066BC">
      <w:pPr>
        <w:spacing w:line="240" w:lineRule="auto"/>
        <w:ind w:left="663"/>
      </w:pPr>
      <w:r w:rsidRPr="00B47D06">
        <w:t>„2. stavebné výkresy súčasného stavu, ak ide o účely podľa § 6 ods. 1 písm. b) tretieho bodu a štvrtého bodu alebo písm. d) a h) zákona, ak ide o stavebnú úpravu bytovej budovy alebo nebytovej budovy,“.</w:t>
      </w:r>
    </w:p>
    <w:p w:rsidR="000D023A" w:rsidRPr="00B47D06" w:rsidRDefault="00C066BC" w:rsidP="007B0C9F">
      <w:pPr>
        <w:pStyle w:val="tlnovelizanbod"/>
        <w:numPr>
          <w:ilvl w:val="0"/>
          <w:numId w:val="1"/>
        </w:numPr>
        <w:ind w:left="567" w:hanging="567"/>
      </w:pPr>
      <w:r w:rsidRPr="00B47D06">
        <w:t>V § 6 ods. 2 sa vypúšťa písmeno t).</w:t>
      </w:r>
    </w:p>
    <w:p w:rsidR="00C066BC" w:rsidRPr="00B47D06" w:rsidRDefault="00C066BC" w:rsidP="00C066BC">
      <w:pPr>
        <w:pStyle w:val="tlnovelizanbod"/>
        <w:ind w:firstLine="0"/>
      </w:pPr>
      <w:r w:rsidRPr="00B47D06">
        <w:t>Doterajšie písmená u) až w) sa označujú ako písmená t) až v).</w:t>
      </w:r>
    </w:p>
    <w:p w:rsidR="00C066BC" w:rsidRPr="00B47D06" w:rsidRDefault="007F2607" w:rsidP="007B0C9F">
      <w:pPr>
        <w:pStyle w:val="tlnovelizanbod"/>
        <w:numPr>
          <w:ilvl w:val="0"/>
          <w:numId w:val="1"/>
        </w:numPr>
        <w:ind w:left="567" w:hanging="567"/>
      </w:pPr>
      <w:r w:rsidRPr="00B47D06">
        <w:t>V § 7 odsek 5 znie:</w:t>
      </w:r>
    </w:p>
    <w:p w:rsidR="007F2607" w:rsidRPr="00B47D06" w:rsidRDefault="007F2607" w:rsidP="00D4757D">
      <w:pPr>
        <w:spacing w:line="240" w:lineRule="auto"/>
        <w:ind w:left="426" w:firstLine="141"/>
      </w:pPr>
      <w:r w:rsidRPr="00B47D06">
        <w:t>„(5) Prílohou k žiadosti žiadateľa podľa § 7 ods. 1 písm. b) a c) zákona je doklad o tvorbe fondu prevádzky, údržby a opráv v bytovom dome ku dňu podania žiadosti, ak ide o účel podľa § 6 ods. 1 písm. c) zákona.“.</w:t>
      </w:r>
    </w:p>
    <w:p w:rsidR="007F2607" w:rsidRPr="00B47D06" w:rsidRDefault="00763ECE" w:rsidP="007B0C9F">
      <w:pPr>
        <w:pStyle w:val="tlnovelizanbod"/>
        <w:numPr>
          <w:ilvl w:val="0"/>
          <w:numId w:val="1"/>
        </w:numPr>
        <w:ind w:left="567" w:hanging="567"/>
      </w:pPr>
      <w:r w:rsidRPr="00B47D06">
        <w:lastRenderedPageBreak/>
        <w:t>V § 7 ods. 7 písm. b) sa na konc</w:t>
      </w:r>
      <w:r w:rsidR="0082533A">
        <w:t>i pripájajú slová „podľa vzoru u</w:t>
      </w:r>
      <w:r w:rsidRPr="00B47D06">
        <w:t>verejnenom n</w:t>
      </w:r>
      <w:r w:rsidR="00030F95">
        <w:t>a</w:t>
      </w:r>
      <w:r w:rsidR="00D33917">
        <w:t xml:space="preserve"> webovom sídle fondu</w:t>
      </w:r>
      <w:r w:rsidRPr="00B47D06">
        <w:t>“.</w:t>
      </w:r>
    </w:p>
    <w:p w:rsidR="00F34C43" w:rsidRPr="00B47D06" w:rsidRDefault="00F34C43" w:rsidP="007B0C9F">
      <w:pPr>
        <w:spacing w:line="240" w:lineRule="auto"/>
        <w:ind w:left="284" w:hanging="284"/>
        <w:rPr>
          <w:szCs w:val="24"/>
        </w:rPr>
      </w:pPr>
    </w:p>
    <w:p w:rsidR="00F34C43" w:rsidRPr="00B47D06" w:rsidRDefault="00F34C43" w:rsidP="007B0C9F">
      <w:pPr>
        <w:spacing w:line="240" w:lineRule="auto"/>
        <w:ind w:left="284" w:hanging="284"/>
        <w:rPr>
          <w:szCs w:val="24"/>
        </w:rPr>
      </w:pPr>
    </w:p>
    <w:p w:rsidR="007B0C9F" w:rsidRPr="00B47D06" w:rsidRDefault="007B0C9F" w:rsidP="007B0C9F">
      <w:pPr>
        <w:spacing w:line="240" w:lineRule="auto"/>
        <w:ind w:left="426" w:hanging="426"/>
        <w:jc w:val="center"/>
        <w:rPr>
          <w:szCs w:val="24"/>
        </w:rPr>
      </w:pPr>
      <w:r w:rsidRPr="00B47D06">
        <w:rPr>
          <w:szCs w:val="24"/>
        </w:rPr>
        <w:t>Čl. II</w:t>
      </w:r>
    </w:p>
    <w:p w:rsidR="007B0C9F" w:rsidRPr="00B47D06" w:rsidRDefault="007B0C9F" w:rsidP="007B0C9F">
      <w:pPr>
        <w:spacing w:line="240" w:lineRule="auto"/>
        <w:ind w:left="426" w:hanging="426"/>
        <w:rPr>
          <w:szCs w:val="24"/>
        </w:rPr>
      </w:pPr>
      <w:r w:rsidRPr="00B47D06">
        <w:rPr>
          <w:szCs w:val="24"/>
        </w:rPr>
        <w:t>Táto vyhláška nadobúda účinnosť 1. januára 202</w:t>
      </w:r>
      <w:r w:rsidR="000D023A" w:rsidRPr="00B47D06">
        <w:rPr>
          <w:szCs w:val="24"/>
        </w:rPr>
        <w:t>1</w:t>
      </w:r>
      <w:r w:rsidRPr="00B47D06">
        <w:rPr>
          <w:szCs w:val="24"/>
        </w:rPr>
        <w:t xml:space="preserve">. </w:t>
      </w:r>
    </w:p>
    <w:p w:rsidR="007B0C9F" w:rsidRPr="00B47D06" w:rsidRDefault="007B0C9F" w:rsidP="007B0C9F">
      <w:pPr>
        <w:spacing w:before="0" w:after="60"/>
        <w:jc w:val="center"/>
      </w:pPr>
    </w:p>
    <w:p w:rsidR="007B0C9F" w:rsidRPr="00B47D06" w:rsidRDefault="007B0C9F" w:rsidP="007B0C9F">
      <w:pPr>
        <w:spacing w:before="0" w:after="60"/>
        <w:jc w:val="center"/>
      </w:pPr>
    </w:p>
    <w:p w:rsidR="007B0C9F" w:rsidRPr="00B47D06" w:rsidRDefault="000D023A" w:rsidP="007B0C9F">
      <w:pPr>
        <w:spacing w:before="0" w:after="60"/>
        <w:jc w:val="center"/>
      </w:pPr>
      <w:r w:rsidRPr="00B47D06">
        <w:t>Andrej Doležal</w:t>
      </w:r>
    </w:p>
    <w:p w:rsidR="007B0C9F" w:rsidRPr="00B47D06" w:rsidRDefault="007B0C9F" w:rsidP="00D934B5">
      <w:pPr>
        <w:spacing w:before="0" w:after="60" w:line="240" w:lineRule="auto"/>
        <w:jc w:val="center"/>
      </w:pPr>
      <w:r w:rsidRPr="00B47D06">
        <w:t>minister</w:t>
      </w:r>
      <w:r w:rsidR="00D934B5" w:rsidRPr="00B47D06">
        <w:t xml:space="preserve"> dopravy a výstavby</w:t>
      </w:r>
    </w:p>
    <w:p w:rsidR="00D934B5" w:rsidRPr="00B47D06" w:rsidRDefault="00D934B5" w:rsidP="00D934B5">
      <w:pPr>
        <w:spacing w:before="0" w:after="60" w:line="240" w:lineRule="auto"/>
        <w:jc w:val="center"/>
        <w:rPr>
          <w:szCs w:val="24"/>
        </w:rPr>
      </w:pPr>
      <w:r w:rsidRPr="00B47D06">
        <w:t>Slovenskej republiky</w:t>
      </w:r>
    </w:p>
    <w:p w:rsidR="00E2539C" w:rsidRPr="00B47D06" w:rsidRDefault="00E2539C">
      <w:pPr>
        <w:spacing w:before="0" w:after="60"/>
        <w:jc w:val="center"/>
        <w:rPr>
          <w:szCs w:val="24"/>
        </w:rPr>
      </w:pPr>
    </w:p>
    <w:sectPr w:rsidR="00E2539C" w:rsidRPr="00B47D06" w:rsidSect="00F45315">
      <w:footerReference w:type="even" r:id="rId8"/>
      <w:footerReference w:type="default" r:id="rId9"/>
      <w:pgSz w:w="11906" w:h="16838" w:code="9"/>
      <w:pgMar w:top="1417" w:right="991" w:bottom="851" w:left="1418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FF2" w:rsidRDefault="00534FF2">
      <w:pPr>
        <w:spacing w:before="0" w:line="240" w:lineRule="auto"/>
      </w:pPr>
      <w:r>
        <w:separator/>
      </w:r>
    </w:p>
  </w:endnote>
  <w:endnote w:type="continuationSeparator" w:id="0">
    <w:p w:rsidR="00534FF2" w:rsidRDefault="00534FF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361" w:rsidRDefault="0071636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16361" w:rsidRDefault="0071636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361" w:rsidRDefault="0071636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84625">
      <w:rPr>
        <w:rStyle w:val="slostrany"/>
        <w:noProof/>
      </w:rPr>
      <w:t>2</w:t>
    </w:r>
    <w:r>
      <w:rPr>
        <w:rStyle w:val="slostrany"/>
      </w:rPr>
      <w:fldChar w:fldCharType="end"/>
    </w:r>
  </w:p>
  <w:p w:rsidR="00716361" w:rsidRDefault="00716361">
    <w:pPr>
      <w:pStyle w:val="Pta"/>
      <w:framePr w:wrap="auto" w:vAnchor="text" w:hAnchor="margin" w:xAlign="center" w:y="1"/>
      <w:rPr>
        <w:rStyle w:val="slostrany"/>
      </w:rPr>
    </w:pPr>
  </w:p>
  <w:p w:rsidR="00716361" w:rsidRDefault="0071636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FF2" w:rsidRDefault="00534FF2">
      <w:pPr>
        <w:spacing w:before="0" w:line="240" w:lineRule="auto"/>
      </w:pPr>
      <w:r>
        <w:separator/>
      </w:r>
    </w:p>
  </w:footnote>
  <w:footnote w:type="continuationSeparator" w:id="0">
    <w:p w:rsidR="00534FF2" w:rsidRDefault="00534FF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140"/>
    <w:multiLevelType w:val="hybridMultilevel"/>
    <w:tmpl w:val="4F109166"/>
    <w:lvl w:ilvl="0" w:tplc="7EE6A602">
      <w:start w:val="3"/>
      <w:numFmt w:val="decimal"/>
      <w:lvlText w:val="(%1)"/>
      <w:lvlJc w:val="left"/>
      <w:pPr>
        <w:ind w:left="567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355858"/>
    <w:multiLevelType w:val="hybridMultilevel"/>
    <w:tmpl w:val="CC0ED5EC"/>
    <w:lvl w:ilvl="0" w:tplc="6C404328">
      <w:start w:val="1"/>
      <w:numFmt w:val="lowerLetter"/>
      <w:lvlText w:val="%1)"/>
      <w:lvlJc w:val="left"/>
      <w:pPr>
        <w:ind w:left="2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D660BA1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CD0E2638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A67680B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5C22DDB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0D4EE84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5BAC52A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909E67E0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625E39B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" w15:restartNumberingAfterBreak="0">
    <w:nsid w:val="08DC19C7"/>
    <w:multiLevelType w:val="hybridMultilevel"/>
    <w:tmpl w:val="3E886FBA"/>
    <w:lvl w:ilvl="0" w:tplc="94C85254">
      <w:start w:val="1"/>
      <w:numFmt w:val="lowerLetter"/>
      <w:lvlText w:val="%1)"/>
      <w:lvlJc w:val="left"/>
      <w:pPr>
        <w:ind w:left="2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2A64AE9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AC36290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47C832D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1A849C9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C1EA60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0962757E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D526C9B0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F42CDF7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" w15:restartNumberingAfterBreak="0">
    <w:nsid w:val="0C1408C8"/>
    <w:multiLevelType w:val="hybridMultilevel"/>
    <w:tmpl w:val="FDBEF584"/>
    <w:lvl w:ilvl="0" w:tplc="15EA0BA4">
      <w:start w:val="1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E16546"/>
    <w:multiLevelType w:val="hybridMultilevel"/>
    <w:tmpl w:val="017A20A4"/>
    <w:lvl w:ilvl="0" w:tplc="4708772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5BD2878"/>
    <w:multiLevelType w:val="hybridMultilevel"/>
    <w:tmpl w:val="5F1AE2BE"/>
    <w:lvl w:ilvl="0" w:tplc="56BCFD88">
      <w:start w:val="1"/>
      <w:numFmt w:val="lowerLetter"/>
      <w:lvlText w:val="%1)"/>
      <w:lvlJc w:val="left"/>
      <w:pPr>
        <w:ind w:left="2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6EE34D4">
      <w:start w:val="3"/>
      <w:numFmt w:val="decimal"/>
      <w:lvlText w:val="(%2)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FDF8956C">
      <w:start w:val="1"/>
      <w:numFmt w:val="lowerRoman"/>
      <w:lvlText w:val="%3"/>
      <w:lvlJc w:val="left"/>
      <w:pPr>
        <w:ind w:left="1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FE964CA6">
      <w:start w:val="1"/>
      <w:numFmt w:val="decimal"/>
      <w:lvlText w:val="%4"/>
      <w:lvlJc w:val="left"/>
      <w:pPr>
        <w:ind w:left="2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D1A2B298">
      <w:start w:val="1"/>
      <w:numFmt w:val="lowerLetter"/>
      <w:lvlText w:val="%5"/>
      <w:lvlJc w:val="left"/>
      <w:pPr>
        <w:ind w:left="2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017EBA4A">
      <w:start w:val="1"/>
      <w:numFmt w:val="lowerRoman"/>
      <w:lvlText w:val="%6"/>
      <w:lvlJc w:val="left"/>
      <w:pPr>
        <w:ind w:left="3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47923BA6">
      <w:start w:val="1"/>
      <w:numFmt w:val="decimal"/>
      <w:lvlText w:val="%7"/>
      <w:lvlJc w:val="left"/>
      <w:pPr>
        <w:ind w:left="4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982EC2FA">
      <w:start w:val="1"/>
      <w:numFmt w:val="lowerLetter"/>
      <w:lvlText w:val="%8"/>
      <w:lvlJc w:val="left"/>
      <w:pPr>
        <w:ind w:left="49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7EFAD422">
      <w:start w:val="1"/>
      <w:numFmt w:val="lowerRoman"/>
      <w:lvlText w:val="%9"/>
      <w:lvlJc w:val="left"/>
      <w:pPr>
        <w:ind w:left="56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6" w15:restartNumberingAfterBreak="0">
    <w:nsid w:val="1D335804"/>
    <w:multiLevelType w:val="hybridMultilevel"/>
    <w:tmpl w:val="325ECC2A"/>
    <w:lvl w:ilvl="0" w:tplc="DF6853B8">
      <w:start w:val="6"/>
      <w:numFmt w:val="decimal"/>
      <w:lvlText w:val="(%1)"/>
      <w:lvlJc w:val="left"/>
      <w:pPr>
        <w:ind w:left="851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C00E2F"/>
    <w:multiLevelType w:val="hybridMultilevel"/>
    <w:tmpl w:val="CD72062C"/>
    <w:lvl w:ilvl="0" w:tplc="21121CEC">
      <w:start w:val="1"/>
      <w:numFmt w:val="lowerLetter"/>
      <w:lvlText w:val="%1)"/>
      <w:lvlJc w:val="left"/>
      <w:pPr>
        <w:ind w:left="2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10D6650C">
      <w:start w:val="1"/>
      <w:numFmt w:val="decimal"/>
      <w:lvlText w:val="%2."/>
      <w:lvlJc w:val="left"/>
      <w:pPr>
        <w:ind w:left="5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C5421A2">
      <w:start w:val="1"/>
      <w:numFmt w:val="lowerRoman"/>
      <w:lvlText w:val="%3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BE0FD8A">
      <w:start w:val="1"/>
      <w:numFmt w:val="decimal"/>
      <w:lvlText w:val="%4"/>
      <w:lvlJc w:val="left"/>
      <w:pPr>
        <w:ind w:left="20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455AE120">
      <w:start w:val="1"/>
      <w:numFmt w:val="lowerLetter"/>
      <w:lvlText w:val="%5"/>
      <w:lvlJc w:val="left"/>
      <w:pPr>
        <w:ind w:left="28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0D64FB4A">
      <w:start w:val="1"/>
      <w:numFmt w:val="lowerRoman"/>
      <w:lvlText w:val="%6"/>
      <w:lvlJc w:val="left"/>
      <w:pPr>
        <w:ind w:left="35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F5822DBA">
      <w:start w:val="1"/>
      <w:numFmt w:val="decimal"/>
      <w:lvlText w:val="%7"/>
      <w:lvlJc w:val="left"/>
      <w:pPr>
        <w:ind w:left="42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C3763774">
      <w:start w:val="1"/>
      <w:numFmt w:val="lowerLetter"/>
      <w:lvlText w:val="%8"/>
      <w:lvlJc w:val="left"/>
      <w:pPr>
        <w:ind w:left="49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E8386840">
      <w:start w:val="1"/>
      <w:numFmt w:val="lowerRoman"/>
      <w:lvlText w:val="%9"/>
      <w:lvlJc w:val="left"/>
      <w:pPr>
        <w:ind w:left="56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8" w15:restartNumberingAfterBreak="0">
    <w:nsid w:val="1DE45CB8"/>
    <w:multiLevelType w:val="hybridMultilevel"/>
    <w:tmpl w:val="5A7E0276"/>
    <w:lvl w:ilvl="0" w:tplc="2A4E7D6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E7CCFD44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  <w:color w:val="auto"/>
      </w:rPr>
    </w:lvl>
    <w:lvl w:ilvl="2" w:tplc="EFE4803C">
      <w:start w:val="12"/>
      <w:numFmt w:val="decimal"/>
      <w:lvlText w:val="%3"/>
      <w:lvlJc w:val="left"/>
      <w:pPr>
        <w:ind w:left="270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1050435"/>
    <w:multiLevelType w:val="hybridMultilevel"/>
    <w:tmpl w:val="45B82D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D44D7F"/>
    <w:multiLevelType w:val="hybridMultilevel"/>
    <w:tmpl w:val="2DDCCC3E"/>
    <w:lvl w:ilvl="0" w:tplc="05F6E848">
      <w:start w:val="20"/>
      <w:numFmt w:val="decimal"/>
      <w:lvlText w:val="(%1)"/>
      <w:lvlJc w:val="left"/>
      <w:pPr>
        <w:ind w:left="567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CA426E"/>
    <w:multiLevelType w:val="hybridMultilevel"/>
    <w:tmpl w:val="284C5334"/>
    <w:lvl w:ilvl="0" w:tplc="6D748728">
      <w:start w:val="1"/>
      <w:numFmt w:val="lowerLetter"/>
      <w:lvlText w:val="%1)"/>
      <w:lvlJc w:val="left"/>
      <w:pPr>
        <w:ind w:left="2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385C7884">
      <w:start w:val="13"/>
      <w:numFmt w:val="decimal"/>
      <w:lvlText w:val="(%2)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D01A2C56">
      <w:start w:val="1"/>
      <w:numFmt w:val="lowerRoman"/>
      <w:lvlText w:val="%3"/>
      <w:lvlJc w:val="left"/>
      <w:pPr>
        <w:ind w:left="1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3784374C">
      <w:start w:val="1"/>
      <w:numFmt w:val="decimal"/>
      <w:lvlText w:val="%4"/>
      <w:lvlJc w:val="left"/>
      <w:pPr>
        <w:ind w:left="2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AE58D804">
      <w:start w:val="1"/>
      <w:numFmt w:val="lowerLetter"/>
      <w:lvlText w:val="%5"/>
      <w:lvlJc w:val="left"/>
      <w:pPr>
        <w:ind w:left="2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C6068D22">
      <w:start w:val="1"/>
      <w:numFmt w:val="lowerRoman"/>
      <w:lvlText w:val="%6"/>
      <w:lvlJc w:val="left"/>
      <w:pPr>
        <w:ind w:left="3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F1840088">
      <w:start w:val="1"/>
      <w:numFmt w:val="decimal"/>
      <w:lvlText w:val="%7"/>
      <w:lvlJc w:val="left"/>
      <w:pPr>
        <w:ind w:left="4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BC8A68E2">
      <w:start w:val="1"/>
      <w:numFmt w:val="lowerLetter"/>
      <w:lvlText w:val="%8"/>
      <w:lvlJc w:val="left"/>
      <w:pPr>
        <w:ind w:left="49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455A0F7C">
      <w:start w:val="1"/>
      <w:numFmt w:val="lowerRoman"/>
      <w:lvlText w:val="%9"/>
      <w:lvlJc w:val="left"/>
      <w:pPr>
        <w:ind w:left="56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2" w15:restartNumberingAfterBreak="0">
    <w:nsid w:val="249050E9"/>
    <w:multiLevelType w:val="hybridMultilevel"/>
    <w:tmpl w:val="94ECBB74"/>
    <w:lvl w:ilvl="0" w:tplc="7C60D5C8">
      <w:start w:val="1"/>
      <w:numFmt w:val="lowerLetter"/>
      <w:lvlText w:val="%1)"/>
      <w:lvlJc w:val="left"/>
      <w:pPr>
        <w:ind w:left="2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77687EA">
      <w:start w:val="1"/>
      <w:numFmt w:val="decimal"/>
      <w:lvlText w:val="%2."/>
      <w:lvlJc w:val="left"/>
      <w:pPr>
        <w:ind w:left="5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042EB76">
      <w:start w:val="1"/>
      <w:numFmt w:val="lowerRoman"/>
      <w:lvlText w:val="%3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A218125C">
      <w:start w:val="1"/>
      <w:numFmt w:val="decimal"/>
      <w:lvlText w:val="%4"/>
      <w:lvlJc w:val="left"/>
      <w:pPr>
        <w:ind w:left="20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98AA3886">
      <w:start w:val="1"/>
      <w:numFmt w:val="lowerLetter"/>
      <w:lvlText w:val="%5"/>
      <w:lvlJc w:val="left"/>
      <w:pPr>
        <w:ind w:left="28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D80AA1CE">
      <w:start w:val="1"/>
      <w:numFmt w:val="lowerRoman"/>
      <w:lvlText w:val="%6"/>
      <w:lvlJc w:val="left"/>
      <w:pPr>
        <w:ind w:left="35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064AAB90">
      <w:start w:val="1"/>
      <w:numFmt w:val="decimal"/>
      <w:lvlText w:val="%7"/>
      <w:lvlJc w:val="left"/>
      <w:pPr>
        <w:ind w:left="42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5E288A68">
      <w:start w:val="1"/>
      <w:numFmt w:val="lowerLetter"/>
      <w:lvlText w:val="%8"/>
      <w:lvlJc w:val="left"/>
      <w:pPr>
        <w:ind w:left="49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40BCCBA4">
      <w:start w:val="1"/>
      <w:numFmt w:val="lowerRoman"/>
      <w:lvlText w:val="%9"/>
      <w:lvlJc w:val="left"/>
      <w:pPr>
        <w:ind w:left="56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3" w15:restartNumberingAfterBreak="0">
    <w:nsid w:val="294D2A1D"/>
    <w:multiLevelType w:val="hybridMultilevel"/>
    <w:tmpl w:val="B7666174"/>
    <w:lvl w:ilvl="0" w:tplc="18967AD6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E662F57E">
      <w:start w:val="18"/>
      <w:numFmt w:val="decimal"/>
      <w:lvlText w:val="(%2)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9E82827A">
      <w:start w:val="1"/>
      <w:numFmt w:val="lowerRoman"/>
      <w:lvlText w:val="%3"/>
      <w:lvlJc w:val="left"/>
      <w:pPr>
        <w:ind w:left="1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1C5ECBC4">
      <w:start w:val="1"/>
      <w:numFmt w:val="decimal"/>
      <w:lvlText w:val="%4"/>
      <w:lvlJc w:val="left"/>
      <w:pPr>
        <w:ind w:left="2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39CF1A4">
      <w:start w:val="1"/>
      <w:numFmt w:val="lowerLetter"/>
      <w:lvlText w:val="%5"/>
      <w:lvlJc w:val="left"/>
      <w:pPr>
        <w:ind w:left="2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CAFCB584">
      <w:start w:val="1"/>
      <w:numFmt w:val="lowerRoman"/>
      <w:lvlText w:val="%6"/>
      <w:lvlJc w:val="left"/>
      <w:pPr>
        <w:ind w:left="3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7CCFE78">
      <w:start w:val="1"/>
      <w:numFmt w:val="decimal"/>
      <w:lvlText w:val="%7"/>
      <w:lvlJc w:val="left"/>
      <w:pPr>
        <w:ind w:left="4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F60CEE12">
      <w:start w:val="1"/>
      <w:numFmt w:val="lowerLetter"/>
      <w:lvlText w:val="%8"/>
      <w:lvlJc w:val="left"/>
      <w:pPr>
        <w:ind w:left="49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C0D42F34">
      <w:start w:val="1"/>
      <w:numFmt w:val="lowerRoman"/>
      <w:lvlText w:val="%9"/>
      <w:lvlJc w:val="left"/>
      <w:pPr>
        <w:ind w:left="56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4" w15:restartNumberingAfterBreak="0">
    <w:nsid w:val="2F186CEC"/>
    <w:multiLevelType w:val="hybridMultilevel"/>
    <w:tmpl w:val="D20EF67A"/>
    <w:lvl w:ilvl="0" w:tplc="49F6C1C8">
      <w:start w:val="1"/>
      <w:numFmt w:val="lowerLetter"/>
      <w:lvlText w:val="%1)"/>
      <w:lvlJc w:val="left"/>
      <w:pPr>
        <w:ind w:left="3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C8B2102E">
      <w:start w:val="1"/>
      <w:numFmt w:val="decimal"/>
      <w:lvlText w:val="%2."/>
      <w:lvlJc w:val="left"/>
      <w:pPr>
        <w:ind w:left="6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F3FA5A4E">
      <w:start w:val="1"/>
      <w:numFmt w:val="lowerRoman"/>
      <w:lvlText w:val="%3"/>
      <w:lvlJc w:val="left"/>
      <w:pPr>
        <w:ind w:left="14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EC38A7BE">
      <w:start w:val="1"/>
      <w:numFmt w:val="decimal"/>
      <w:lvlText w:val="%4"/>
      <w:lvlJc w:val="left"/>
      <w:pPr>
        <w:ind w:left="21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B6F6A024">
      <w:start w:val="1"/>
      <w:numFmt w:val="lowerLetter"/>
      <w:lvlText w:val="%5"/>
      <w:lvlJc w:val="left"/>
      <w:pPr>
        <w:ind w:left="28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37866B72">
      <w:start w:val="1"/>
      <w:numFmt w:val="lowerRoman"/>
      <w:lvlText w:val="%6"/>
      <w:lvlJc w:val="left"/>
      <w:pPr>
        <w:ind w:left="35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7CEA81F6">
      <w:start w:val="1"/>
      <w:numFmt w:val="decimal"/>
      <w:lvlText w:val="%7"/>
      <w:lvlJc w:val="left"/>
      <w:pPr>
        <w:ind w:left="43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27CA896">
      <w:start w:val="1"/>
      <w:numFmt w:val="lowerLetter"/>
      <w:lvlText w:val="%8"/>
      <w:lvlJc w:val="left"/>
      <w:pPr>
        <w:ind w:left="50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EC0041E0">
      <w:start w:val="1"/>
      <w:numFmt w:val="lowerRoman"/>
      <w:lvlText w:val="%9"/>
      <w:lvlJc w:val="left"/>
      <w:pPr>
        <w:ind w:left="57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5" w15:restartNumberingAfterBreak="0">
    <w:nsid w:val="313E59C1"/>
    <w:multiLevelType w:val="hybridMultilevel"/>
    <w:tmpl w:val="20E2CEB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9D4BF0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A51A5E0C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185C4C"/>
    <w:multiLevelType w:val="hybridMultilevel"/>
    <w:tmpl w:val="4E7AF250"/>
    <w:lvl w:ilvl="0" w:tplc="93383ADE">
      <w:start w:val="1"/>
      <w:numFmt w:val="decimal"/>
      <w:lvlText w:val="(%1)"/>
      <w:lvlJc w:val="left"/>
      <w:pPr>
        <w:ind w:left="1467" w:hanging="90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366624D1"/>
    <w:multiLevelType w:val="hybridMultilevel"/>
    <w:tmpl w:val="28BCF784"/>
    <w:lvl w:ilvl="0" w:tplc="0B7E3D7E">
      <w:start w:val="8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6E19F0"/>
    <w:multiLevelType w:val="hybridMultilevel"/>
    <w:tmpl w:val="72407AEE"/>
    <w:lvl w:ilvl="0" w:tplc="933A842A">
      <w:start w:val="1"/>
      <w:numFmt w:val="lowerLetter"/>
      <w:lvlText w:val="%1)"/>
      <w:lvlJc w:val="left"/>
      <w:pPr>
        <w:ind w:left="2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BB06837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0B94770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D0F49EF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72EAFFC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7AE399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C0BC8F6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D1321EF0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5A76C8EA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9" w15:restartNumberingAfterBreak="0">
    <w:nsid w:val="44CB5BAA"/>
    <w:multiLevelType w:val="hybridMultilevel"/>
    <w:tmpl w:val="E17851A4"/>
    <w:lvl w:ilvl="0" w:tplc="58644720">
      <w:start w:val="16"/>
      <w:numFmt w:val="decimal"/>
      <w:lvlText w:val="(%1)"/>
      <w:lvlJc w:val="left"/>
      <w:pPr>
        <w:ind w:left="567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482552"/>
    <w:multiLevelType w:val="hybridMultilevel"/>
    <w:tmpl w:val="163EAADE"/>
    <w:lvl w:ilvl="0" w:tplc="04B84972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 w15:restartNumberingAfterBreak="0">
    <w:nsid w:val="48C626CA"/>
    <w:multiLevelType w:val="hybridMultilevel"/>
    <w:tmpl w:val="44C21FBA"/>
    <w:lvl w:ilvl="0" w:tplc="93406788">
      <w:start w:val="1"/>
      <w:numFmt w:val="lowerLetter"/>
      <w:lvlText w:val="%1)"/>
      <w:lvlJc w:val="left"/>
      <w:pPr>
        <w:ind w:left="2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BCB05BB4">
      <w:start w:val="8"/>
      <w:numFmt w:val="decimal"/>
      <w:lvlText w:val="(%2)"/>
      <w:lvlJc w:val="left"/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96A47DC0">
      <w:start w:val="1"/>
      <w:numFmt w:val="lowerRoman"/>
      <w:lvlText w:val="%3"/>
      <w:lvlJc w:val="left"/>
      <w:pPr>
        <w:ind w:left="1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9422470C">
      <w:start w:val="1"/>
      <w:numFmt w:val="decimal"/>
      <w:lvlText w:val="%4"/>
      <w:lvlJc w:val="left"/>
      <w:pPr>
        <w:ind w:left="2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20641364">
      <w:start w:val="1"/>
      <w:numFmt w:val="lowerLetter"/>
      <w:lvlText w:val="%5"/>
      <w:lvlJc w:val="left"/>
      <w:pPr>
        <w:ind w:left="2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5994F3D6">
      <w:start w:val="1"/>
      <w:numFmt w:val="lowerRoman"/>
      <w:lvlText w:val="%6"/>
      <w:lvlJc w:val="left"/>
      <w:pPr>
        <w:ind w:left="3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DC9CD362">
      <w:start w:val="1"/>
      <w:numFmt w:val="decimal"/>
      <w:lvlText w:val="%7"/>
      <w:lvlJc w:val="left"/>
      <w:pPr>
        <w:ind w:left="4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CF42D6DE">
      <w:start w:val="1"/>
      <w:numFmt w:val="lowerLetter"/>
      <w:lvlText w:val="%8"/>
      <w:lvlJc w:val="left"/>
      <w:pPr>
        <w:ind w:left="49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BFB284E2">
      <w:start w:val="1"/>
      <w:numFmt w:val="lowerRoman"/>
      <w:lvlText w:val="%9"/>
      <w:lvlJc w:val="left"/>
      <w:pPr>
        <w:ind w:left="56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2" w15:restartNumberingAfterBreak="0">
    <w:nsid w:val="52154792"/>
    <w:multiLevelType w:val="hybridMultilevel"/>
    <w:tmpl w:val="F92832E8"/>
    <w:lvl w:ilvl="0" w:tplc="245663C2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6A9ECAB8">
      <w:start w:val="1"/>
      <w:numFmt w:val="lowerLetter"/>
      <w:lvlText w:val="%2)"/>
      <w:lvlJc w:val="left"/>
      <w:pPr>
        <w:ind w:left="72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052C8FE">
      <w:start w:val="1"/>
      <w:numFmt w:val="lowerRoman"/>
      <w:lvlText w:val="%3"/>
      <w:lvlJc w:val="left"/>
      <w:pPr>
        <w:ind w:left="1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3BA6BDE4">
      <w:start w:val="1"/>
      <w:numFmt w:val="decimal"/>
      <w:lvlText w:val="%4"/>
      <w:lvlJc w:val="left"/>
      <w:pPr>
        <w:ind w:left="2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6644DB90">
      <w:start w:val="1"/>
      <w:numFmt w:val="lowerLetter"/>
      <w:lvlText w:val="%5"/>
      <w:lvlJc w:val="left"/>
      <w:pPr>
        <w:ind w:left="2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0AE9040">
      <w:start w:val="1"/>
      <w:numFmt w:val="lowerRoman"/>
      <w:lvlText w:val="%6"/>
      <w:lvlJc w:val="left"/>
      <w:pPr>
        <w:ind w:left="3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89E6D602">
      <w:start w:val="1"/>
      <w:numFmt w:val="decimal"/>
      <w:lvlText w:val="%7"/>
      <w:lvlJc w:val="left"/>
      <w:pPr>
        <w:ind w:left="4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8F60E164">
      <w:start w:val="1"/>
      <w:numFmt w:val="lowerLetter"/>
      <w:lvlText w:val="%8"/>
      <w:lvlJc w:val="left"/>
      <w:pPr>
        <w:ind w:left="49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35345422">
      <w:start w:val="1"/>
      <w:numFmt w:val="lowerRoman"/>
      <w:lvlText w:val="%9"/>
      <w:lvlJc w:val="left"/>
      <w:pPr>
        <w:ind w:left="56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3" w15:restartNumberingAfterBreak="0">
    <w:nsid w:val="53B76D7E"/>
    <w:multiLevelType w:val="hybridMultilevel"/>
    <w:tmpl w:val="8BDAB526"/>
    <w:lvl w:ilvl="0" w:tplc="293A0130">
      <w:start w:val="1"/>
      <w:numFmt w:val="lowerLetter"/>
      <w:lvlText w:val="%1)"/>
      <w:lvlJc w:val="left"/>
      <w:pPr>
        <w:ind w:left="2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F06C1D3A">
      <w:start w:val="6"/>
      <w:numFmt w:val="decimal"/>
      <w:lvlText w:val="(%2)"/>
      <w:lvlJc w:val="left"/>
      <w:pPr>
        <w:ind w:left="1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E0C7738">
      <w:start w:val="1"/>
      <w:numFmt w:val="lowerRoman"/>
      <w:lvlText w:val="%3"/>
      <w:lvlJc w:val="left"/>
      <w:pPr>
        <w:ind w:left="1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DAA3468">
      <w:start w:val="1"/>
      <w:numFmt w:val="decimal"/>
      <w:lvlText w:val="%4"/>
      <w:lvlJc w:val="left"/>
      <w:pPr>
        <w:ind w:left="2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0B7C1546">
      <w:start w:val="1"/>
      <w:numFmt w:val="lowerLetter"/>
      <w:lvlText w:val="%5"/>
      <w:lvlJc w:val="left"/>
      <w:pPr>
        <w:ind w:left="2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97DE9348">
      <w:start w:val="1"/>
      <w:numFmt w:val="lowerRoman"/>
      <w:lvlText w:val="%6"/>
      <w:lvlJc w:val="left"/>
      <w:pPr>
        <w:ind w:left="3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AA62E434">
      <w:start w:val="1"/>
      <w:numFmt w:val="decimal"/>
      <w:lvlText w:val="%7"/>
      <w:lvlJc w:val="left"/>
      <w:pPr>
        <w:ind w:left="4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34E47C60">
      <w:start w:val="1"/>
      <w:numFmt w:val="lowerLetter"/>
      <w:lvlText w:val="%8"/>
      <w:lvlJc w:val="left"/>
      <w:pPr>
        <w:ind w:left="49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06AADFE4">
      <w:start w:val="1"/>
      <w:numFmt w:val="lowerRoman"/>
      <w:lvlText w:val="%9"/>
      <w:lvlJc w:val="left"/>
      <w:pPr>
        <w:ind w:left="56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4" w15:restartNumberingAfterBreak="0">
    <w:nsid w:val="54B61342"/>
    <w:multiLevelType w:val="hybridMultilevel"/>
    <w:tmpl w:val="EE12C494"/>
    <w:lvl w:ilvl="0" w:tplc="07F47C4E">
      <w:start w:val="1"/>
      <w:numFmt w:val="lowerLetter"/>
      <w:lvlText w:val="%1)"/>
      <w:lvlJc w:val="left"/>
      <w:pPr>
        <w:ind w:left="2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1CAC672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78ACF6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A84A952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A42EF42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C36A2AD4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4A22924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18FA8080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3EF4650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5" w15:restartNumberingAfterBreak="0">
    <w:nsid w:val="590732DB"/>
    <w:multiLevelType w:val="hybridMultilevel"/>
    <w:tmpl w:val="11844D02"/>
    <w:lvl w:ilvl="0" w:tplc="8CD66B1A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4D647B78">
      <w:start w:val="1"/>
      <w:numFmt w:val="lowerLetter"/>
      <w:lvlText w:val="%2)"/>
      <w:lvlJc w:val="left"/>
      <w:pPr>
        <w:ind w:left="1647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58C03DE"/>
    <w:multiLevelType w:val="hybridMultilevel"/>
    <w:tmpl w:val="2B5E1EAA"/>
    <w:lvl w:ilvl="0" w:tplc="924E548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66CE2768"/>
    <w:multiLevelType w:val="hybridMultilevel"/>
    <w:tmpl w:val="31169750"/>
    <w:lvl w:ilvl="0" w:tplc="5380BA5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8" w15:restartNumberingAfterBreak="0">
    <w:nsid w:val="6AB4434D"/>
    <w:multiLevelType w:val="hybridMultilevel"/>
    <w:tmpl w:val="576EA916"/>
    <w:lvl w:ilvl="0" w:tplc="02DE683A">
      <w:start w:val="9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AA0270"/>
    <w:multiLevelType w:val="hybridMultilevel"/>
    <w:tmpl w:val="7EF62CB8"/>
    <w:lvl w:ilvl="0" w:tplc="68329EF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6D662380"/>
    <w:multiLevelType w:val="hybridMultilevel"/>
    <w:tmpl w:val="8DFC79B6"/>
    <w:lvl w:ilvl="0" w:tplc="8CD66B1A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</w:rPr>
    </w:lvl>
    <w:lvl w:ilvl="1" w:tplc="B80C1696">
      <w:start w:val="1"/>
      <w:numFmt w:val="lowerLetter"/>
      <w:lvlText w:val="%2)"/>
      <w:lvlJc w:val="left"/>
      <w:pPr>
        <w:ind w:left="1647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6F3D553F"/>
    <w:multiLevelType w:val="hybridMultilevel"/>
    <w:tmpl w:val="89D06910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71BF09B3"/>
    <w:multiLevelType w:val="hybridMultilevel"/>
    <w:tmpl w:val="A37C3BE6"/>
    <w:lvl w:ilvl="0" w:tplc="0ECE440C">
      <w:start w:val="1"/>
      <w:numFmt w:val="decimal"/>
      <w:lvlText w:val="(%1)"/>
      <w:lvlJc w:val="left"/>
      <w:pPr>
        <w:ind w:left="1930" w:hanging="795"/>
      </w:pPr>
      <w:rPr>
        <w:rFonts w:ascii="Times New Roman" w:eastAsia="Times New Roman" w:hAnsi="Times New Roman" w:cs="Times New Roman"/>
      </w:rPr>
    </w:lvl>
    <w:lvl w:ilvl="1" w:tplc="4476F1F4">
      <w:start w:val="1"/>
      <w:numFmt w:val="lowerLetter"/>
      <w:lvlText w:val="%2)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78C56A2E"/>
    <w:multiLevelType w:val="hybridMultilevel"/>
    <w:tmpl w:val="573ACE72"/>
    <w:lvl w:ilvl="0" w:tplc="A028A5FA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A3BE5C58">
      <w:start w:val="5"/>
      <w:numFmt w:val="decimal"/>
      <w:lvlText w:val="(%2)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6F8D24C">
      <w:start w:val="1"/>
      <w:numFmt w:val="lowerRoman"/>
      <w:lvlText w:val="%3"/>
      <w:lvlJc w:val="left"/>
      <w:pPr>
        <w:ind w:left="1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C24B834">
      <w:start w:val="1"/>
      <w:numFmt w:val="decimal"/>
      <w:lvlText w:val="%4"/>
      <w:lvlJc w:val="left"/>
      <w:pPr>
        <w:ind w:left="2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1F5EBF00">
      <w:start w:val="1"/>
      <w:numFmt w:val="lowerLetter"/>
      <w:lvlText w:val="%5"/>
      <w:lvlJc w:val="left"/>
      <w:pPr>
        <w:ind w:left="2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FABEE1A0">
      <w:start w:val="1"/>
      <w:numFmt w:val="lowerRoman"/>
      <w:lvlText w:val="%6"/>
      <w:lvlJc w:val="left"/>
      <w:pPr>
        <w:ind w:left="3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497A49E2">
      <w:start w:val="1"/>
      <w:numFmt w:val="decimal"/>
      <w:lvlText w:val="%7"/>
      <w:lvlJc w:val="left"/>
      <w:pPr>
        <w:ind w:left="4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BDAACF10">
      <w:start w:val="1"/>
      <w:numFmt w:val="lowerLetter"/>
      <w:lvlText w:val="%8"/>
      <w:lvlJc w:val="left"/>
      <w:pPr>
        <w:ind w:left="49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10CA50FE">
      <w:start w:val="1"/>
      <w:numFmt w:val="lowerRoman"/>
      <w:lvlText w:val="%9"/>
      <w:lvlJc w:val="left"/>
      <w:pPr>
        <w:ind w:left="56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4" w15:restartNumberingAfterBreak="0">
    <w:nsid w:val="79423556"/>
    <w:multiLevelType w:val="hybridMultilevel"/>
    <w:tmpl w:val="DDC8DBF0"/>
    <w:lvl w:ilvl="0" w:tplc="245663C2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6C567F6E">
      <w:start w:val="22"/>
      <w:numFmt w:val="decimal"/>
      <w:lvlText w:val="(%2)"/>
      <w:lvlJc w:val="left"/>
      <w:pPr>
        <w:ind w:left="56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0052C8FE">
      <w:start w:val="1"/>
      <w:numFmt w:val="lowerRoman"/>
      <w:lvlText w:val="%3"/>
      <w:lvlJc w:val="left"/>
      <w:pPr>
        <w:ind w:left="1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3BA6BDE4">
      <w:start w:val="1"/>
      <w:numFmt w:val="decimal"/>
      <w:lvlText w:val="%4"/>
      <w:lvlJc w:val="left"/>
      <w:pPr>
        <w:ind w:left="2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6644DB90">
      <w:start w:val="1"/>
      <w:numFmt w:val="lowerLetter"/>
      <w:lvlText w:val="%5"/>
      <w:lvlJc w:val="left"/>
      <w:pPr>
        <w:ind w:left="2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0AE9040">
      <w:start w:val="1"/>
      <w:numFmt w:val="lowerRoman"/>
      <w:lvlText w:val="%6"/>
      <w:lvlJc w:val="left"/>
      <w:pPr>
        <w:ind w:left="3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89E6D602">
      <w:start w:val="1"/>
      <w:numFmt w:val="decimal"/>
      <w:lvlText w:val="%7"/>
      <w:lvlJc w:val="left"/>
      <w:pPr>
        <w:ind w:left="4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8F60E164">
      <w:start w:val="1"/>
      <w:numFmt w:val="lowerLetter"/>
      <w:lvlText w:val="%8"/>
      <w:lvlJc w:val="left"/>
      <w:pPr>
        <w:ind w:left="49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35345422">
      <w:start w:val="1"/>
      <w:numFmt w:val="lowerRoman"/>
      <w:lvlText w:val="%9"/>
      <w:lvlJc w:val="left"/>
      <w:pPr>
        <w:ind w:left="56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5" w15:restartNumberingAfterBreak="0">
    <w:nsid w:val="7B1B7E07"/>
    <w:multiLevelType w:val="hybridMultilevel"/>
    <w:tmpl w:val="5218FAE4"/>
    <w:lvl w:ilvl="0" w:tplc="80468FDE">
      <w:start w:val="1"/>
      <w:numFmt w:val="lowerLetter"/>
      <w:lvlText w:val="%1)"/>
      <w:lvlJc w:val="left"/>
      <w:pPr>
        <w:ind w:left="2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E530295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D53CF03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D69E2B4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78C8061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272C3E1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8FAE780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5AA25CC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87D2FA9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6" w15:restartNumberingAfterBreak="0">
    <w:nsid w:val="7BD604D4"/>
    <w:multiLevelType w:val="hybridMultilevel"/>
    <w:tmpl w:val="69C2931A"/>
    <w:lvl w:ilvl="0" w:tplc="C052A122">
      <w:start w:val="11"/>
      <w:numFmt w:val="decimal"/>
      <w:lvlText w:val="(%1)"/>
      <w:lvlJc w:val="left"/>
      <w:pPr>
        <w:ind w:left="567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2"/>
  </w:num>
  <w:num w:numId="3">
    <w:abstractNumId w:val="17"/>
  </w:num>
  <w:num w:numId="4">
    <w:abstractNumId w:val="25"/>
  </w:num>
  <w:num w:numId="5">
    <w:abstractNumId w:val="31"/>
  </w:num>
  <w:num w:numId="6">
    <w:abstractNumId w:val="30"/>
  </w:num>
  <w:num w:numId="7">
    <w:abstractNumId w:val="28"/>
  </w:num>
  <w:num w:numId="8">
    <w:abstractNumId w:val="26"/>
  </w:num>
  <w:num w:numId="9">
    <w:abstractNumId w:val="8"/>
  </w:num>
  <w:num w:numId="10">
    <w:abstractNumId w:val="3"/>
  </w:num>
  <w:num w:numId="11">
    <w:abstractNumId w:val="20"/>
  </w:num>
  <w:num w:numId="12">
    <w:abstractNumId w:val="27"/>
  </w:num>
  <w:num w:numId="13">
    <w:abstractNumId w:val="9"/>
  </w:num>
  <w:num w:numId="14">
    <w:abstractNumId w:val="16"/>
  </w:num>
  <w:num w:numId="15">
    <w:abstractNumId w:val="29"/>
  </w:num>
  <w:num w:numId="16">
    <w:abstractNumId w:val="4"/>
  </w:num>
  <w:num w:numId="17">
    <w:abstractNumId w:val="2"/>
  </w:num>
  <w:num w:numId="18">
    <w:abstractNumId w:val="24"/>
  </w:num>
  <w:num w:numId="19">
    <w:abstractNumId w:val="1"/>
  </w:num>
  <w:num w:numId="20">
    <w:abstractNumId w:val="7"/>
  </w:num>
  <w:num w:numId="21">
    <w:abstractNumId w:val="33"/>
  </w:num>
  <w:num w:numId="22">
    <w:abstractNumId w:val="21"/>
  </w:num>
  <w:num w:numId="23">
    <w:abstractNumId w:val="11"/>
  </w:num>
  <w:num w:numId="24">
    <w:abstractNumId w:val="18"/>
  </w:num>
  <w:num w:numId="25">
    <w:abstractNumId w:val="13"/>
  </w:num>
  <w:num w:numId="26">
    <w:abstractNumId w:val="12"/>
  </w:num>
  <w:num w:numId="27">
    <w:abstractNumId w:val="34"/>
  </w:num>
  <w:num w:numId="28">
    <w:abstractNumId w:val="35"/>
  </w:num>
  <w:num w:numId="29">
    <w:abstractNumId w:val="22"/>
  </w:num>
  <w:num w:numId="30">
    <w:abstractNumId w:val="0"/>
  </w:num>
  <w:num w:numId="31">
    <w:abstractNumId w:val="6"/>
  </w:num>
  <w:num w:numId="32">
    <w:abstractNumId w:val="36"/>
  </w:num>
  <w:num w:numId="33">
    <w:abstractNumId w:val="19"/>
  </w:num>
  <w:num w:numId="34">
    <w:abstractNumId w:val="10"/>
  </w:num>
  <w:num w:numId="35">
    <w:abstractNumId w:val="14"/>
  </w:num>
  <w:num w:numId="36">
    <w:abstractNumId w:val="5"/>
  </w:num>
  <w:num w:numId="3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7C8"/>
    <w:rsid w:val="000049C7"/>
    <w:rsid w:val="00014F9C"/>
    <w:rsid w:val="000224DA"/>
    <w:rsid w:val="00030F95"/>
    <w:rsid w:val="00032240"/>
    <w:rsid w:val="00033374"/>
    <w:rsid w:val="00051155"/>
    <w:rsid w:val="000513D2"/>
    <w:rsid w:val="00053CE7"/>
    <w:rsid w:val="000626B7"/>
    <w:rsid w:val="000640BD"/>
    <w:rsid w:val="00070F46"/>
    <w:rsid w:val="0007505B"/>
    <w:rsid w:val="00080E8C"/>
    <w:rsid w:val="00087849"/>
    <w:rsid w:val="00090952"/>
    <w:rsid w:val="000939FF"/>
    <w:rsid w:val="0009685E"/>
    <w:rsid w:val="000A0831"/>
    <w:rsid w:val="000A6A00"/>
    <w:rsid w:val="000C2E8C"/>
    <w:rsid w:val="000C3C66"/>
    <w:rsid w:val="000C5CE0"/>
    <w:rsid w:val="000D01D6"/>
    <w:rsid w:val="000D023A"/>
    <w:rsid w:val="000E79BF"/>
    <w:rsid w:val="000E7E37"/>
    <w:rsid w:val="000F6C22"/>
    <w:rsid w:val="001027FD"/>
    <w:rsid w:val="00104020"/>
    <w:rsid w:val="001064DF"/>
    <w:rsid w:val="00117B51"/>
    <w:rsid w:val="00121F2B"/>
    <w:rsid w:val="001276BD"/>
    <w:rsid w:val="00143D4D"/>
    <w:rsid w:val="00145CD5"/>
    <w:rsid w:val="00147674"/>
    <w:rsid w:val="00155782"/>
    <w:rsid w:val="00155EAC"/>
    <w:rsid w:val="001634E6"/>
    <w:rsid w:val="001667D0"/>
    <w:rsid w:val="0017088B"/>
    <w:rsid w:val="00173442"/>
    <w:rsid w:val="0017711D"/>
    <w:rsid w:val="0018300D"/>
    <w:rsid w:val="001837D6"/>
    <w:rsid w:val="00190609"/>
    <w:rsid w:val="00192277"/>
    <w:rsid w:val="0019400B"/>
    <w:rsid w:val="001B72F5"/>
    <w:rsid w:val="001C0F8D"/>
    <w:rsid w:val="001C1502"/>
    <w:rsid w:val="001C592D"/>
    <w:rsid w:val="001E4DA3"/>
    <w:rsid w:val="001F4E18"/>
    <w:rsid w:val="001F5384"/>
    <w:rsid w:val="00200E1D"/>
    <w:rsid w:val="00210727"/>
    <w:rsid w:val="002113EB"/>
    <w:rsid w:val="0021164B"/>
    <w:rsid w:val="0021668E"/>
    <w:rsid w:val="002178B7"/>
    <w:rsid w:val="00220108"/>
    <w:rsid w:val="00224D7E"/>
    <w:rsid w:val="00232281"/>
    <w:rsid w:val="00234C7A"/>
    <w:rsid w:val="0023676C"/>
    <w:rsid w:val="002368FA"/>
    <w:rsid w:val="00243D81"/>
    <w:rsid w:val="002575C9"/>
    <w:rsid w:val="00260A82"/>
    <w:rsid w:val="00262623"/>
    <w:rsid w:val="00262BBF"/>
    <w:rsid w:val="0026511A"/>
    <w:rsid w:val="002670C6"/>
    <w:rsid w:val="00272EF0"/>
    <w:rsid w:val="00282B99"/>
    <w:rsid w:val="00285E6D"/>
    <w:rsid w:val="002957E7"/>
    <w:rsid w:val="002A1FF7"/>
    <w:rsid w:val="002C6802"/>
    <w:rsid w:val="002D268B"/>
    <w:rsid w:val="002D4A0A"/>
    <w:rsid w:val="002E5E4E"/>
    <w:rsid w:val="002F096D"/>
    <w:rsid w:val="002F7CD2"/>
    <w:rsid w:val="00300372"/>
    <w:rsid w:val="00324BE6"/>
    <w:rsid w:val="00326AA6"/>
    <w:rsid w:val="003277B7"/>
    <w:rsid w:val="00331BA8"/>
    <w:rsid w:val="00332A65"/>
    <w:rsid w:val="00341592"/>
    <w:rsid w:val="00343C26"/>
    <w:rsid w:val="00344EB2"/>
    <w:rsid w:val="00345EA0"/>
    <w:rsid w:val="00355967"/>
    <w:rsid w:val="00364F1E"/>
    <w:rsid w:val="00365200"/>
    <w:rsid w:val="00367E66"/>
    <w:rsid w:val="00370DBE"/>
    <w:rsid w:val="00383C73"/>
    <w:rsid w:val="00394092"/>
    <w:rsid w:val="0039448B"/>
    <w:rsid w:val="003960CA"/>
    <w:rsid w:val="00396B04"/>
    <w:rsid w:val="00396E4F"/>
    <w:rsid w:val="003A0B49"/>
    <w:rsid w:val="003A3D87"/>
    <w:rsid w:val="003A4280"/>
    <w:rsid w:val="003C3A2E"/>
    <w:rsid w:val="003D1FAF"/>
    <w:rsid w:val="003D3D99"/>
    <w:rsid w:val="003D5C74"/>
    <w:rsid w:val="003D665F"/>
    <w:rsid w:val="003E2CFF"/>
    <w:rsid w:val="003E56DB"/>
    <w:rsid w:val="003E6E27"/>
    <w:rsid w:val="003E7457"/>
    <w:rsid w:val="003F1AA2"/>
    <w:rsid w:val="003F55E9"/>
    <w:rsid w:val="003F7BFC"/>
    <w:rsid w:val="00406018"/>
    <w:rsid w:val="00406199"/>
    <w:rsid w:val="00421054"/>
    <w:rsid w:val="00421166"/>
    <w:rsid w:val="0042702D"/>
    <w:rsid w:val="00444D78"/>
    <w:rsid w:val="004475EF"/>
    <w:rsid w:val="0044782E"/>
    <w:rsid w:val="00447E30"/>
    <w:rsid w:val="004567B3"/>
    <w:rsid w:val="00460E81"/>
    <w:rsid w:val="0046502A"/>
    <w:rsid w:val="00465171"/>
    <w:rsid w:val="00474F5D"/>
    <w:rsid w:val="00481858"/>
    <w:rsid w:val="00481AC9"/>
    <w:rsid w:val="00485B30"/>
    <w:rsid w:val="0049001E"/>
    <w:rsid w:val="00494799"/>
    <w:rsid w:val="00495480"/>
    <w:rsid w:val="0049725E"/>
    <w:rsid w:val="004A18B3"/>
    <w:rsid w:val="004B1249"/>
    <w:rsid w:val="004C0E59"/>
    <w:rsid w:val="004C7659"/>
    <w:rsid w:val="004D5FD8"/>
    <w:rsid w:val="004D7F80"/>
    <w:rsid w:val="004E088E"/>
    <w:rsid w:val="004E1721"/>
    <w:rsid w:val="004E228B"/>
    <w:rsid w:val="004F21B9"/>
    <w:rsid w:val="004F378B"/>
    <w:rsid w:val="00501F1E"/>
    <w:rsid w:val="00505EF6"/>
    <w:rsid w:val="005155EE"/>
    <w:rsid w:val="005210F5"/>
    <w:rsid w:val="00526C71"/>
    <w:rsid w:val="00527976"/>
    <w:rsid w:val="00530E51"/>
    <w:rsid w:val="00534FF2"/>
    <w:rsid w:val="00552EA3"/>
    <w:rsid w:val="00555A23"/>
    <w:rsid w:val="005736BF"/>
    <w:rsid w:val="00577FAA"/>
    <w:rsid w:val="00590D94"/>
    <w:rsid w:val="0059405B"/>
    <w:rsid w:val="00595A20"/>
    <w:rsid w:val="005B0766"/>
    <w:rsid w:val="005B1C02"/>
    <w:rsid w:val="005B6BED"/>
    <w:rsid w:val="005C0C1B"/>
    <w:rsid w:val="005C7FA1"/>
    <w:rsid w:val="005D1684"/>
    <w:rsid w:val="005D5542"/>
    <w:rsid w:val="005D597E"/>
    <w:rsid w:val="005D6391"/>
    <w:rsid w:val="005E6B67"/>
    <w:rsid w:val="006043A5"/>
    <w:rsid w:val="0060443C"/>
    <w:rsid w:val="00606D51"/>
    <w:rsid w:val="00614478"/>
    <w:rsid w:val="00622448"/>
    <w:rsid w:val="00630EEF"/>
    <w:rsid w:val="00640EE7"/>
    <w:rsid w:val="00640F3E"/>
    <w:rsid w:val="00641F42"/>
    <w:rsid w:val="006461E5"/>
    <w:rsid w:val="00651F6A"/>
    <w:rsid w:val="00657A46"/>
    <w:rsid w:val="00665A35"/>
    <w:rsid w:val="00676875"/>
    <w:rsid w:val="006815AB"/>
    <w:rsid w:val="0069115B"/>
    <w:rsid w:val="00695994"/>
    <w:rsid w:val="006963F9"/>
    <w:rsid w:val="006A7D4D"/>
    <w:rsid w:val="006B134E"/>
    <w:rsid w:val="006C0D57"/>
    <w:rsid w:val="006D1D71"/>
    <w:rsid w:val="006D20B0"/>
    <w:rsid w:val="006D226A"/>
    <w:rsid w:val="006D3490"/>
    <w:rsid w:val="006E1067"/>
    <w:rsid w:val="006F0952"/>
    <w:rsid w:val="006F3702"/>
    <w:rsid w:val="006F4BC5"/>
    <w:rsid w:val="006F51E6"/>
    <w:rsid w:val="006F7830"/>
    <w:rsid w:val="00703E08"/>
    <w:rsid w:val="00705BE1"/>
    <w:rsid w:val="00716361"/>
    <w:rsid w:val="00716C09"/>
    <w:rsid w:val="007170B3"/>
    <w:rsid w:val="007178AA"/>
    <w:rsid w:val="0071797A"/>
    <w:rsid w:val="00724947"/>
    <w:rsid w:val="007420BB"/>
    <w:rsid w:val="00744540"/>
    <w:rsid w:val="0074472C"/>
    <w:rsid w:val="00754AFA"/>
    <w:rsid w:val="00763251"/>
    <w:rsid w:val="007634D2"/>
    <w:rsid w:val="00763ECE"/>
    <w:rsid w:val="00764E2D"/>
    <w:rsid w:val="00766B32"/>
    <w:rsid w:val="0077274B"/>
    <w:rsid w:val="007749D1"/>
    <w:rsid w:val="00775C55"/>
    <w:rsid w:val="00777F15"/>
    <w:rsid w:val="00784314"/>
    <w:rsid w:val="00784CD5"/>
    <w:rsid w:val="007900C0"/>
    <w:rsid w:val="007921E5"/>
    <w:rsid w:val="00792DAF"/>
    <w:rsid w:val="00797570"/>
    <w:rsid w:val="00797DEB"/>
    <w:rsid w:val="007A3F36"/>
    <w:rsid w:val="007B0C9F"/>
    <w:rsid w:val="007B1571"/>
    <w:rsid w:val="007B65A5"/>
    <w:rsid w:val="007D7A62"/>
    <w:rsid w:val="007E2CFC"/>
    <w:rsid w:val="007F2607"/>
    <w:rsid w:val="007F4120"/>
    <w:rsid w:val="007F448A"/>
    <w:rsid w:val="00810C88"/>
    <w:rsid w:val="00812432"/>
    <w:rsid w:val="008132D5"/>
    <w:rsid w:val="00815739"/>
    <w:rsid w:val="008169BC"/>
    <w:rsid w:val="008210E6"/>
    <w:rsid w:val="0082533A"/>
    <w:rsid w:val="008276D8"/>
    <w:rsid w:val="00830790"/>
    <w:rsid w:val="008316A3"/>
    <w:rsid w:val="0084100E"/>
    <w:rsid w:val="00844F3A"/>
    <w:rsid w:val="008501C0"/>
    <w:rsid w:val="008557F7"/>
    <w:rsid w:val="00872B8F"/>
    <w:rsid w:val="00876288"/>
    <w:rsid w:val="00881C49"/>
    <w:rsid w:val="00883FD1"/>
    <w:rsid w:val="008842E6"/>
    <w:rsid w:val="008856C1"/>
    <w:rsid w:val="00887830"/>
    <w:rsid w:val="00890344"/>
    <w:rsid w:val="008B04C6"/>
    <w:rsid w:val="008B1FF4"/>
    <w:rsid w:val="008C1593"/>
    <w:rsid w:val="008D358B"/>
    <w:rsid w:val="008D7B75"/>
    <w:rsid w:val="008E1D25"/>
    <w:rsid w:val="008F173B"/>
    <w:rsid w:val="008F45F0"/>
    <w:rsid w:val="008F6E70"/>
    <w:rsid w:val="00900D7E"/>
    <w:rsid w:val="00902F40"/>
    <w:rsid w:val="0090723F"/>
    <w:rsid w:val="00912994"/>
    <w:rsid w:val="0091719B"/>
    <w:rsid w:val="00925205"/>
    <w:rsid w:val="00936E81"/>
    <w:rsid w:val="009402B2"/>
    <w:rsid w:val="0094436E"/>
    <w:rsid w:val="00945808"/>
    <w:rsid w:val="0094622F"/>
    <w:rsid w:val="009573BC"/>
    <w:rsid w:val="0096634C"/>
    <w:rsid w:val="009715AC"/>
    <w:rsid w:val="009811E5"/>
    <w:rsid w:val="00981C7C"/>
    <w:rsid w:val="009A2051"/>
    <w:rsid w:val="009B134D"/>
    <w:rsid w:val="009C1720"/>
    <w:rsid w:val="009C6D2A"/>
    <w:rsid w:val="009C6F6E"/>
    <w:rsid w:val="009D6685"/>
    <w:rsid w:val="009E3459"/>
    <w:rsid w:val="009E5212"/>
    <w:rsid w:val="009E663D"/>
    <w:rsid w:val="009F2869"/>
    <w:rsid w:val="009F3C2E"/>
    <w:rsid w:val="009F418C"/>
    <w:rsid w:val="00A020E0"/>
    <w:rsid w:val="00A10D8E"/>
    <w:rsid w:val="00A23FB4"/>
    <w:rsid w:val="00A30635"/>
    <w:rsid w:val="00A35DE5"/>
    <w:rsid w:val="00A35F13"/>
    <w:rsid w:val="00A36D76"/>
    <w:rsid w:val="00A541F8"/>
    <w:rsid w:val="00A55179"/>
    <w:rsid w:val="00A61ACD"/>
    <w:rsid w:val="00A663A1"/>
    <w:rsid w:val="00A72A84"/>
    <w:rsid w:val="00A75D4F"/>
    <w:rsid w:val="00A84625"/>
    <w:rsid w:val="00A86377"/>
    <w:rsid w:val="00A927D3"/>
    <w:rsid w:val="00A9712C"/>
    <w:rsid w:val="00A97705"/>
    <w:rsid w:val="00AB1359"/>
    <w:rsid w:val="00AB2B80"/>
    <w:rsid w:val="00AB56EB"/>
    <w:rsid w:val="00AB7354"/>
    <w:rsid w:val="00AB7510"/>
    <w:rsid w:val="00AC04FD"/>
    <w:rsid w:val="00AC054E"/>
    <w:rsid w:val="00AE0C76"/>
    <w:rsid w:val="00AF4C72"/>
    <w:rsid w:val="00B06D20"/>
    <w:rsid w:val="00B077A1"/>
    <w:rsid w:val="00B12EE8"/>
    <w:rsid w:val="00B14DC8"/>
    <w:rsid w:val="00B16435"/>
    <w:rsid w:val="00B17038"/>
    <w:rsid w:val="00B17A84"/>
    <w:rsid w:val="00B21104"/>
    <w:rsid w:val="00B21E44"/>
    <w:rsid w:val="00B26127"/>
    <w:rsid w:val="00B262DB"/>
    <w:rsid w:val="00B27B61"/>
    <w:rsid w:val="00B307A6"/>
    <w:rsid w:val="00B34E12"/>
    <w:rsid w:val="00B3665D"/>
    <w:rsid w:val="00B412E1"/>
    <w:rsid w:val="00B436A0"/>
    <w:rsid w:val="00B44BEB"/>
    <w:rsid w:val="00B47D06"/>
    <w:rsid w:val="00B52B9E"/>
    <w:rsid w:val="00B54988"/>
    <w:rsid w:val="00B62CBD"/>
    <w:rsid w:val="00B6761A"/>
    <w:rsid w:val="00B92009"/>
    <w:rsid w:val="00B929A4"/>
    <w:rsid w:val="00B92E9F"/>
    <w:rsid w:val="00BA0F2C"/>
    <w:rsid w:val="00BB1C40"/>
    <w:rsid w:val="00BB41D2"/>
    <w:rsid w:val="00BC15D2"/>
    <w:rsid w:val="00BC212F"/>
    <w:rsid w:val="00BC6204"/>
    <w:rsid w:val="00BC6FA1"/>
    <w:rsid w:val="00BC7CEC"/>
    <w:rsid w:val="00BE136D"/>
    <w:rsid w:val="00BE257E"/>
    <w:rsid w:val="00BE26E7"/>
    <w:rsid w:val="00BF16F2"/>
    <w:rsid w:val="00BF29EF"/>
    <w:rsid w:val="00C066BC"/>
    <w:rsid w:val="00C07086"/>
    <w:rsid w:val="00C21D1C"/>
    <w:rsid w:val="00C24096"/>
    <w:rsid w:val="00C24A4A"/>
    <w:rsid w:val="00C2578A"/>
    <w:rsid w:val="00C25BC4"/>
    <w:rsid w:val="00C35082"/>
    <w:rsid w:val="00C433BD"/>
    <w:rsid w:val="00C43D27"/>
    <w:rsid w:val="00C51BEE"/>
    <w:rsid w:val="00C578B8"/>
    <w:rsid w:val="00C70BDA"/>
    <w:rsid w:val="00C90778"/>
    <w:rsid w:val="00CA1B9C"/>
    <w:rsid w:val="00CA1F6D"/>
    <w:rsid w:val="00CA1FE4"/>
    <w:rsid w:val="00CA6101"/>
    <w:rsid w:val="00CA6638"/>
    <w:rsid w:val="00CB047D"/>
    <w:rsid w:val="00CB5FCD"/>
    <w:rsid w:val="00CC31D1"/>
    <w:rsid w:val="00CC70F7"/>
    <w:rsid w:val="00CD0D4C"/>
    <w:rsid w:val="00CD4BD4"/>
    <w:rsid w:val="00CE0995"/>
    <w:rsid w:val="00D07EDC"/>
    <w:rsid w:val="00D11A0F"/>
    <w:rsid w:val="00D13429"/>
    <w:rsid w:val="00D1672B"/>
    <w:rsid w:val="00D173F5"/>
    <w:rsid w:val="00D20788"/>
    <w:rsid w:val="00D209EE"/>
    <w:rsid w:val="00D262D2"/>
    <w:rsid w:val="00D33917"/>
    <w:rsid w:val="00D377E6"/>
    <w:rsid w:val="00D457C8"/>
    <w:rsid w:val="00D4757D"/>
    <w:rsid w:val="00D514DE"/>
    <w:rsid w:val="00D5353C"/>
    <w:rsid w:val="00D54903"/>
    <w:rsid w:val="00D57DE7"/>
    <w:rsid w:val="00D70504"/>
    <w:rsid w:val="00D71D77"/>
    <w:rsid w:val="00D72E53"/>
    <w:rsid w:val="00D73825"/>
    <w:rsid w:val="00D74871"/>
    <w:rsid w:val="00D756BC"/>
    <w:rsid w:val="00D771FA"/>
    <w:rsid w:val="00D861CE"/>
    <w:rsid w:val="00D90A8B"/>
    <w:rsid w:val="00D9349E"/>
    <w:rsid w:val="00D934B5"/>
    <w:rsid w:val="00DA39D8"/>
    <w:rsid w:val="00DA5EB7"/>
    <w:rsid w:val="00DB51DD"/>
    <w:rsid w:val="00DB5874"/>
    <w:rsid w:val="00DC5B15"/>
    <w:rsid w:val="00DE1483"/>
    <w:rsid w:val="00DE4485"/>
    <w:rsid w:val="00DF1D80"/>
    <w:rsid w:val="00DF2D8F"/>
    <w:rsid w:val="00DF5F13"/>
    <w:rsid w:val="00E06A9D"/>
    <w:rsid w:val="00E131FD"/>
    <w:rsid w:val="00E1367A"/>
    <w:rsid w:val="00E15724"/>
    <w:rsid w:val="00E2539C"/>
    <w:rsid w:val="00E27077"/>
    <w:rsid w:val="00E4182C"/>
    <w:rsid w:val="00E418E0"/>
    <w:rsid w:val="00E444FB"/>
    <w:rsid w:val="00E54B5B"/>
    <w:rsid w:val="00E63D12"/>
    <w:rsid w:val="00E64183"/>
    <w:rsid w:val="00E70D0D"/>
    <w:rsid w:val="00E725F8"/>
    <w:rsid w:val="00E7298D"/>
    <w:rsid w:val="00E7739B"/>
    <w:rsid w:val="00E86272"/>
    <w:rsid w:val="00E87582"/>
    <w:rsid w:val="00E9110E"/>
    <w:rsid w:val="00E939F8"/>
    <w:rsid w:val="00EA10C7"/>
    <w:rsid w:val="00EA26BE"/>
    <w:rsid w:val="00EA6CD8"/>
    <w:rsid w:val="00ED1AB3"/>
    <w:rsid w:val="00ED1E9B"/>
    <w:rsid w:val="00ED323E"/>
    <w:rsid w:val="00ED6F5C"/>
    <w:rsid w:val="00EE7EAB"/>
    <w:rsid w:val="00EF186F"/>
    <w:rsid w:val="00EF20A3"/>
    <w:rsid w:val="00F0106D"/>
    <w:rsid w:val="00F22D94"/>
    <w:rsid w:val="00F23214"/>
    <w:rsid w:val="00F30030"/>
    <w:rsid w:val="00F34C43"/>
    <w:rsid w:val="00F4396F"/>
    <w:rsid w:val="00F447BB"/>
    <w:rsid w:val="00F45315"/>
    <w:rsid w:val="00F45597"/>
    <w:rsid w:val="00F45649"/>
    <w:rsid w:val="00F52364"/>
    <w:rsid w:val="00F52395"/>
    <w:rsid w:val="00F664A4"/>
    <w:rsid w:val="00F77760"/>
    <w:rsid w:val="00F800AA"/>
    <w:rsid w:val="00F824B1"/>
    <w:rsid w:val="00F90825"/>
    <w:rsid w:val="00F931EB"/>
    <w:rsid w:val="00FA3723"/>
    <w:rsid w:val="00FA539D"/>
    <w:rsid w:val="00FA7EC4"/>
    <w:rsid w:val="00FB2540"/>
    <w:rsid w:val="00FC757E"/>
    <w:rsid w:val="00FD256B"/>
    <w:rsid w:val="00FD6343"/>
    <w:rsid w:val="00FD6F0A"/>
    <w:rsid w:val="00FE7B4E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A2E53A-5291-4C07-8A65-12ADA1F6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before="120" w:line="360" w:lineRule="auto"/>
      <w:jc w:val="both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line="240" w:lineRule="auto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spacing w:line="240" w:lineRule="auto"/>
      <w:ind w:firstLine="567"/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spacing w:line="240" w:lineRule="auto"/>
      <w:jc w:val="center"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spacing w:before="0" w:line="240" w:lineRule="auto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spacing w:line="240" w:lineRule="auto"/>
      <w:jc w:val="center"/>
      <w:outlineLvl w:val="4"/>
    </w:pPr>
    <w:rPr>
      <w:spacing w:val="6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6F51E6"/>
    <w:rPr>
      <w:rFonts w:cs="Times New Roman"/>
    </w:rPr>
  </w:style>
  <w:style w:type="character" w:styleId="Odkaznapoznmkupodiarou">
    <w:name w:val="footnote reference"/>
    <w:uiPriority w:val="99"/>
    <w:semiHidden/>
    <w:rPr>
      <w:rFonts w:cs="Times New Roman"/>
      <w:vertAlign w:val="superscript"/>
    </w:rPr>
  </w:style>
  <w:style w:type="character" w:styleId="slostrany">
    <w:name w:val="page number"/>
    <w:uiPriority w:val="99"/>
    <w:semiHidden/>
    <w:rPr>
      <w:rFonts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before="0" w:line="240" w:lineRule="auto"/>
      <w:jc w:val="left"/>
    </w:pPr>
    <w:rPr>
      <w:sz w:val="20"/>
    </w:rPr>
  </w:style>
  <w:style w:type="character" w:customStyle="1" w:styleId="PtaChar">
    <w:name w:val="Päta Char"/>
    <w:link w:val="Pta"/>
    <w:uiPriority w:val="99"/>
    <w:locked/>
    <w:rsid w:val="00EF186F"/>
    <w:rPr>
      <w:rFonts w:cs="Times New Roman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4C0E59"/>
    <w:rPr>
      <w:rFonts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pPr>
      <w:spacing w:line="240" w:lineRule="auto"/>
      <w:ind w:firstLine="709"/>
    </w:pPr>
    <w:rPr>
      <w:b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rFonts w:cs="Times New Roman"/>
      <w:sz w:val="24"/>
    </w:rPr>
  </w:style>
  <w:style w:type="paragraph" w:styleId="Zkladntext">
    <w:name w:val="Body Text"/>
    <w:basedOn w:val="Normlny"/>
    <w:link w:val="ZkladntextChar"/>
    <w:uiPriority w:val="99"/>
    <w:semiHidden/>
    <w:pPr>
      <w:spacing w:line="240" w:lineRule="auto"/>
    </w:pPr>
    <w:rPr>
      <w:b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pPr>
      <w:spacing w:line="240" w:lineRule="auto"/>
      <w:ind w:hanging="284"/>
    </w:pPr>
    <w:rPr>
      <w:sz w:val="22"/>
    </w:rPr>
  </w:style>
  <w:style w:type="character" w:customStyle="1" w:styleId="Zarkazkladnhotextu2Char">
    <w:name w:val="Zarážka základného textu 2 Char"/>
    <w:link w:val="Zarkazkladnhotextu2"/>
    <w:uiPriority w:val="99"/>
    <w:semiHidden/>
    <w:locked/>
    <w:rPr>
      <w:rFonts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pPr>
      <w:ind w:firstLine="567"/>
    </w:pPr>
  </w:style>
  <w:style w:type="character" w:customStyle="1" w:styleId="Zarkazkladnhotextu3Char">
    <w:name w:val="Zarážka základného textu 3 Char"/>
    <w:link w:val="Zarkazkladnhotextu3"/>
    <w:uiPriority w:val="99"/>
    <w:semiHidden/>
    <w:locked/>
    <w:rPr>
      <w:rFonts w:cs="Times New Roman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semiHidden/>
    <w:pPr>
      <w:spacing w:line="240" w:lineRule="auto"/>
      <w:jc w:val="center"/>
    </w:pPr>
    <w:rPr>
      <w:b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</w:rPr>
  </w:style>
  <w:style w:type="paragraph" w:styleId="Zkladntext3">
    <w:name w:val="Body Text 3"/>
    <w:basedOn w:val="Normlny"/>
    <w:link w:val="Zkladntext3Char"/>
    <w:uiPriority w:val="99"/>
    <w:pPr>
      <w:spacing w:before="240" w:line="240" w:lineRule="auto"/>
      <w:jc w:val="center"/>
    </w:pPr>
    <w:rPr>
      <w:bCs/>
    </w:rPr>
  </w:style>
  <w:style w:type="character" w:customStyle="1" w:styleId="Zkladntext3Char">
    <w:name w:val="Základný text 3 Char"/>
    <w:link w:val="Zkladntext3"/>
    <w:uiPriority w:val="99"/>
    <w:locked/>
    <w:rPr>
      <w:rFonts w:cs="Times New Roman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EF186F"/>
    <w:pPr>
      <w:jc w:val="center"/>
    </w:pPr>
    <w:rPr>
      <w:b/>
    </w:rPr>
  </w:style>
  <w:style w:type="character" w:customStyle="1" w:styleId="NzovChar">
    <w:name w:val="Názov Char"/>
    <w:link w:val="Nzov"/>
    <w:uiPriority w:val="10"/>
    <w:locked/>
    <w:rsid w:val="00EF186F"/>
    <w:rPr>
      <w:rFonts w:cs="Times New Roman"/>
      <w:b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115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9115B"/>
    <w:rPr>
      <w:rFonts w:ascii="Tahoma" w:hAnsi="Tahoma" w:cs="Times New Roman"/>
      <w:sz w:val="16"/>
    </w:rPr>
  </w:style>
  <w:style w:type="character" w:styleId="Odkaznakomentr">
    <w:name w:val="annotation reference"/>
    <w:uiPriority w:val="99"/>
    <w:rsid w:val="008557F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557F7"/>
    <w:rPr>
      <w:sz w:val="20"/>
    </w:rPr>
  </w:style>
  <w:style w:type="character" w:customStyle="1" w:styleId="TextkomentraChar">
    <w:name w:val="Text komentára Char"/>
    <w:link w:val="Textkomentra"/>
    <w:uiPriority w:val="99"/>
    <w:locked/>
    <w:rsid w:val="008557F7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8557F7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8557F7"/>
    <w:rPr>
      <w:rFonts w:cs="Times New Roman"/>
      <w:b/>
      <w:bCs/>
    </w:rPr>
  </w:style>
  <w:style w:type="paragraph" w:customStyle="1" w:styleId="tlnovelizanbod">
    <w:name w:val="Štýl_novelizačný_bod"/>
    <w:basedOn w:val="Normlny"/>
    <w:qFormat/>
    <w:rsid w:val="007B0C9F"/>
    <w:pPr>
      <w:spacing w:before="240" w:line="240" w:lineRule="auto"/>
      <w:ind w:left="567" w:hanging="567"/>
    </w:pPr>
    <w:rPr>
      <w:szCs w:val="24"/>
    </w:rPr>
  </w:style>
  <w:style w:type="paragraph" w:customStyle="1" w:styleId="tlpsmeno">
    <w:name w:val="Štýl_písmeno"/>
    <w:basedOn w:val="Normlny"/>
    <w:qFormat/>
    <w:rsid w:val="007B0C9F"/>
    <w:pPr>
      <w:spacing w:line="240" w:lineRule="auto"/>
      <w:ind w:left="1440" w:hanging="360"/>
    </w:pPr>
    <w:rPr>
      <w:szCs w:val="24"/>
    </w:rPr>
  </w:style>
  <w:style w:type="paragraph" w:customStyle="1" w:styleId="tlbod">
    <w:name w:val="Štýl_bod"/>
    <w:basedOn w:val="Normlny"/>
    <w:qFormat/>
    <w:rsid w:val="007B0C9F"/>
    <w:pPr>
      <w:spacing w:line="240" w:lineRule="auto"/>
      <w:ind w:left="2160" w:hanging="180"/>
    </w:pPr>
    <w:rPr>
      <w:szCs w:val="24"/>
    </w:rPr>
  </w:style>
  <w:style w:type="paragraph" w:customStyle="1" w:styleId="tlodsek">
    <w:name w:val="Štýl_odsek"/>
    <w:basedOn w:val="Normlny"/>
    <w:qFormat/>
    <w:rsid w:val="007B0C9F"/>
    <w:pPr>
      <w:spacing w:before="240" w:line="240" w:lineRule="auto"/>
      <w:ind w:left="567"/>
    </w:pPr>
    <w:rPr>
      <w:szCs w:val="24"/>
    </w:rPr>
  </w:style>
  <w:style w:type="paragraph" w:customStyle="1" w:styleId="skupina1">
    <w:name w:val="skupina1"/>
    <w:basedOn w:val="Normlny"/>
    <w:rsid w:val="0049001E"/>
    <w:pPr>
      <w:spacing w:before="100" w:beforeAutospacing="1" w:after="100" w:afterAutospacing="1" w:line="240" w:lineRule="auto"/>
      <w:ind w:left="255"/>
      <w:jc w:val="left"/>
    </w:pPr>
    <w:rPr>
      <w:szCs w:val="24"/>
    </w:rPr>
  </w:style>
  <w:style w:type="paragraph" w:styleId="Odsekzoznamu">
    <w:name w:val="List Paragraph"/>
    <w:basedOn w:val="Normlny"/>
    <w:uiPriority w:val="34"/>
    <w:qFormat/>
    <w:rsid w:val="00D209EE"/>
    <w:pPr>
      <w:spacing w:before="0" w:after="110" w:line="258" w:lineRule="auto"/>
      <w:ind w:left="720" w:hanging="10"/>
      <w:contextualSpacing/>
    </w:pPr>
    <w:rPr>
      <w:rFonts w:ascii="Calibri" w:hAnsi="Calibri" w:cs="Calibri"/>
      <w:color w:val="000000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AE1C2-9C30-46A6-9C93-E0CB6FA9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Vyhláška Ministerstva výstavby a verejných prác Slovenskej republiky</vt:lpstr>
    </vt:vector>
  </TitlesOfParts>
  <Company>MVVP SR</Company>
  <LinksUpToDate>false</LinksUpToDate>
  <CharactersWithSpaces>11564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 Ministerstva výstavby a verejných prác Slovenskej republiky</dc:title>
  <dc:subject/>
  <dc:creator>Informatika</dc:creator>
  <cp:keywords/>
  <dc:description/>
  <cp:lastModifiedBy>Čerňanská, Jana</cp:lastModifiedBy>
  <cp:revision>3</cp:revision>
  <cp:lastPrinted>2020-06-30T08:52:00Z</cp:lastPrinted>
  <dcterms:created xsi:type="dcterms:W3CDTF">2020-07-29T09:40:00Z</dcterms:created>
  <dcterms:modified xsi:type="dcterms:W3CDTF">2020-08-28T12:08:00Z</dcterms:modified>
</cp:coreProperties>
</file>