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F0" w:rsidRPr="004914AF" w:rsidRDefault="00884CF0" w:rsidP="002E48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4AF">
        <w:rPr>
          <w:rFonts w:ascii="Times New Roman" w:hAnsi="Times New Roman"/>
          <w:b/>
          <w:sz w:val="24"/>
          <w:szCs w:val="24"/>
        </w:rPr>
        <w:t>Dôvodová správa</w:t>
      </w:r>
    </w:p>
    <w:p w:rsidR="00884CF0" w:rsidRPr="004914AF" w:rsidRDefault="007A1484" w:rsidP="002E48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914AF">
        <w:rPr>
          <w:rFonts w:ascii="Times New Roman" w:hAnsi="Times New Roman"/>
          <w:b/>
          <w:sz w:val="24"/>
          <w:szCs w:val="24"/>
        </w:rPr>
        <w:t>Osobitná</w:t>
      </w:r>
      <w:r w:rsidR="00830D25" w:rsidRPr="004914AF">
        <w:rPr>
          <w:rFonts w:ascii="Times New Roman" w:hAnsi="Times New Roman"/>
          <w:b/>
          <w:sz w:val="24"/>
          <w:szCs w:val="24"/>
        </w:rPr>
        <w:t xml:space="preserve"> </w:t>
      </w:r>
      <w:r w:rsidR="00884CF0" w:rsidRPr="004914AF">
        <w:rPr>
          <w:rFonts w:ascii="Times New Roman" w:hAnsi="Times New Roman"/>
          <w:b/>
          <w:sz w:val="24"/>
          <w:szCs w:val="24"/>
        </w:rPr>
        <w:t>časť</w:t>
      </w:r>
    </w:p>
    <w:p w:rsidR="00E878F0" w:rsidRPr="004914AF" w:rsidRDefault="00E878F0" w:rsidP="001426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F6F56" w:rsidRPr="004914AF" w:rsidRDefault="00E878F0" w:rsidP="001426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4914AF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K § 1</w:t>
      </w:r>
    </w:p>
    <w:p w:rsidR="00384A1C" w:rsidRDefault="002F6F56" w:rsidP="00C81F51">
      <w:pPr>
        <w:spacing w:line="240" w:lineRule="auto"/>
        <w:jc w:val="both"/>
      </w:pPr>
      <w:r w:rsidRPr="004914A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Navrhovaným ustanovením § 1 sa </w:t>
      </w:r>
      <w:r w:rsidR="00384A1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upravujú niektoré opatrenia súvisiace so zrušením </w:t>
      </w:r>
      <w:r w:rsidRPr="004914AF">
        <w:rPr>
          <w:rFonts w:ascii="Times New Roman" w:hAnsi="Times New Roman"/>
          <w:sz w:val="24"/>
          <w:szCs w:val="24"/>
        </w:rPr>
        <w:t xml:space="preserve">osobitného odvodu </w:t>
      </w:r>
      <w:r w:rsidR="00384A1C">
        <w:rPr>
          <w:rFonts w:ascii="Times New Roman" w:hAnsi="Times New Roman"/>
          <w:sz w:val="24"/>
          <w:szCs w:val="24"/>
        </w:rPr>
        <w:t xml:space="preserve">vybraných finančných inštitúcií a </w:t>
      </w:r>
      <w:r w:rsidR="00384A1C" w:rsidRPr="00384A1C">
        <w:rPr>
          <w:rFonts w:ascii="Times New Roman" w:hAnsi="Times New Roman"/>
          <w:sz w:val="24"/>
          <w:szCs w:val="24"/>
        </w:rPr>
        <w:t>prechodné ustanovenia, ktoré majú vytvoriť legislatívne predpoklady na vyriešenie právnych vzťahov súvisiacich so zrušením zákona</w:t>
      </w:r>
      <w:r w:rsidR="005B4C4C">
        <w:rPr>
          <w:rFonts w:ascii="Times New Roman" w:hAnsi="Times New Roman"/>
          <w:sz w:val="24"/>
          <w:szCs w:val="24"/>
        </w:rPr>
        <w:t xml:space="preserve"> </w:t>
      </w:r>
      <w:r w:rsidR="005B4C4C" w:rsidRPr="004914AF">
        <w:rPr>
          <w:rFonts w:ascii="Times New Roman" w:hAnsi="Times New Roman"/>
          <w:bCs/>
          <w:sz w:val="24"/>
          <w:szCs w:val="24"/>
        </w:rPr>
        <w:t>384/2011</w:t>
      </w:r>
      <w:r w:rsidR="005B4C4C">
        <w:rPr>
          <w:rFonts w:ascii="Times New Roman" w:hAnsi="Times New Roman"/>
          <w:bCs/>
          <w:sz w:val="24"/>
          <w:szCs w:val="24"/>
        </w:rPr>
        <w:t> </w:t>
      </w:r>
      <w:r w:rsidR="005B4C4C" w:rsidRPr="004914AF">
        <w:rPr>
          <w:rFonts w:ascii="Times New Roman" w:hAnsi="Times New Roman"/>
          <w:bCs/>
          <w:sz w:val="24"/>
          <w:szCs w:val="24"/>
        </w:rPr>
        <w:t>Z.</w:t>
      </w:r>
      <w:r w:rsidR="005B4C4C">
        <w:rPr>
          <w:rFonts w:ascii="Times New Roman" w:hAnsi="Times New Roman"/>
          <w:bCs/>
          <w:sz w:val="24"/>
          <w:szCs w:val="24"/>
        </w:rPr>
        <w:t> </w:t>
      </w:r>
      <w:r w:rsidR="005B4C4C" w:rsidRPr="004914AF">
        <w:rPr>
          <w:rFonts w:ascii="Times New Roman" w:hAnsi="Times New Roman"/>
          <w:bCs/>
          <w:sz w:val="24"/>
          <w:szCs w:val="24"/>
        </w:rPr>
        <w:t>z.</w:t>
      </w:r>
      <w:r w:rsidR="00384A1C" w:rsidRPr="00384A1C">
        <w:rPr>
          <w:rFonts w:ascii="Times New Roman" w:hAnsi="Times New Roman"/>
          <w:sz w:val="24"/>
          <w:szCs w:val="24"/>
        </w:rPr>
        <w:t xml:space="preserve"> </w:t>
      </w:r>
      <w:r w:rsidR="005B4C4C" w:rsidRPr="005B4C4C">
        <w:rPr>
          <w:rFonts w:ascii="Times New Roman" w:hAnsi="Times New Roman"/>
          <w:sz w:val="24"/>
          <w:szCs w:val="24"/>
        </w:rPr>
        <w:t>o osobitnom odvode vybraných finančných inštitúcií a o doplnení niektorých zákonov</w:t>
      </w:r>
      <w:r w:rsidR="00384A1C">
        <w:rPr>
          <w:rFonts w:ascii="Times New Roman" w:hAnsi="Times New Roman"/>
          <w:sz w:val="24"/>
          <w:szCs w:val="24"/>
        </w:rPr>
        <w:t>.</w:t>
      </w:r>
    </w:p>
    <w:p w:rsidR="00165604" w:rsidRPr="004914AF" w:rsidRDefault="00384A1C" w:rsidP="00C81F51">
      <w:pPr>
        <w:jc w:val="both"/>
      </w:pPr>
      <w:r>
        <w:rPr>
          <w:rFonts w:ascii="Times New Roman" w:hAnsi="Times New Roman"/>
          <w:sz w:val="24"/>
          <w:szCs w:val="24"/>
        </w:rPr>
        <w:t xml:space="preserve">V odseku 1 sa navrhuje zánik povinnosti platiť osobitný odvod </w:t>
      </w:r>
      <w:r w:rsidRPr="00384A1C">
        <w:rPr>
          <w:rFonts w:ascii="Times New Roman" w:hAnsi="Times New Roman"/>
          <w:sz w:val="24"/>
          <w:szCs w:val="24"/>
        </w:rPr>
        <w:t>bankou a pobočkou zahraničnej banky</w:t>
      </w:r>
      <w:r>
        <w:rPr>
          <w:rFonts w:ascii="Times New Roman" w:hAnsi="Times New Roman"/>
          <w:sz w:val="24"/>
          <w:szCs w:val="24"/>
        </w:rPr>
        <w:t xml:space="preserve"> za podmienok uvedených v odsekoch 4 až 7</w:t>
      </w:r>
      <w:r w:rsidR="002F6F56" w:rsidRPr="004914AF">
        <w:rPr>
          <w:rFonts w:ascii="Times New Roman" w:hAnsi="Times New Roman"/>
          <w:sz w:val="24"/>
          <w:szCs w:val="24"/>
        </w:rPr>
        <w:t>.</w:t>
      </w:r>
    </w:p>
    <w:p w:rsidR="00E1416C" w:rsidRDefault="004E34D7" w:rsidP="00E1416C">
      <w:pPr>
        <w:pStyle w:val="Odsekzoznamu"/>
        <w:spacing w:before="240"/>
        <w:ind w:left="0"/>
        <w:jc w:val="both"/>
      </w:pPr>
      <w:r w:rsidRPr="004914AF">
        <w:t xml:space="preserve">V odseku </w:t>
      </w:r>
      <w:r w:rsidR="00384A1C">
        <w:t>2</w:t>
      </w:r>
      <w:r w:rsidRPr="004914AF">
        <w:t xml:space="preserve"> sa ustanovuje, že  jeho zrušením </w:t>
      </w:r>
      <w:r w:rsidR="00A372EC">
        <w:t xml:space="preserve">a po vysporiadaní podľa odseku 5 </w:t>
      </w:r>
      <w:r w:rsidRPr="004914AF">
        <w:t xml:space="preserve">zostatok uhradeného osobitného odvodu </w:t>
      </w:r>
      <w:r w:rsidR="00A372EC">
        <w:t>zo</w:t>
      </w:r>
      <w:r w:rsidRPr="004914AF">
        <w:t>stáva štátnym finančným aktívom, tak ako podľa doterajšej právnej úpravy, pričom pri použití štátnych finančných aktív sa postupuje podľa zákona č. 523/2004 Z. z. o rozpočtových pravidlách verejnej správy a o zmene a doplnení niektorých zákonov v znení neskorších predpisov. Uvedené finančné prostriedky sa môžu použiť v súlade s Memorandom o porozumení uzavretom medzi Ministerstvom financií SR a Slovenskou bankovou asociáciou v júni 2020 (ďalej len „memorandum o porozumení“) na činnosť Rozvojového fondu Slovenska, ktorá bude zameraná na podporu a financovanie rozvojových programov vlády Slovenskej republiky a tým sa zabezpečí, aby banky mali možnosť podieľať sa na financovaní projektov tohto fondu</w:t>
      </w:r>
      <w:r w:rsidR="00E1416C">
        <w:t xml:space="preserve">, </w:t>
      </w:r>
      <w:r w:rsidR="00B2348D" w:rsidRPr="00B2348D">
        <w:t>prípadne na posilnenie Fondu ochrany vkladov, fondu pre riešenie krízových situácií alebo na úhradu oprávnených výdavkov Rady pre riešenie krízových situácií podľa zákona č. 371/2014 Z. z.</w:t>
      </w:r>
      <w:bookmarkStart w:id="0" w:name="_GoBack"/>
      <w:bookmarkEnd w:id="0"/>
      <w:r w:rsidR="00B2348D" w:rsidRPr="00B2348D">
        <w:t>, v znení neskorších predpisov.</w:t>
      </w:r>
    </w:p>
    <w:p w:rsidR="00165604" w:rsidRPr="004914AF" w:rsidRDefault="00165604" w:rsidP="004E3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34D7" w:rsidRPr="004914AF" w:rsidRDefault="004E34D7" w:rsidP="004E3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14AF">
        <w:rPr>
          <w:rFonts w:ascii="Times New Roman" w:hAnsi="Times New Roman"/>
          <w:bCs/>
          <w:sz w:val="24"/>
          <w:szCs w:val="24"/>
        </w:rPr>
        <w:t xml:space="preserve">Odsekom </w:t>
      </w:r>
      <w:r w:rsidR="00384A1C">
        <w:rPr>
          <w:rFonts w:ascii="Times New Roman" w:hAnsi="Times New Roman"/>
          <w:bCs/>
          <w:sz w:val="24"/>
          <w:szCs w:val="24"/>
        </w:rPr>
        <w:t>3</w:t>
      </w:r>
      <w:r w:rsidRPr="004914AF">
        <w:rPr>
          <w:rFonts w:ascii="Times New Roman" w:hAnsi="Times New Roman"/>
          <w:bCs/>
          <w:sz w:val="24"/>
          <w:szCs w:val="24"/>
        </w:rPr>
        <w:t xml:space="preserve"> sa navrhuje, aby sa začaté konania</w:t>
      </w:r>
      <w:r w:rsidR="00BC0D85" w:rsidRPr="00BC0D85">
        <w:t xml:space="preserve"> </w:t>
      </w:r>
      <w:r w:rsidR="00BC0D85" w:rsidRPr="00BC0D85">
        <w:rPr>
          <w:rFonts w:ascii="Times New Roman" w:hAnsi="Times New Roman"/>
          <w:bCs/>
          <w:sz w:val="24"/>
          <w:szCs w:val="24"/>
        </w:rPr>
        <w:t>právoplatne</w:t>
      </w:r>
      <w:r w:rsidRPr="004914AF">
        <w:rPr>
          <w:rFonts w:ascii="Times New Roman" w:hAnsi="Times New Roman"/>
          <w:bCs/>
          <w:sz w:val="24"/>
          <w:szCs w:val="24"/>
        </w:rPr>
        <w:t xml:space="preserve"> neskončené do zrušenia zákona č.</w:t>
      </w:r>
      <w:r w:rsidR="00384A1C">
        <w:rPr>
          <w:rFonts w:ascii="Times New Roman" w:hAnsi="Times New Roman"/>
          <w:bCs/>
          <w:sz w:val="24"/>
          <w:szCs w:val="24"/>
        </w:rPr>
        <w:t> </w:t>
      </w:r>
      <w:r w:rsidRPr="004914AF">
        <w:rPr>
          <w:rFonts w:ascii="Times New Roman" w:hAnsi="Times New Roman"/>
          <w:bCs/>
          <w:sz w:val="24"/>
          <w:szCs w:val="24"/>
        </w:rPr>
        <w:t>384/2011</w:t>
      </w:r>
      <w:r w:rsidR="00384A1C">
        <w:rPr>
          <w:rFonts w:ascii="Times New Roman" w:hAnsi="Times New Roman"/>
          <w:bCs/>
          <w:sz w:val="24"/>
          <w:szCs w:val="24"/>
        </w:rPr>
        <w:t> </w:t>
      </w:r>
      <w:r w:rsidRPr="004914AF">
        <w:rPr>
          <w:rFonts w:ascii="Times New Roman" w:hAnsi="Times New Roman"/>
          <w:bCs/>
          <w:sz w:val="24"/>
          <w:szCs w:val="24"/>
        </w:rPr>
        <w:t>Z.</w:t>
      </w:r>
      <w:r w:rsidR="00384A1C">
        <w:rPr>
          <w:rFonts w:ascii="Times New Roman" w:hAnsi="Times New Roman"/>
          <w:bCs/>
          <w:sz w:val="24"/>
          <w:szCs w:val="24"/>
        </w:rPr>
        <w:t> </w:t>
      </w:r>
      <w:r w:rsidRPr="004914AF">
        <w:rPr>
          <w:rFonts w:ascii="Times New Roman" w:hAnsi="Times New Roman"/>
          <w:bCs/>
          <w:sz w:val="24"/>
          <w:szCs w:val="24"/>
        </w:rPr>
        <w:t>z., t.</w:t>
      </w:r>
      <w:r w:rsidR="0011069B" w:rsidRPr="004914AF">
        <w:rPr>
          <w:rFonts w:ascii="Times New Roman" w:hAnsi="Times New Roman"/>
          <w:bCs/>
          <w:sz w:val="24"/>
          <w:szCs w:val="24"/>
        </w:rPr>
        <w:t xml:space="preserve"> </w:t>
      </w:r>
      <w:r w:rsidRPr="004914AF">
        <w:rPr>
          <w:rFonts w:ascii="Times New Roman" w:hAnsi="Times New Roman"/>
          <w:bCs/>
          <w:sz w:val="24"/>
          <w:szCs w:val="24"/>
        </w:rPr>
        <w:t>j. do 31. 12.</w:t>
      </w:r>
      <w:r w:rsidR="00591AB3" w:rsidRPr="004914AF">
        <w:rPr>
          <w:rFonts w:ascii="Times New Roman" w:hAnsi="Times New Roman"/>
          <w:bCs/>
          <w:sz w:val="24"/>
          <w:szCs w:val="24"/>
        </w:rPr>
        <w:t xml:space="preserve"> </w:t>
      </w:r>
      <w:r w:rsidRPr="004914AF">
        <w:rPr>
          <w:rFonts w:ascii="Times New Roman" w:hAnsi="Times New Roman"/>
          <w:bCs/>
          <w:sz w:val="24"/>
          <w:szCs w:val="24"/>
        </w:rPr>
        <w:t>2020 dokončili podľa zákona č. 384/2011 Z. z.</w:t>
      </w:r>
      <w:r w:rsidR="00BC0D85">
        <w:rPr>
          <w:rFonts w:ascii="Times New Roman" w:hAnsi="Times New Roman"/>
          <w:bCs/>
          <w:sz w:val="24"/>
          <w:szCs w:val="24"/>
        </w:rPr>
        <w:t>.</w:t>
      </w:r>
      <w:r w:rsidRPr="004914AF">
        <w:rPr>
          <w:rFonts w:ascii="Times New Roman" w:hAnsi="Times New Roman"/>
          <w:bCs/>
          <w:sz w:val="24"/>
          <w:szCs w:val="24"/>
        </w:rPr>
        <w:t xml:space="preserve"> Ide o konania o pokute, konania o uložení povinnosti uhradiť neuhradenú splátku odvodu alebo jeho časť. </w:t>
      </w:r>
    </w:p>
    <w:p w:rsidR="00165604" w:rsidRPr="004914AF" w:rsidRDefault="00165604" w:rsidP="004E3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632B" w:rsidRPr="004914AF" w:rsidRDefault="004E34D7" w:rsidP="004E3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14AF">
        <w:rPr>
          <w:rFonts w:ascii="Times New Roman" w:hAnsi="Times New Roman"/>
          <w:bCs/>
          <w:sz w:val="24"/>
          <w:szCs w:val="24"/>
        </w:rPr>
        <w:t xml:space="preserve">Odsekom </w:t>
      </w:r>
      <w:r w:rsidR="00BC0D85">
        <w:rPr>
          <w:rFonts w:ascii="Times New Roman" w:hAnsi="Times New Roman"/>
          <w:bCs/>
          <w:sz w:val="24"/>
          <w:szCs w:val="24"/>
        </w:rPr>
        <w:t>4</w:t>
      </w:r>
      <w:r w:rsidRPr="004914AF">
        <w:rPr>
          <w:rFonts w:ascii="Times New Roman" w:hAnsi="Times New Roman"/>
          <w:bCs/>
          <w:sz w:val="24"/>
          <w:szCs w:val="24"/>
        </w:rPr>
        <w:t xml:space="preserve"> sa navrhuje riešiť situáciu, ako sa postupuje, ak banka a pobočka zahraničnej banky zaplat</w:t>
      </w:r>
      <w:r w:rsidR="00336D2A" w:rsidRPr="004914AF">
        <w:rPr>
          <w:rFonts w:ascii="Times New Roman" w:hAnsi="Times New Roman"/>
          <w:bCs/>
          <w:sz w:val="24"/>
          <w:szCs w:val="24"/>
        </w:rPr>
        <w:t>ila</w:t>
      </w:r>
      <w:r w:rsidRPr="004914AF">
        <w:rPr>
          <w:rFonts w:ascii="Times New Roman" w:hAnsi="Times New Roman"/>
          <w:bCs/>
          <w:sz w:val="24"/>
          <w:szCs w:val="24"/>
        </w:rPr>
        <w:t xml:space="preserve"> vyššiu splátku ako mala zaplatiť. Ide o situáciu, ak banka alebo pobočka zahraničnej banky uhradila splátku odvodu </w:t>
      </w:r>
      <w:r w:rsidR="00165604" w:rsidRPr="004914AF">
        <w:rPr>
          <w:rFonts w:ascii="Times New Roman" w:hAnsi="Times New Roman"/>
          <w:bCs/>
          <w:sz w:val="24"/>
          <w:szCs w:val="24"/>
        </w:rPr>
        <w:t xml:space="preserve">vo vyššej výške </w:t>
      </w:r>
      <w:r w:rsidRPr="004914AF">
        <w:rPr>
          <w:rFonts w:ascii="Times New Roman" w:hAnsi="Times New Roman"/>
          <w:bCs/>
          <w:sz w:val="24"/>
          <w:szCs w:val="24"/>
        </w:rPr>
        <w:t>ako mala zaplatiť za obdobie do 2. štvrťroka 2020</w:t>
      </w:r>
      <w:r w:rsidR="00165604" w:rsidRPr="004914AF">
        <w:rPr>
          <w:rFonts w:ascii="Times New Roman" w:hAnsi="Times New Roman"/>
          <w:bCs/>
          <w:sz w:val="24"/>
          <w:szCs w:val="24"/>
        </w:rPr>
        <w:t>.</w:t>
      </w:r>
      <w:r w:rsidR="00336D2A" w:rsidRPr="004914AF">
        <w:rPr>
          <w:rFonts w:ascii="Times New Roman" w:hAnsi="Times New Roman"/>
          <w:bCs/>
          <w:sz w:val="24"/>
          <w:szCs w:val="24"/>
        </w:rPr>
        <w:t xml:space="preserve"> Uvedená možnosť bola </w:t>
      </w:r>
      <w:r w:rsidR="00AE2B44" w:rsidRPr="004914AF">
        <w:rPr>
          <w:rFonts w:ascii="Times New Roman" w:hAnsi="Times New Roman"/>
          <w:bCs/>
          <w:sz w:val="24"/>
          <w:szCs w:val="24"/>
        </w:rPr>
        <w:t>aj</w:t>
      </w:r>
      <w:r w:rsidR="00336D2A" w:rsidRPr="004914AF">
        <w:rPr>
          <w:rFonts w:ascii="Times New Roman" w:hAnsi="Times New Roman"/>
          <w:bCs/>
          <w:sz w:val="24"/>
          <w:szCs w:val="24"/>
        </w:rPr>
        <w:t xml:space="preserve"> v doterajšom zákone</w:t>
      </w:r>
      <w:r w:rsidR="005B4C4C">
        <w:rPr>
          <w:rFonts w:ascii="Times New Roman" w:hAnsi="Times New Roman"/>
          <w:bCs/>
          <w:sz w:val="24"/>
          <w:szCs w:val="24"/>
        </w:rPr>
        <w:t xml:space="preserve"> </w:t>
      </w:r>
      <w:r w:rsidR="005B4C4C" w:rsidRPr="004914AF">
        <w:rPr>
          <w:rFonts w:ascii="Times New Roman" w:hAnsi="Times New Roman"/>
          <w:bCs/>
          <w:sz w:val="24"/>
          <w:szCs w:val="24"/>
        </w:rPr>
        <w:t>č. 384/2011 Z. z.</w:t>
      </w:r>
      <w:r w:rsidR="00336D2A" w:rsidRPr="004914AF">
        <w:rPr>
          <w:rFonts w:ascii="Times New Roman" w:hAnsi="Times New Roman"/>
          <w:bCs/>
          <w:sz w:val="24"/>
          <w:szCs w:val="24"/>
        </w:rPr>
        <w:t xml:space="preserve">, avšak rozdiel </w:t>
      </w:r>
      <w:r w:rsidR="00C8632B" w:rsidRPr="004914AF">
        <w:rPr>
          <w:rFonts w:ascii="Times New Roman" w:hAnsi="Times New Roman"/>
          <w:bCs/>
          <w:sz w:val="24"/>
          <w:szCs w:val="24"/>
        </w:rPr>
        <w:t xml:space="preserve">vyššej splátky </w:t>
      </w:r>
      <w:r w:rsidR="00336D2A" w:rsidRPr="004914AF">
        <w:rPr>
          <w:rFonts w:ascii="Times New Roman" w:hAnsi="Times New Roman"/>
          <w:bCs/>
          <w:sz w:val="24"/>
          <w:szCs w:val="24"/>
        </w:rPr>
        <w:t>bolo možné „vysporiadať“ v nasledujúce</w:t>
      </w:r>
      <w:r w:rsidR="00C8632B" w:rsidRPr="004914AF">
        <w:rPr>
          <w:rFonts w:ascii="Times New Roman" w:hAnsi="Times New Roman"/>
          <w:bCs/>
          <w:sz w:val="24"/>
          <w:szCs w:val="24"/>
        </w:rPr>
        <w:t>j</w:t>
      </w:r>
      <w:r w:rsidR="00336D2A" w:rsidRPr="004914AF">
        <w:rPr>
          <w:rFonts w:ascii="Times New Roman" w:hAnsi="Times New Roman"/>
          <w:bCs/>
          <w:sz w:val="24"/>
          <w:szCs w:val="24"/>
        </w:rPr>
        <w:t xml:space="preserve"> splátke osobitného odvodu</w:t>
      </w:r>
      <w:r w:rsidR="00C8632B" w:rsidRPr="004914AF">
        <w:rPr>
          <w:rFonts w:ascii="Times New Roman" w:hAnsi="Times New Roman"/>
          <w:bCs/>
          <w:sz w:val="24"/>
          <w:szCs w:val="24"/>
        </w:rPr>
        <w:t>. Tým, že sa splátky odvodu už nebudú uhrádzať, navrhuje sa spôsob „vysporiadania“ splátky formou vrátenia rozdielu medzi požadovanou výškou a skutočne uhradenou výškou odvodu, ak banka uhradila vyššiu splátku ako mala.</w:t>
      </w:r>
    </w:p>
    <w:p w:rsidR="00ED6DA8" w:rsidRPr="004914AF" w:rsidRDefault="00ED6DA8" w:rsidP="004E3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6DA8" w:rsidRPr="004914AF" w:rsidRDefault="00ED6DA8" w:rsidP="004E3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14AF">
        <w:rPr>
          <w:rFonts w:ascii="Times New Roman" w:hAnsi="Times New Roman"/>
          <w:bCs/>
          <w:sz w:val="24"/>
          <w:szCs w:val="24"/>
        </w:rPr>
        <w:t xml:space="preserve">Odsekom </w:t>
      </w:r>
      <w:r w:rsidR="00BC0D85">
        <w:rPr>
          <w:rFonts w:ascii="Times New Roman" w:hAnsi="Times New Roman"/>
          <w:bCs/>
          <w:sz w:val="24"/>
          <w:szCs w:val="24"/>
        </w:rPr>
        <w:t>5</w:t>
      </w:r>
      <w:r w:rsidR="00BC0D85" w:rsidRPr="004914AF">
        <w:rPr>
          <w:rFonts w:ascii="Times New Roman" w:hAnsi="Times New Roman"/>
          <w:bCs/>
          <w:sz w:val="24"/>
          <w:szCs w:val="24"/>
        </w:rPr>
        <w:t xml:space="preserve"> </w:t>
      </w:r>
      <w:r w:rsidRPr="004914AF">
        <w:rPr>
          <w:rFonts w:ascii="Times New Roman" w:hAnsi="Times New Roman"/>
          <w:bCs/>
          <w:sz w:val="24"/>
          <w:szCs w:val="24"/>
        </w:rPr>
        <w:t>sa navrhuje riešiť situáciu ak je uhradená splátka osobitného odvodu podľa odseku 3 prevedená na príslušný účet štátnych finančných aktív. Dáva sa kompetencia Ministerstvu financií Slovenskej republiky znížiť štátne finančné aktíva o rozdiel súm uhradenej splátky osobitného odvodu a splátky osobitného odvodu, ktorú bola banka alebo pobočka zahraničnej banky povinná uhradiť a zaslať túto sumu na základe žiadosti Úradu pre vybrané hospodárske subjekty na Úradom pre vybrané hospodárske subjekty určený účet</w:t>
      </w:r>
      <w:r w:rsidR="00044FEF" w:rsidRPr="004914AF">
        <w:rPr>
          <w:rFonts w:ascii="Times New Roman" w:hAnsi="Times New Roman"/>
          <w:bCs/>
          <w:sz w:val="24"/>
          <w:szCs w:val="24"/>
        </w:rPr>
        <w:t>.</w:t>
      </w:r>
    </w:p>
    <w:p w:rsidR="00165604" w:rsidRPr="004914AF" w:rsidRDefault="00C8632B" w:rsidP="004E34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14AF">
        <w:rPr>
          <w:rFonts w:ascii="Times New Roman" w:hAnsi="Times New Roman"/>
          <w:bCs/>
          <w:sz w:val="24"/>
          <w:szCs w:val="24"/>
        </w:rPr>
        <w:t xml:space="preserve"> </w:t>
      </w:r>
    </w:p>
    <w:p w:rsidR="00C8632B" w:rsidRPr="004914AF" w:rsidRDefault="00165604" w:rsidP="004E3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4AF">
        <w:rPr>
          <w:rFonts w:ascii="Times New Roman" w:hAnsi="Times New Roman"/>
          <w:bCs/>
          <w:sz w:val="24"/>
          <w:szCs w:val="24"/>
        </w:rPr>
        <w:t xml:space="preserve">Odsekom </w:t>
      </w:r>
      <w:r w:rsidR="00BC0D85">
        <w:rPr>
          <w:rFonts w:ascii="Times New Roman" w:hAnsi="Times New Roman"/>
          <w:bCs/>
          <w:sz w:val="24"/>
          <w:szCs w:val="24"/>
        </w:rPr>
        <w:t>6</w:t>
      </w:r>
      <w:r w:rsidRPr="004914AF">
        <w:rPr>
          <w:rFonts w:ascii="Times New Roman" w:hAnsi="Times New Roman"/>
          <w:bCs/>
          <w:sz w:val="24"/>
          <w:szCs w:val="24"/>
        </w:rPr>
        <w:t xml:space="preserve"> sa navrhuje riešiť situáciu, ak</w:t>
      </w:r>
      <w:r w:rsidR="001362BF" w:rsidRPr="004914AF">
        <w:rPr>
          <w:rFonts w:ascii="Times New Roman" w:hAnsi="Times New Roman"/>
          <w:sz w:val="24"/>
          <w:szCs w:val="24"/>
        </w:rPr>
        <w:t xml:space="preserve"> </w:t>
      </w:r>
      <w:r w:rsidR="00336D2A" w:rsidRPr="004914AF">
        <w:rPr>
          <w:rFonts w:ascii="Times New Roman" w:hAnsi="Times New Roman"/>
          <w:sz w:val="24"/>
          <w:szCs w:val="24"/>
        </w:rPr>
        <w:t xml:space="preserve">banka alebo pobočka zahraničnej banky </w:t>
      </w:r>
      <w:r w:rsidR="00BC0D85">
        <w:rPr>
          <w:rFonts w:ascii="Times New Roman" w:hAnsi="Times New Roman"/>
          <w:sz w:val="24"/>
          <w:szCs w:val="24"/>
        </w:rPr>
        <w:t>uhradila</w:t>
      </w:r>
      <w:r w:rsidR="00BC0D85" w:rsidRPr="004914AF">
        <w:rPr>
          <w:rFonts w:ascii="Times New Roman" w:hAnsi="Times New Roman"/>
          <w:sz w:val="24"/>
          <w:szCs w:val="24"/>
        </w:rPr>
        <w:t xml:space="preserve"> </w:t>
      </w:r>
      <w:r w:rsidR="00336D2A" w:rsidRPr="004914AF">
        <w:rPr>
          <w:rFonts w:ascii="Times New Roman" w:hAnsi="Times New Roman"/>
          <w:sz w:val="24"/>
          <w:szCs w:val="24"/>
        </w:rPr>
        <w:t xml:space="preserve">v roku 2020 splátku osobitného odvodu, ktorá sa podľa zákona </w:t>
      </w:r>
      <w:r w:rsidR="00AE2B44" w:rsidRPr="004914AF">
        <w:rPr>
          <w:rFonts w:ascii="Times New Roman" w:hAnsi="Times New Roman"/>
          <w:sz w:val="24"/>
          <w:szCs w:val="24"/>
        </w:rPr>
        <w:t xml:space="preserve">č. 67/2020 Z. z. o niektorých </w:t>
      </w:r>
      <w:r w:rsidR="00AE2B44" w:rsidRPr="004914AF">
        <w:rPr>
          <w:rFonts w:ascii="Times New Roman" w:hAnsi="Times New Roman"/>
          <w:sz w:val="24"/>
          <w:szCs w:val="24"/>
        </w:rPr>
        <w:lastRenderedPageBreak/>
        <w:t>mimoriadnych opatreniach vo finančnej oblasti v súvislosti so šírením nebezpečnej nákazlivej ľudskej choroby COVID-19</w:t>
      </w:r>
      <w:r w:rsidR="00336D2A" w:rsidRPr="004914AF">
        <w:rPr>
          <w:rFonts w:ascii="Times New Roman" w:hAnsi="Times New Roman"/>
          <w:sz w:val="24"/>
          <w:szCs w:val="24"/>
        </w:rPr>
        <w:t xml:space="preserve"> neuhrádzala. </w:t>
      </w:r>
    </w:p>
    <w:p w:rsidR="00336D2A" w:rsidRPr="004914AF" w:rsidRDefault="001362BF" w:rsidP="004E3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4AF">
        <w:rPr>
          <w:rFonts w:ascii="Times New Roman" w:hAnsi="Times New Roman"/>
          <w:sz w:val="24"/>
          <w:szCs w:val="24"/>
        </w:rPr>
        <w:t>Lehota na uplatnenie takej</w:t>
      </w:r>
      <w:r w:rsidR="00336D2A" w:rsidRPr="004914AF">
        <w:rPr>
          <w:rFonts w:ascii="Times New Roman" w:hAnsi="Times New Roman"/>
          <w:sz w:val="24"/>
          <w:szCs w:val="24"/>
        </w:rPr>
        <w:t xml:space="preserve">to sumy na vrátenie je do 31. marca 2021 v oboch prípadoch. </w:t>
      </w:r>
    </w:p>
    <w:p w:rsidR="00336D2A" w:rsidRPr="004914AF" w:rsidRDefault="00336D2A" w:rsidP="004E3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D2A" w:rsidRPr="004914AF" w:rsidRDefault="00336D2A" w:rsidP="004E3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4AF">
        <w:rPr>
          <w:rFonts w:ascii="Times New Roman" w:hAnsi="Times New Roman"/>
          <w:sz w:val="24"/>
          <w:szCs w:val="24"/>
        </w:rPr>
        <w:t xml:space="preserve">Odsekom </w:t>
      </w:r>
      <w:r w:rsidR="00BC0D85">
        <w:rPr>
          <w:rFonts w:ascii="Times New Roman" w:hAnsi="Times New Roman"/>
          <w:sz w:val="24"/>
          <w:szCs w:val="24"/>
        </w:rPr>
        <w:t>7</w:t>
      </w:r>
      <w:r w:rsidRPr="004914AF">
        <w:rPr>
          <w:rFonts w:ascii="Times New Roman" w:hAnsi="Times New Roman"/>
          <w:sz w:val="24"/>
          <w:szCs w:val="24"/>
        </w:rPr>
        <w:t xml:space="preserve"> sa upravuje postup, ak </w:t>
      </w:r>
      <w:r w:rsidRPr="004914AF">
        <w:rPr>
          <w:rFonts w:ascii="Times New Roman" w:hAnsi="Times New Roman"/>
          <w:bCs/>
          <w:sz w:val="24"/>
          <w:szCs w:val="24"/>
        </w:rPr>
        <w:t>banka a pobočka zahraničnej banky zaplat</w:t>
      </w:r>
      <w:r w:rsidR="00C8632B" w:rsidRPr="004914AF">
        <w:rPr>
          <w:rFonts w:ascii="Times New Roman" w:hAnsi="Times New Roman"/>
          <w:bCs/>
          <w:sz w:val="24"/>
          <w:szCs w:val="24"/>
        </w:rPr>
        <w:t>ila nižšiu</w:t>
      </w:r>
      <w:r w:rsidRPr="004914AF">
        <w:rPr>
          <w:rFonts w:ascii="Times New Roman" w:hAnsi="Times New Roman"/>
          <w:bCs/>
          <w:sz w:val="24"/>
          <w:szCs w:val="24"/>
        </w:rPr>
        <w:t xml:space="preserve"> splátku </w:t>
      </w:r>
      <w:r w:rsidR="00C8632B" w:rsidRPr="004914AF">
        <w:rPr>
          <w:rFonts w:ascii="Times New Roman" w:hAnsi="Times New Roman"/>
          <w:bCs/>
          <w:sz w:val="24"/>
          <w:szCs w:val="24"/>
        </w:rPr>
        <w:t xml:space="preserve">odvodu </w:t>
      </w:r>
      <w:r w:rsidRPr="004914AF">
        <w:rPr>
          <w:rFonts w:ascii="Times New Roman" w:hAnsi="Times New Roman"/>
          <w:bCs/>
          <w:sz w:val="24"/>
          <w:szCs w:val="24"/>
        </w:rPr>
        <w:t xml:space="preserve">ako mala zaplatiť. </w:t>
      </w:r>
      <w:r w:rsidR="00C8632B" w:rsidRPr="004914AF">
        <w:rPr>
          <w:rFonts w:ascii="Times New Roman" w:hAnsi="Times New Roman"/>
          <w:bCs/>
          <w:sz w:val="24"/>
          <w:szCs w:val="24"/>
        </w:rPr>
        <w:t xml:space="preserve">V tomto prípade sa použije postup </w:t>
      </w:r>
      <w:r w:rsidR="00C8632B" w:rsidRPr="004914AF">
        <w:rPr>
          <w:rFonts w:ascii="Times New Roman" w:hAnsi="Times New Roman"/>
          <w:sz w:val="24"/>
          <w:szCs w:val="24"/>
        </w:rPr>
        <w:t>§ 5 zákona</w:t>
      </w:r>
      <w:r w:rsidR="00BC0D85">
        <w:rPr>
          <w:rFonts w:ascii="Times New Roman" w:hAnsi="Times New Roman"/>
          <w:sz w:val="24"/>
          <w:szCs w:val="24"/>
        </w:rPr>
        <w:t xml:space="preserve"> č.</w:t>
      </w:r>
      <w:r w:rsidR="00EB4332">
        <w:rPr>
          <w:rFonts w:ascii="Times New Roman" w:hAnsi="Times New Roman"/>
          <w:bCs/>
          <w:sz w:val="24"/>
          <w:szCs w:val="24"/>
        </w:rPr>
        <w:t> </w:t>
      </w:r>
      <w:r w:rsidR="00BC0D85" w:rsidRPr="004914AF">
        <w:rPr>
          <w:rFonts w:ascii="Times New Roman" w:hAnsi="Times New Roman"/>
          <w:bCs/>
          <w:sz w:val="24"/>
          <w:szCs w:val="24"/>
        </w:rPr>
        <w:t>384/2011</w:t>
      </w:r>
      <w:r w:rsidR="00BC0D85">
        <w:rPr>
          <w:rFonts w:ascii="Times New Roman" w:hAnsi="Times New Roman"/>
          <w:bCs/>
          <w:sz w:val="24"/>
          <w:szCs w:val="24"/>
        </w:rPr>
        <w:t> </w:t>
      </w:r>
      <w:r w:rsidR="00BC0D85" w:rsidRPr="004914AF">
        <w:rPr>
          <w:rFonts w:ascii="Times New Roman" w:hAnsi="Times New Roman"/>
          <w:bCs/>
          <w:sz w:val="24"/>
          <w:szCs w:val="24"/>
        </w:rPr>
        <w:t>Z.</w:t>
      </w:r>
      <w:r w:rsidR="00BC0D85">
        <w:rPr>
          <w:rFonts w:ascii="Times New Roman" w:hAnsi="Times New Roman"/>
          <w:bCs/>
          <w:sz w:val="24"/>
          <w:szCs w:val="24"/>
        </w:rPr>
        <w:t> </w:t>
      </w:r>
      <w:r w:rsidR="00BC0D85" w:rsidRPr="004914AF">
        <w:rPr>
          <w:rFonts w:ascii="Times New Roman" w:hAnsi="Times New Roman"/>
          <w:bCs/>
          <w:sz w:val="24"/>
          <w:szCs w:val="24"/>
        </w:rPr>
        <w:t>z.</w:t>
      </w:r>
      <w:r w:rsidR="00C8632B" w:rsidRPr="004914AF">
        <w:rPr>
          <w:rFonts w:ascii="Times New Roman" w:hAnsi="Times New Roman"/>
          <w:sz w:val="24"/>
          <w:szCs w:val="24"/>
        </w:rPr>
        <w:t xml:space="preserve"> účinného do 31. decembra 2020.</w:t>
      </w:r>
    </w:p>
    <w:p w:rsidR="00336D2A" w:rsidRPr="004914AF" w:rsidRDefault="00336D2A" w:rsidP="004E3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4D7" w:rsidRPr="004914AF" w:rsidRDefault="004E34D7" w:rsidP="004E3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4AF">
        <w:rPr>
          <w:rFonts w:ascii="Times New Roman" w:hAnsi="Times New Roman"/>
          <w:bCs/>
          <w:sz w:val="24"/>
          <w:szCs w:val="24"/>
        </w:rPr>
        <w:t>Odsek</w:t>
      </w:r>
      <w:r w:rsidR="002F6F56" w:rsidRPr="004914AF">
        <w:rPr>
          <w:rFonts w:ascii="Times New Roman" w:hAnsi="Times New Roman"/>
          <w:bCs/>
          <w:sz w:val="24"/>
          <w:szCs w:val="24"/>
        </w:rPr>
        <w:t>om</w:t>
      </w:r>
      <w:r w:rsidRPr="004914AF">
        <w:rPr>
          <w:rFonts w:ascii="Times New Roman" w:hAnsi="Times New Roman"/>
          <w:bCs/>
          <w:sz w:val="24"/>
          <w:szCs w:val="24"/>
        </w:rPr>
        <w:t xml:space="preserve"> </w:t>
      </w:r>
      <w:r w:rsidR="005B4C4C">
        <w:rPr>
          <w:rFonts w:ascii="Times New Roman" w:hAnsi="Times New Roman"/>
          <w:bCs/>
          <w:sz w:val="24"/>
          <w:szCs w:val="24"/>
        </w:rPr>
        <w:t>8</w:t>
      </w:r>
      <w:r w:rsidRPr="004914AF">
        <w:rPr>
          <w:rFonts w:ascii="Times New Roman" w:hAnsi="Times New Roman"/>
          <w:bCs/>
          <w:sz w:val="24"/>
          <w:szCs w:val="24"/>
        </w:rPr>
        <w:t xml:space="preserve"> sa vytvára</w:t>
      </w:r>
      <w:r w:rsidR="002F6F56" w:rsidRPr="004914AF">
        <w:rPr>
          <w:rFonts w:ascii="Times New Roman" w:hAnsi="Times New Roman"/>
          <w:bCs/>
          <w:sz w:val="24"/>
          <w:szCs w:val="24"/>
        </w:rPr>
        <w:t>jú</w:t>
      </w:r>
      <w:r w:rsidRPr="004914AF">
        <w:rPr>
          <w:rFonts w:ascii="Times New Roman" w:hAnsi="Times New Roman"/>
          <w:bCs/>
          <w:sz w:val="24"/>
          <w:szCs w:val="24"/>
        </w:rPr>
        <w:t xml:space="preserve"> legislatívne predpoklady na pokračovanie vykonávania činnosti p</w:t>
      </w:r>
      <w:r w:rsidRPr="004914AF">
        <w:rPr>
          <w:rFonts w:ascii="Times New Roman" w:hAnsi="Times New Roman"/>
          <w:sz w:val="24"/>
          <w:szCs w:val="24"/>
        </w:rPr>
        <w:t>rávnickej osoby so 100-percentnou majetkovou účasťou štátu ustanovenou podľa § 4 ods. 5 zákona</w:t>
      </w:r>
      <w:r w:rsidR="005B4C4C">
        <w:rPr>
          <w:rFonts w:ascii="Times New Roman" w:hAnsi="Times New Roman"/>
          <w:sz w:val="24"/>
          <w:szCs w:val="24"/>
        </w:rPr>
        <w:t xml:space="preserve"> </w:t>
      </w:r>
      <w:r w:rsidR="005B4C4C" w:rsidRPr="004914AF">
        <w:rPr>
          <w:rFonts w:ascii="Times New Roman" w:hAnsi="Times New Roman"/>
          <w:bCs/>
          <w:sz w:val="24"/>
          <w:szCs w:val="24"/>
        </w:rPr>
        <w:t>384/2011</w:t>
      </w:r>
      <w:r w:rsidR="005B4C4C">
        <w:rPr>
          <w:rFonts w:ascii="Times New Roman" w:hAnsi="Times New Roman"/>
          <w:bCs/>
          <w:sz w:val="24"/>
          <w:szCs w:val="24"/>
        </w:rPr>
        <w:t> </w:t>
      </w:r>
      <w:r w:rsidR="005B4C4C" w:rsidRPr="004914AF">
        <w:rPr>
          <w:rFonts w:ascii="Times New Roman" w:hAnsi="Times New Roman"/>
          <w:bCs/>
          <w:sz w:val="24"/>
          <w:szCs w:val="24"/>
        </w:rPr>
        <w:t>Z.</w:t>
      </w:r>
      <w:r w:rsidR="005B4C4C">
        <w:rPr>
          <w:rFonts w:ascii="Times New Roman" w:hAnsi="Times New Roman"/>
          <w:bCs/>
          <w:sz w:val="24"/>
          <w:szCs w:val="24"/>
        </w:rPr>
        <w:t> </w:t>
      </w:r>
      <w:r w:rsidR="005B4C4C" w:rsidRPr="004914AF">
        <w:rPr>
          <w:rFonts w:ascii="Times New Roman" w:hAnsi="Times New Roman"/>
          <w:bCs/>
          <w:sz w:val="24"/>
          <w:szCs w:val="24"/>
        </w:rPr>
        <w:t>z.</w:t>
      </w:r>
      <w:r w:rsidRPr="004914AF">
        <w:rPr>
          <w:rFonts w:ascii="Times New Roman" w:hAnsi="Times New Roman"/>
          <w:sz w:val="24"/>
          <w:szCs w:val="24"/>
        </w:rPr>
        <w:t xml:space="preserve"> účinného do 31. decembra 2020, ktorou je Slovenská reštrukturalizačná, s.</w:t>
      </w:r>
      <w:r w:rsidR="0011069B" w:rsidRPr="004914AF">
        <w:rPr>
          <w:rFonts w:ascii="Times New Roman" w:hAnsi="Times New Roman"/>
          <w:sz w:val="24"/>
          <w:szCs w:val="24"/>
        </w:rPr>
        <w:t xml:space="preserve"> </w:t>
      </w:r>
      <w:r w:rsidRPr="004914AF">
        <w:rPr>
          <w:rFonts w:ascii="Times New Roman" w:hAnsi="Times New Roman"/>
          <w:sz w:val="24"/>
          <w:szCs w:val="24"/>
        </w:rPr>
        <w:t>r.</w:t>
      </w:r>
      <w:r w:rsidR="0011069B" w:rsidRPr="004914AF">
        <w:rPr>
          <w:rFonts w:ascii="Times New Roman" w:hAnsi="Times New Roman"/>
          <w:sz w:val="24"/>
          <w:szCs w:val="24"/>
        </w:rPr>
        <w:t xml:space="preserve"> </w:t>
      </w:r>
      <w:r w:rsidRPr="004914AF">
        <w:rPr>
          <w:rFonts w:ascii="Times New Roman" w:hAnsi="Times New Roman"/>
          <w:sz w:val="24"/>
          <w:szCs w:val="24"/>
        </w:rPr>
        <w:t xml:space="preserve">o. založená Ministerstvom financií SR, </w:t>
      </w:r>
      <w:r w:rsidRPr="004914AF">
        <w:rPr>
          <w:rFonts w:ascii="Times New Roman" w:hAnsi="Times New Roman"/>
          <w:sz w:val="24"/>
          <w:szCs w:val="24"/>
          <w:shd w:val="clear" w:color="auto" w:fill="FFFFFF"/>
        </w:rPr>
        <w:t>na posilnenie vlastných zdrojov financovania ktorej bolo možno použiť štátne finančné aktíva podľa </w:t>
      </w:r>
      <w:hyperlink r:id="rId7" w:anchor="paragraf-4.odsek-3" w:tooltip="Odkaz na predpis alebo ustanovenie" w:history="1">
        <w:r w:rsidRPr="004914AF">
          <w:rPr>
            <w:rStyle w:val="Hypertextovprepojenie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§ 4 ods. 3 zákona</w:t>
        </w:r>
      </w:hyperlink>
      <w:r w:rsidRPr="004914AF">
        <w:rPr>
          <w:rFonts w:ascii="Times New Roman" w:hAnsi="Times New Roman"/>
          <w:sz w:val="24"/>
          <w:szCs w:val="24"/>
        </w:rPr>
        <w:t xml:space="preserve"> č. 384/2011 Z. z. až do vysporiadania všetkých práv vyplývajúcich z jej činnosti, na ktorú bola zriadená.</w:t>
      </w:r>
    </w:p>
    <w:p w:rsidR="00BE098F" w:rsidRPr="004914AF" w:rsidRDefault="00BE098F" w:rsidP="004E3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98F" w:rsidRPr="004914AF" w:rsidRDefault="00BE098F" w:rsidP="004E3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4AF">
        <w:rPr>
          <w:rFonts w:ascii="Times New Roman" w:hAnsi="Times New Roman"/>
          <w:sz w:val="24"/>
          <w:szCs w:val="24"/>
        </w:rPr>
        <w:t xml:space="preserve">Odsekom </w:t>
      </w:r>
      <w:r w:rsidR="005B4C4C">
        <w:rPr>
          <w:rFonts w:ascii="Times New Roman" w:hAnsi="Times New Roman"/>
          <w:sz w:val="24"/>
          <w:szCs w:val="24"/>
        </w:rPr>
        <w:t>9</w:t>
      </w:r>
      <w:r w:rsidRPr="004914AF">
        <w:rPr>
          <w:rFonts w:ascii="Times New Roman" w:hAnsi="Times New Roman"/>
          <w:sz w:val="24"/>
          <w:szCs w:val="24"/>
        </w:rPr>
        <w:t xml:space="preserve"> sa navrhuje vznik zákonnej povinnosti právnickej osoby so 100</w:t>
      </w:r>
      <w:r w:rsidR="005C7CCE" w:rsidRPr="004914AF">
        <w:rPr>
          <w:rFonts w:ascii="Times New Roman" w:hAnsi="Times New Roman"/>
          <w:sz w:val="24"/>
          <w:szCs w:val="24"/>
        </w:rPr>
        <w:t xml:space="preserve"> percentnou</w:t>
      </w:r>
      <w:r w:rsidRPr="004914AF">
        <w:rPr>
          <w:rFonts w:ascii="Times New Roman" w:hAnsi="Times New Roman"/>
          <w:sz w:val="24"/>
          <w:szCs w:val="24"/>
        </w:rPr>
        <w:t xml:space="preserve"> majetkovou účasťou štátu uplatňovať voči dlžníkom vymáhateľné pohľadávky spolu s úrokom určeným podľa súčasnej výšky základnej úrokovej sadzby Európskej centrálnej banky zvýšenej o 2 percentuálne body, a to odo dňa účinnosti </w:t>
      </w:r>
      <w:r w:rsidR="00432726" w:rsidRPr="004914AF">
        <w:rPr>
          <w:rFonts w:ascii="Times New Roman" w:hAnsi="Times New Roman"/>
          <w:sz w:val="24"/>
          <w:szCs w:val="24"/>
        </w:rPr>
        <w:t>zákona do splatenia pohľadávok,</w:t>
      </w:r>
      <w:r w:rsidRPr="004914AF">
        <w:rPr>
          <w:rFonts w:ascii="Times New Roman" w:hAnsi="Times New Roman"/>
          <w:sz w:val="24"/>
          <w:szCs w:val="24"/>
        </w:rPr>
        <w:t xml:space="preserve"> okrem prípadu, ak dlžník je na základe iného právneho dôvodu povinný platiť právnickej osobe so 100</w:t>
      </w:r>
      <w:r w:rsidR="005C7CCE" w:rsidRPr="004914AF">
        <w:rPr>
          <w:rFonts w:ascii="Times New Roman" w:hAnsi="Times New Roman"/>
          <w:sz w:val="24"/>
          <w:szCs w:val="24"/>
        </w:rPr>
        <w:t xml:space="preserve"> percentnou</w:t>
      </w:r>
      <w:r w:rsidRPr="004914AF">
        <w:rPr>
          <w:rFonts w:ascii="Times New Roman" w:hAnsi="Times New Roman"/>
          <w:sz w:val="24"/>
          <w:szCs w:val="24"/>
        </w:rPr>
        <w:t xml:space="preserve"> majetkovou účasťou štátu </w:t>
      </w:r>
      <w:r w:rsidR="00ED6DA8" w:rsidRPr="004914AF">
        <w:rPr>
          <w:rFonts w:ascii="Times New Roman" w:hAnsi="Times New Roman"/>
          <w:sz w:val="24"/>
          <w:szCs w:val="24"/>
        </w:rPr>
        <w:t>iný úrok</w:t>
      </w:r>
      <w:r w:rsidRPr="004914AF">
        <w:rPr>
          <w:rFonts w:ascii="Times New Roman" w:hAnsi="Times New Roman"/>
          <w:sz w:val="24"/>
          <w:szCs w:val="24"/>
        </w:rPr>
        <w:t>.</w:t>
      </w:r>
    </w:p>
    <w:p w:rsidR="002F6F56" w:rsidRPr="004914AF" w:rsidRDefault="002F6F56" w:rsidP="00474B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3A2D8C" w:rsidRPr="004914AF" w:rsidRDefault="003A2D8C" w:rsidP="00474B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914AF">
        <w:rPr>
          <w:rFonts w:ascii="Times New Roman" w:hAnsi="Times New Roman"/>
          <w:bCs/>
          <w:sz w:val="24"/>
          <w:szCs w:val="24"/>
          <w:u w:val="single"/>
        </w:rPr>
        <w:t xml:space="preserve">K § </w:t>
      </w:r>
      <w:r w:rsidR="00384A1C">
        <w:rPr>
          <w:rFonts w:ascii="Times New Roman" w:hAnsi="Times New Roman"/>
          <w:bCs/>
          <w:sz w:val="24"/>
          <w:szCs w:val="24"/>
          <w:u w:val="single"/>
        </w:rPr>
        <w:t>2</w:t>
      </w:r>
    </w:p>
    <w:p w:rsidR="004E34D7" w:rsidRPr="004914AF" w:rsidRDefault="004E34D7" w:rsidP="004E34D7">
      <w:pPr>
        <w:shd w:val="clear" w:color="auto" w:fill="FFFFFF"/>
        <w:spacing w:before="100" w:after="30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4914A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Navrhovaným ustanovením § 1 sa ruší zákon č. 384/2011 Z. z. </w:t>
      </w:r>
      <w:r w:rsidRPr="004914AF">
        <w:rPr>
          <w:rStyle w:val="awspan1"/>
          <w:rFonts w:ascii="Times New Roman" w:hAnsi="Times New Roman"/>
        </w:rPr>
        <w:t>o</w:t>
      </w:r>
      <w:r w:rsidRPr="004914AF">
        <w:rPr>
          <w:rStyle w:val="awspan1"/>
          <w:rFonts w:ascii="Times New Roman" w:hAnsi="Times New Roman"/>
          <w:spacing w:val="68"/>
        </w:rPr>
        <w:t> </w:t>
      </w:r>
      <w:r w:rsidRPr="004914AF">
        <w:rPr>
          <w:rStyle w:val="awspan1"/>
          <w:rFonts w:ascii="Times New Roman" w:hAnsi="Times New Roman"/>
        </w:rPr>
        <w:t>osobitnom odvode</w:t>
      </w:r>
      <w:r w:rsidRPr="004914AF">
        <w:rPr>
          <w:rStyle w:val="awspan1"/>
          <w:rFonts w:ascii="Times New Roman" w:hAnsi="Times New Roman"/>
          <w:spacing w:val="68"/>
        </w:rPr>
        <w:t xml:space="preserve"> </w:t>
      </w:r>
      <w:r w:rsidRPr="004914AF">
        <w:rPr>
          <w:rStyle w:val="awspan1"/>
          <w:rFonts w:ascii="Times New Roman" w:hAnsi="Times New Roman"/>
        </w:rPr>
        <w:t xml:space="preserve">vybraných finančných inštitúcií a o doplnení niektorých zákonov v znení neskorších predpisov a </w:t>
      </w:r>
      <w:r w:rsidR="00AE2B44" w:rsidRPr="004914AF">
        <w:rPr>
          <w:rFonts w:ascii="Times New Roman" w:hAnsi="Times New Roman"/>
          <w:bCs/>
          <w:sz w:val="24"/>
          <w:szCs w:val="24"/>
        </w:rPr>
        <w:t>n</w:t>
      </w:r>
      <w:r w:rsidRPr="004914AF">
        <w:rPr>
          <w:rFonts w:ascii="Times New Roman" w:hAnsi="Times New Roman"/>
          <w:bCs/>
          <w:sz w:val="24"/>
          <w:szCs w:val="24"/>
        </w:rPr>
        <w:t>ariadenie vlády Slovenskej republiky č. 165/2015 Z. z. na vykonanie § 4 ods. 5 zákona č. </w:t>
      </w:r>
      <w:hyperlink r:id="rId8" w:tooltip="Odkaz na predpis alebo ustanovenie" w:history="1">
        <w:r w:rsidRPr="004914AF">
          <w:rPr>
            <w:rStyle w:val="Hypertextovprepojenie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384/2011 Z. z.</w:t>
        </w:r>
      </w:hyperlink>
      <w:r w:rsidRPr="004914AF">
        <w:rPr>
          <w:rFonts w:ascii="Times New Roman" w:hAnsi="Times New Roman"/>
          <w:bCs/>
          <w:sz w:val="24"/>
          <w:szCs w:val="24"/>
        </w:rPr>
        <w:t> o osobitnom odvode vybraných finančných inštitúcií a o doplnení niektorých zákonov v znení zákona č. 87/2015 Z. z.</w:t>
      </w:r>
    </w:p>
    <w:p w:rsidR="00F81814" w:rsidRPr="004914AF" w:rsidRDefault="00384A1C" w:rsidP="007A1484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4914AF">
        <w:rPr>
          <w:rFonts w:ascii="Times New Roman" w:hAnsi="Times New Roman"/>
          <w:bCs/>
          <w:sz w:val="24"/>
          <w:szCs w:val="24"/>
          <w:u w:val="single"/>
        </w:rPr>
        <w:t xml:space="preserve">K § </w:t>
      </w:r>
      <w:r>
        <w:rPr>
          <w:rFonts w:ascii="Times New Roman" w:hAnsi="Times New Roman"/>
          <w:bCs/>
          <w:sz w:val="24"/>
          <w:szCs w:val="24"/>
          <w:u w:val="single"/>
        </w:rPr>
        <w:t>3</w:t>
      </w:r>
    </w:p>
    <w:p w:rsidR="003A2D8C" w:rsidRDefault="00491B26" w:rsidP="00C81F51">
      <w:pPr>
        <w:shd w:val="clear" w:color="auto" w:fill="FFFFFF"/>
        <w:spacing w:before="100" w:after="300" w:line="259" w:lineRule="auto"/>
        <w:jc w:val="both"/>
        <w:rPr>
          <w:rFonts w:ascii="Times New Roman" w:hAnsi="Times New Roman"/>
          <w:sz w:val="24"/>
          <w:szCs w:val="24"/>
        </w:rPr>
      </w:pPr>
      <w:r w:rsidRPr="00C81F51">
        <w:rPr>
          <w:rFonts w:ascii="Times New Roman" w:hAnsi="Times New Roman"/>
          <w:color w:val="000000"/>
          <w:sz w:val="24"/>
          <w:szCs w:val="24"/>
          <w:lang w:eastAsia="sk-SK"/>
        </w:rPr>
        <w:t>Navrhuje</w:t>
      </w:r>
      <w:r w:rsidRPr="004914AF">
        <w:rPr>
          <w:rFonts w:ascii="Times New Roman" w:hAnsi="Times New Roman"/>
          <w:sz w:val="24"/>
          <w:szCs w:val="24"/>
        </w:rPr>
        <w:t xml:space="preserve"> sa účinnosť tejto právnej úpravy </w:t>
      </w:r>
      <w:r w:rsidR="003A2D8C" w:rsidRPr="004914AF">
        <w:rPr>
          <w:rFonts w:ascii="Times New Roman" w:hAnsi="Times New Roman"/>
          <w:sz w:val="24"/>
          <w:szCs w:val="24"/>
        </w:rPr>
        <w:t>od 1. januára 2021.</w:t>
      </w:r>
    </w:p>
    <w:sectPr w:rsidR="003A2D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45" w:rsidRDefault="00E14645" w:rsidP="00846642">
      <w:pPr>
        <w:spacing w:after="0" w:line="240" w:lineRule="auto"/>
      </w:pPr>
      <w:r>
        <w:separator/>
      </w:r>
    </w:p>
  </w:endnote>
  <w:endnote w:type="continuationSeparator" w:id="0">
    <w:p w:rsidR="00E14645" w:rsidRDefault="00E14645" w:rsidP="0084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42" w:rsidRPr="00820463" w:rsidRDefault="00846642">
    <w:pPr>
      <w:pStyle w:val="Pta"/>
      <w:jc w:val="center"/>
      <w:rPr>
        <w:rFonts w:ascii="Times New Roman" w:hAnsi="Times New Roman"/>
        <w:sz w:val="24"/>
        <w:szCs w:val="24"/>
      </w:rPr>
    </w:pPr>
    <w:r w:rsidRPr="00820463">
      <w:rPr>
        <w:rFonts w:ascii="Times New Roman" w:hAnsi="Times New Roman"/>
        <w:sz w:val="24"/>
        <w:szCs w:val="24"/>
      </w:rPr>
      <w:fldChar w:fldCharType="begin"/>
    </w:r>
    <w:r w:rsidRPr="00820463">
      <w:rPr>
        <w:rFonts w:ascii="Times New Roman" w:hAnsi="Times New Roman"/>
        <w:sz w:val="24"/>
        <w:szCs w:val="24"/>
      </w:rPr>
      <w:instrText>PAGE   \* MERGEFORMAT</w:instrText>
    </w:r>
    <w:r w:rsidRPr="00820463">
      <w:rPr>
        <w:rFonts w:ascii="Times New Roman" w:hAnsi="Times New Roman"/>
        <w:sz w:val="24"/>
        <w:szCs w:val="24"/>
      </w:rPr>
      <w:fldChar w:fldCharType="separate"/>
    </w:r>
    <w:r w:rsidR="00E14645">
      <w:rPr>
        <w:rFonts w:ascii="Times New Roman" w:hAnsi="Times New Roman"/>
        <w:noProof/>
        <w:sz w:val="24"/>
        <w:szCs w:val="24"/>
      </w:rPr>
      <w:t>1</w:t>
    </w:r>
    <w:r w:rsidRPr="00820463">
      <w:rPr>
        <w:rFonts w:ascii="Times New Roman" w:hAnsi="Times New Roman"/>
        <w:sz w:val="24"/>
        <w:szCs w:val="24"/>
      </w:rPr>
      <w:fldChar w:fldCharType="end"/>
    </w:r>
  </w:p>
  <w:p w:rsidR="00846642" w:rsidRDefault="008466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45" w:rsidRDefault="00E14645" w:rsidP="00846642">
      <w:pPr>
        <w:spacing w:after="0" w:line="240" w:lineRule="auto"/>
      </w:pPr>
      <w:r>
        <w:separator/>
      </w:r>
    </w:p>
  </w:footnote>
  <w:footnote w:type="continuationSeparator" w:id="0">
    <w:p w:rsidR="00E14645" w:rsidRDefault="00E14645" w:rsidP="0084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6FD7"/>
    <w:multiLevelType w:val="hybridMultilevel"/>
    <w:tmpl w:val="80DC1CC4"/>
    <w:lvl w:ilvl="0" w:tplc="A5D0B1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EB8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51C2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3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CBE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A89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26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0FE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238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0A8C"/>
    <w:multiLevelType w:val="hybridMultilevel"/>
    <w:tmpl w:val="B74A23C2"/>
    <w:lvl w:ilvl="0" w:tplc="C1FEB84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BCD7E57"/>
    <w:multiLevelType w:val="hybridMultilevel"/>
    <w:tmpl w:val="6098406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366608"/>
    <w:multiLevelType w:val="hybridMultilevel"/>
    <w:tmpl w:val="2A58C7CC"/>
    <w:lvl w:ilvl="0" w:tplc="C1FEB84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BC932DF"/>
    <w:multiLevelType w:val="hybridMultilevel"/>
    <w:tmpl w:val="301623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F0"/>
    <w:rsid w:val="00015E97"/>
    <w:rsid w:val="00031126"/>
    <w:rsid w:val="00044FEF"/>
    <w:rsid w:val="00050242"/>
    <w:rsid w:val="00074266"/>
    <w:rsid w:val="0008725E"/>
    <w:rsid w:val="00092CD1"/>
    <w:rsid w:val="000A0A57"/>
    <w:rsid w:val="000A3D87"/>
    <w:rsid w:val="000C2089"/>
    <w:rsid w:val="000E13FF"/>
    <w:rsid w:val="000E3B71"/>
    <w:rsid w:val="000E43E2"/>
    <w:rsid w:val="0011069B"/>
    <w:rsid w:val="00112ED9"/>
    <w:rsid w:val="0011787D"/>
    <w:rsid w:val="001362BF"/>
    <w:rsid w:val="00141286"/>
    <w:rsid w:val="001426E4"/>
    <w:rsid w:val="001514D0"/>
    <w:rsid w:val="001546AF"/>
    <w:rsid w:val="00165604"/>
    <w:rsid w:val="001B0516"/>
    <w:rsid w:val="001B4119"/>
    <w:rsid w:val="001D7EAA"/>
    <w:rsid w:val="001E064F"/>
    <w:rsid w:val="001E7512"/>
    <w:rsid w:val="001F28AD"/>
    <w:rsid w:val="00225EFA"/>
    <w:rsid w:val="00230627"/>
    <w:rsid w:val="00244890"/>
    <w:rsid w:val="002510AC"/>
    <w:rsid w:val="0027461E"/>
    <w:rsid w:val="00275F30"/>
    <w:rsid w:val="002A3E3C"/>
    <w:rsid w:val="002A6837"/>
    <w:rsid w:val="002B37F0"/>
    <w:rsid w:val="002E484C"/>
    <w:rsid w:val="002F0FDE"/>
    <w:rsid w:val="002F6F56"/>
    <w:rsid w:val="002F730B"/>
    <w:rsid w:val="00300C14"/>
    <w:rsid w:val="003073B4"/>
    <w:rsid w:val="003168E5"/>
    <w:rsid w:val="00322258"/>
    <w:rsid w:val="00322DA5"/>
    <w:rsid w:val="00326FB7"/>
    <w:rsid w:val="0033552E"/>
    <w:rsid w:val="00336D2A"/>
    <w:rsid w:val="00374336"/>
    <w:rsid w:val="00384A1C"/>
    <w:rsid w:val="003A11DE"/>
    <w:rsid w:val="003A2D8C"/>
    <w:rsid w:val="003B7D0B"/>
    <w:rsid w:val="003F0727"/>
    <w:rsid w:val="003F171F"/>
    <w:rsid w:val="003F611D"/>
    <w:rsid w:val="00421A48"/>
    <w:rsid w:val="004277FB"/>
    <w:rsid w:val="00427831"/>
    <w:rsid w:val="00432726"/>
    <w:rsid w:val="00441302"/>
    <w:rsid w:val="00474B61"/>
    <w:rsid w:val="00486180"/>
    <w:rsid w:val="004908A9"/>
    <w:rsid w:val="004914AF"/>
    <w:rsid w:val="00491B26"/>
    <w:rsid w:val="004A2B09"/>
    <w:rsid w:val="004A41EA"/>
    <w:rsid w:val="004C7C05"/>
    <w:rsid w:val="004E34D7"/>
    <w:rsid w:val="004E6C97"/>
    <w:rsid w:val="004E79D7"/>
    <w:rsid w:val="004F7857"/>
    <w:rsid w:val="00500425"/>
    <w:rsid w:val="005072E8"/>
    <w:rsid w:val="005150C9"/>
    <w:rsid w:val="00516B02"/>
    <w:rsid w:val="005306DB"/>
    <w:rsid w:val="0054257F"/>
    <w:rsid w:val="005571A4"/>
    <w:rsid w:val="0056196D"/>
    <w:rsid w:val="00591AB3"/>
    <w:rsid w:val="005A05EA"/>
    <w:rsid w:val="005A679F"/>
    <w:rsid w:val="005B4C4C"/>
    <w:rsid w:val="005C7CCE"/>
    <w:rsid w:val="005D2B49"/>
    <w:rsid w:val="005E08B1"/>
    <w:rsid w:val="005E6004"/>
    <w:rsid w:val="005E7E87"/>
    <w:rsid w:val="005F4B08"/>
    <w:rsid w:val="00601D7B"/>
    <w:rsid w:val="00616BF1"/>
    <w:rsid w:val="00617CC6"/>
    <w:rsid w:val="00640CF4"/>
    <w:rsid w:val="00644F78"/>
    <w:rsid w:val="00653B56"/>
    <w:rsid w:val="00657FEC"/>
    <w:rsid w:val="00672189"/>
    <w:rsid w:val="00673DF5"/>
    <w:rsid w:val="006753DC"/>
    <w:rsid w:val="0067675A"/>
    <w:rsid w:val="00682F54"/>
    <w:rsid w:val="00683B69"/>
    <w:rsid w:val="006A2BF8"/>
    <w:rsid w:val="006B0F11"/>
    <w:rsid w:val="006C40D2"/>
    <w:rsid w:val="006E3A89"/>
    <w:rsid w:val="00706148"/>
    <w:rsid w:val="00746C8A"/>
    <w:rsid w:val="00764BED"/>
    <w:rsid w:val="00786511"/>
    <w:rsid w:val="007A1484"/>
    <w:rsid w:val="007A5B14"/>
    <w:rsid w:val="007B1D11"/>
    <w:rsid w:val="007B1D61"/>
    <w:rsid w:val="007C3171"/>
    <w:rsid w:val="007D729F"/>
    <w:rsid w:val="007E0E13"/>
    <w:rsid w:val="007E55D3"/>
    <w:rsid w:val="007E56CD"/>
    <w:rsid w:val="007F4644"/>
    <w:rsid w:val="007F6D03"/>
    <w:rsid w:val="007F7442"/>
    <w:rsid w:val="00813DE6"/>
    <w:rsid w:val="00820463"/>
    <w:rsid w:val="00830D25"/>
    <w:rsid w:val="00846642"/>
    <w:rsid w:val="00851B0A"/>
    <w:rsid w:val="00884CF0"/>
    <w:rsid w:val="00886141"/>
    <w:rsid w:val="00897F86"/>
    <w:rsid w:val="008B4820"/>
    <w:rsid w:val="008B4949"/>
    <w:rsid w:val="008B7A15"/>
    <w:rsid w:val="008E7577"/>
    <w:rsid w:val="008F07E7"/>
    <w:rsid w:val="00906971"/>
    <w:rsid w:val="00910679"/>
    <w:rsid w:val="00923046"/>
    <w:rsid w:val="00924338"/>
    <w:rsid w:val="009253DE"/>
    <w:rsid w:val="00934757"/>
    <w:rsid w:val="009460D0"/>
    <w:rsid w:val="00950EC2"/>
    <w:rsid w:val="00966FAE"/>
    <w:rsid w:val="009753A8"/>
    <w:rsid w:val="00991CD8"/>
    <w:rsid w:val="009A15B1"/>
    <w:rsid w:val="009A4E74"/>
    <w:rsid w:val="009B24AE"/>
    <w:rsid w:val="00A106BD"/>
    <w:rsid w:val="00A372EC"/>
    <w:rsid w:val="00A40E3E"/>
    <w:rsid w:val="00A43708"/>
    <w:rsid w:val="00A50B81"/>
    <w:rsid w:val="00A86A49"/>
    <w:rsid w:val="00A86E78"/>
    <w:rsid w:val="00AC0AFE"/>
    <w:rsid w:val="00AC651D"/>
    <w:rsid w:val="00AE2B44"/>
    <w:rsid w:val="00B122F6"/>
    <w:rsid w:val="00B2348D"/>
    <w:rsid w:val="00B372AD"/>
    <w:rsid w:val="00B71F4E"/>
    <w:rsid w:val="00B8359F"/>
    <w:rsid w:val="00B93A6E"/>
    <w:rsid w:val="00B96C3F"/>
    <w:rsid w:val="00BB1737"/>
    <w:rsid w:val="00BB5A5C"/>
    <w:rsid w:val="00BC0D85"/>
    <w:rsid w:val="00BC4547"/>
    <w:rsid w:val="00BC77D7"/>
    <w:rsid w:val="00BD3342"/>
    <w:rsid w:val="00BD58B2"/>
    <w:rsid w:val="00BE098F"/>
    <w:rsid w:val="00BF1542"/>
    <w:rsid w:val="00C05260"/>
    <w:rsid w:val="00C06A8A"/>
    <w:rsid w:val="00C20CEE"/>
    <w:rsid w:val="00C35E96"/>
    <w:rsid w:val="00C446E7"/>
    <w:rsid w:val="00C561DC"/>
    <w:rsid w:val="00C62F6A"/>
    <w:rsid w:val="00C81F51"/>
    <w:rsid w:val="00C83B7D"/>
    <w:rsid w:val="00C8632B"/>
    <w:rsid w:val="00CA769F"/>
    <w:rsid w:val="00CC65FC"/>
    <w:rsid w:val="00CC6D54"/>
    <w:rsid w:val="00CD0EB6"/>
    <w:rsid w:val="00CE4F5F"/>
    <w:rsid w:val="00CE6CE5"/>
    <w:rsid w:val="00D2158D"/>
    <w:rsid w:val="00D874E5"/>
    <w:rsid w:val="00DE2112"/>
    <w:rsid w:val="00DE451F"/>
    <w:rsid w:val="00DF0FA2"/>
    <w:rsid w:val="00E1416C"/>
    <w:rsid w:val="00E14645"/>
    <w:rsid w:val="00E14C25"/>
    <w:rsid w:val="00E23B14"/>
    <w:rsid w:val="00E435F0"/>
    <w:rsid w:val="00E64B9B"/>
    <w:rsid w:val="00E8582B"/>
    <w:rsid w:val="00E878F0"/>
    <w:rsid w:val="00EB4332"/>
    <w:rsid w:val="00EC27CD"/>
    <w:rsid w:val="00EC460F"/>
    <w:rsid w:val="00ED6DA8"/>
    <w:rsid w:val="00EE3A46"/>
    <w:rsid w:val="00EF09D3"/>
    <w:rsid w:val="00EF67C9"/>
    <w:rsid w:val="00EF75F2"/>
    <w:rsid w:val="00F43323"/>
    <w:rsid w:val="00F51B88"/>
    <w:rsid w:val="00F636C4"/>
    <w:rsid w:val="00F81814"/>
    <w:rsid w:val="00F85300"/>
    <w:rsid w:val="00FC03A1"/>
    <w:rsid w:val="00FC3328"/>
    <w:rsid w:val="00FE6C35"/>
    <w:rsid w:val="00FF366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F5EE35-F3ED-4EA1-AF39-3B84BE63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A1C"/>
    <w:pPr>
      <w:spacing w:after="200" w:line="276" w:lineRule="auto"/>
    </w:pPr>
    <w:rPr>
      <w:rFonts w:ascii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474B6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00425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474B61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500425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644F78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84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46642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4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46642"/>
    <w:rPr>
      <w:rFonts w:ascii="Calibri" w:hAnsi="Calibri" w:cs="Times New Roman"/>
    </w:rPr>
  </w:style>
  <w:style w:type="paragraph" w:styleId="Zkladntext">
    <w:name w:val="Body Text"/>
    <w:basedOn w:val="Normlny"/>
    <w:link w:val="ZkladntextChar"/>
    <w:uiPriority w:val="99"/>
    <w:rsid w:val="001B4119"/>
    <w:pPr>
      <w:widowControl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B4119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D729F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092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92CD1"/>
    <w:pPr>
      <w:widowControl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092CD1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rsid w:val="002A3E3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A3E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A3E3C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A3E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A3E3C"/>
    <w:rPr>
      <w:rFonts w:ascii="Calibri" w:hAnsi="Calibri" w:cs="Times New Roman"/>
      <w:b/>
      <w:bCs/>
      <w:sz w:val="20"/>
      <w:szCs w:val="20"/>
    </w:rPr>
  </w:style>
  <w:style w:type="character" w:customStyle="1" w:styleId="awspan1">
    <w:name w:val="awspan1"/>
    <w:basedOn w:val="Predvolenpsmoodseku"/>
    <w:rsid w:val="001426E4"/>
    <w:rPr>
      <w:rFonts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E6C35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36D2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36D2A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36D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1/3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1/3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Caplanova Darina</dc:creator>
  <cp:keywords/>
  <dc:description/>
  <cp:lastModifiedBy>Poloma Tomas</cp:lastModifiedBy>
  <cp:revision>4</cp:revision>
  <cp:lastPrinted>2020-09-14T09:38:00Z</cp:lastPrinted>
  <dcterms:created xsi:type="dcterms:W3CDTF">2020-09-16T11:34:00Z</dcterms:created>
  <dcterms:modified xsi:type="dcterms:W3CDTF">2020-09-17T11:47:00Z</dcterms:modified>
</cp:coreProperties>
</file>