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2848A7" w:rsidSect="002D5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9E" w:rsidRDefault="00B4499E" w:rsidP="008C4AF6">
      <w:pPr>
        <w:spacing w:after="0" w:line="240" w:lineRule="auto"/>
      </w:pPr>
      <w:r>
        <w:separator/>
      </w:r>
    </w:p>
  </w:endnote>
  <w:endnote w:type="continuationSeparator" w:id="0">
    <w:p w:rsidR="00B4499E" w:rsidRDefault="00B4499E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0E" w:rsidRDefault="003230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69573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2300E" w:rsidRDefault="003230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4AF6" w:rsidRPr="00E76A45" w:rsidRDefault="008C4AF6">
    <w:pPr>
      <w:pStyle w:val="Pta"/>
      <w:rPr>
        <w:rFonts w:ascii="Times New Roman" w:hAnsi="Times New Roman"/>
        <w:b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0E" w:rsidRDefault="003230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9E" w:rsidRDefault="00B4499E" w:rsidP="008C4AF6">
      <w:pPr>
        <w:spacing w:after="0" w:line="240" w:lineRule="auto"/>
      </w:pPr>
      <w:r>
        <w:separator/>
      </w:r>
    </w:p>
  </w:footnote>
  <w:footnote w:type="continuationSeparator" w:id="0">
    <w:p w:rsidR="00B4499E" w:rsidRDefault="00B4499E" w:rsidP="008C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0E" w:rsidRDefault="003230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0E" w:rsidRDefault="003230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0E" w:rsidRDefault="003230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8106B"/>
    <w:rsid w:val="00095184"/>
    <w:rsid w:val="000A7284"/>
    <w:rsid w:val="00233430"/>
    <w:rsid w:val="002848A7"/>
    <w:rsid w:val="002D5917"/>
    <w:rsid w:val="0032300E"/>
    <w:rsid w:val="003267D6"/>
    <w:rsid w:val="003E06C0"/>
    <w:rsid w:val="003F43EA"/>
    <w:rsid w:val="003F50E3"/>
    <w:rsid w:val="00463F2B"/>
    <w:rsid w:val="005126C0"/>
    <w:rsid w:val="005258BC"/>
    <w:rsid w:val="005C695B"/>
    <w:rsid w:val="005E65C4"/>
    <w:rsid w:val="00646EE9"/>
    <w:rsid w:val="00704190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B4499E"/>
    <w:rsid w:val="00B45788"/>
    <w:rsid w:val="00B46415"/>
    <w:rsid w:val="00B478A5"/>
    <w:rsid w:val="00B771D8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EF467F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_o_účasti_verejnosti"/>
    <f:field ref="objsubject" par="" edit="true" text=""/>
    <f:field ref="objcreatedby" par="" text="Kozlíková, Barbora, Mgr."/>
    <f:field ref="objcreatedat" par="" text="3.9.2020 16:35:51"/>
    <f:field ref="objchangedby" par="" text="Administrator, System"/>
    <f:field ref="objmodifiedat" par="" text="3.9.2020 16:35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707543-00B2-43EF-A41C-5A0E1F0F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Pidanič Michal</cp:lastModifiedBy>
  <cp:revision>5</cp:revision>
  <dcterms:created xsi:type="dcterms:W3CDTF">2020-08-17T08:18:00Z</dcterms:created>
  <dcterms:modified xsi:type="dcterms:W3CDTF">2020-09-17T14:00:00Z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COO.2145.1000.3.3994648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39089/2020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LP/2020/372</vt:lpwstr>
  </property>
  <property fmtid="{D5CDD505-2E9C-101B-9397-08002B2CF9AE}" pid="421" name="FSC#SKEDITIONSLOVLEX@103.510:typsprievdok">
    <vt:lpwstr>Správa o účasti verejnosti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534" name="FSC#SKEDITIONSLOVLEX@103.510:vytvorenedna">
    <vt:lpwstr>3. 9. 2020</vt:lpwstr>
  </property>
</Properties>
</file>