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17" w:rsidRPr="009355F5" w:rsidRDefault="00E55517" w:rsidP="00E55517">
      <w:pPr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9355F5">
        <w:rPr>
          <w:rFonts w:ascii="Times New Roman" w:hAnsi="Times New Roman"/>
          <w:b/>
          <w:sz w:val="24"/>
          <w:szCs w:val="24"/>
          <w:lang w:eastAsia="sk-SK"/>
        </w:rPr>
        <w:t>DOLOŽKA ZLUČITEĽNOSTI</w:t>
      </w:r>
    </w:p>
    <w:p w:rsidR="00E55517" w:rsidRPr="009355F5" w:rsidRDefault="00E55517" w:rsidP="00E55517">
      <w:pPr>
        <w:tabs>
          <w:tab w:val="center" w:pos="4535"/>
          <w:tab w:val="left" w:pos="7720"/>
        </w:tabs>
        <w:rPr>
          <w:rFonts w:ascii="Times New Roman" w:hAnsi="Times New Roman"/>
          <w:b/>
          <w:sz w:val="24"/>
          <w:szCs w:val="24"/>
          <w:lang w:eastAsia="sk-SK"/>
        </w:rPr>
      </w:pPr>
      <w:r w:rsidRPr="009355F5">
        <w:rPr>
          <w:rFonts w:ascii="Times New Roman" w:hAnsi="Times New Roman"/>
          <w:b/>
          <w:sz w:val="24"/>
          <w:szCs w:val="24"/>
          <w:lang w:eastAsia="sk-SK"/>
        </w:rPr>
        <w:tab/>
        <w:t>návrhu právneho predpisu s právom Európskej únie</w:t>
      </w:r>
      <w:r w:rsidRPr="009355F5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E55517" w:rsidRPr="009355F5" w:rsidRDefault="00E55517" w:rsidP="00E555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55517" w:rsidRPr="009355F5" w:rsidRDefault="00E55517" w:rsidP="00E55517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355F5">
        <w:rPr>
          <w:rFonts w:ascii="Times New Roman" w:hAnsi="Times New Roman"/>
          <w:b/>
          <w:bCs/>
          <w:sz w:val="24"/>
          <w:szCs w:val="24"/>
          <w:lang w:eastAsia="sk-SK"/>
        </w:rPr>
        <w:t>1.</w:t>
      </w:r>
      <w:r w:rsidRPr="009355F5">
        <w:rPr>
          <w:rFonts w:ascii="Times New Roman" w:hAnsi="Times New Roman"/>
          <w:b/>
          <w:bCs/>
          <w:sz w:val="24"/>
          <w:szCs w:val="24"/>
          <w:lang w:eastAsia="sk-SK"/>
        </w:rPr>
        <w:tab/>
        <w:t>Navrhovateľ právneho predpisu:</w:t>
      </w:r>
      <w:r w:rsidRPr="009355F5">
        <w:rPr>
          <w:rFonts w:ascii="Times New Roman" w:hAnsi="Times New Roman"/>
          <w:sz w:val="24"/>
          <w:szCs w:val="24"/>
          <w:lang w:eastAsia="sk-SK"/>
        </w:rPr>
        <w:t xml:space="preserve"> Ministerstvo zdravotníctva Slovenskej republiky</w:t>
      </w:r>
    </w:p>
    <w:p w:rsidR="00E55517" w:rsidRPr="009355F5" w:rsidRDefault="00E55517" w:rsidP="00E55517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55517" w:rsidRPr="009355F5" w:rsidRDefault="00E55517" w:rsidP="00E55517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9355F5">
        <w:rPr>
          <w:rFonts w:ascii="Times New Roman" w:hAnsi="Times New Roman"/>
          <w:b/>
          <w:sz w:val="24"/>
          <w:szCs w:val="24"/>
          <w:lang w:eastAsia="sk-SK"/>
        </w:rPr>
        <w:t>2.</w:t>
      </w:r>
      <w:r w:rsidRPr="009355F5">
        <w:rPr>
          <w:rFonts w:ascii="Times New Roman" w:hAnsi="Times New Roman"/>
          <w:b/>
          <w:sz w:val="24"/>
          <w:szCs w:val="24"/>
          <w:lang w:eastAsia="sk-SK"/>
        </w:rPr>
        <w:tab/>
        <w:t xml:space="preserve">Názov návrhu právneho predpisu: </w:t>
      </w:r>
    </w:p>
    <w:p w:rsidR="00E55517" w:rsidRPr="009355F5" w:rsidRDefault="00E55517" w:rsidP="00E5551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355F5">
        <w:rPr>
          <w:rFonts w:ascii="Times New Roman" w:hAnsi="Times New Roman"/>
          <w:sz w:val="24"/>
          <w:szCs w:val="24"/>
          <w:lang w:eastAsia="sk-SK"/>
        </w:rPr>
        <w:t xml:space="preserve">Návrh zákona, </w:t>
      </w:r>
      <w:r w:rsidR="00EB279C" w:rsidRPr="00EB279C">
        <w:rPr>
          <w:rFonts w:ascii="Times New Roman" w:hAnsi="Times New Roman"/>
          <w:sz w:val="24"/>
          <w:szCs w:val="24"/>
          <w:lang w:eastAsia="sk-SK"/>
        </w:rPr>
        <w:t>ktorým sa mení a dopĺňa zákon č. 580/2004 Z. z. o zdravotnom poistení a o zmene a doplnení zákona č. 95/2002 Z. z. o poisťovníctve a o zmene a doplnení niektorých zákonov v znení neskorších pred</w:t>
      </w:r>
      <w:bookmarkStart w:id="0" w:name="_GoBack"/>
      <w:bookmarkEnd w:id="0"/>
      <w:r w:rsidR="00EB279C" w:rsidRPr="00EB279C">
        <w:rPr>
          <w:rFonts w:ascii="Times New Roman" w:hAnsi="Times New Roman"/>
          <w:sz w:val="24"/>
          <w:szCs w:val="24"/>
          <w:lang w:eastAsia="sk-SK"/>
        </w:rPr>
        <w:t>pisov a ktorým sa menia a dopĺňajú niektoré zákony</w:t>
      </w:r>
      <w:r w:rsidRPr="009355F5">
        <w:rPr>
          <w:rFonts w:ascii="Times New Roman" w:hAnsi="Times New Roman"/>
          <w:sz w:val="24"/>
          <w:szCs w:val="24"/>
          <w:lang w:eastAsia="sk-SK"/>
        </w:rPr>
        <w:t xml:space="preserve">.  </w:t>
      </w:r>
    </w:p>
    <w:p w:rsidR="00E55517" w:rsidRPr="009355F5" w:rsidRDefault="00E55517" w:rsidP="00E5551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9355F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E55517" w:rsidRPr="009355F5" w:rsidRDefault="00E55517" w:rsidP="00E55517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9355F5">
        <w:rPr>
          <w:rFonts w:ascii="Times New Roman" w:hAnsi="Times New Roman"/>
          <w:b/>
          <w:sz w:val="24"/>
          <w:szCs w:val="24"/>
          <w:lang w:eastAsia="sk-SK"/>
        </w:rPr>
        <w:t xml:space="preserve">3. </w:t>
      </w:r>
      <w:r w:rsidRPr="009355F5">
        <w:rPr>
          <w:rFonts w:ascii="Times New Roman" w:hAnsi="Times New Roman"/>
          <w:b/>
          <w:sz w:val="24"/>
          <w:szCs w:val="24"/>
          <w:lang w:eastAsia="sk-SK"/>
        </w:rPr>
        <w:tab/>
        <w:t>Predmet návrhu zákona je upravený v práve Európskej únie:</w:t>
      </w:r>
    </w:p>
    <w:p w:rsidR="00E55517" w:rsidRPr="009355F5" w:rsidRDefault="00E55517" w:rsidP="00E55517">
      <w:pPr>
        <w:pStyle w:val="Normlnywebov"/>
        <w:spacing w:before="0" w:beforeAutospacing="0" w:after="0" w:afterAutospacing="0"/>
        <w:ind w:left="720"/>
        <w:jc w:val="both"/>
      </w:pPr>
    </w:p>
    <w:p w:rsidR="00E55517" w:rsidRPr="009355F5" w:rsidRDefault="00E55517" w:rsidP="00E55517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9355F5">
        <w:rPr>
          <w:rStyle w:val="awspan"/>
          <w:color w:val="000000"/>
        </w:rPr>
        <w:t>v primárnom práve (uviesť názov zmluvy a číslo článku)</w:t>
      </w:r>
    </w:p>
    <w:p w:rsidR="00E55517" w:rsidRPr="009355F5" w:rsidRDefault="00E55517" w:rsidP="00E55517">
      <w:pPr>
        <w:pStyle w:val="Normlnywebov"/>
        <w:spacing w:before="0" w:beforeAutospacing="0" w:after="0" w:afterAutospacing="0"/>
        <w:jc w:val="both"/>
      </w:pPr>
    </w:p>
    <w:p w:rsidR="00E55517" w:rsidRPr="009355F5" w:rsidRDefault="00E55517" w:rsidP="00E55517">
      <w:pPr>
        <w:pStyle w:val="Normlnywebov"/>
        <w:spacing w:before="0" w:beforeAutospacing="0" w:after="0" w:afterAutospacing="0"/>
        <w:ind w:firstLine="708"/>
        <w:jc w:val="both"/>
      </w:pPr>
      <w:r w:rsidRPr="009355F5">
        <w:t>čl. 168 Zmluvy o fungovaní Európskej únie</w:t>
      </w:r>
    </w:p>
    <w:p w:rsidR="00E55517" w:rsidRPr="009355F5" w:rsidRDefault="00E55517" w:rsidP="00E55517">
      <w:pPr>
        <w:pStyle w:val="Normlnywebov"/>
        <w:spacing w:before="0" w:beforeAutospacing="0" w:after="0" w:afterAutospacing="0"/>
        <w:jc w:val="both"/>
      </w:pPr>
    </w:p>
    <w:p w:rsidR="00E55517" w:rsidRPr="009355F5" w:rsidRDefault="00E55517" w:rsidP="00E55517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9355F5">
        <w:rPr>
          <w:color w:val="000000"/>
        </w:rPr>
        <w:t>v</w:t>
      </w:r>
      <w:r w:rsidRPr="009355F5">
        <w:rPr>
          <w:color w:val="000000"/>
          <w:spacing w:val="15"/>
        </w:rPr>
        <w:t xml:space="preserve"> </w:t>
      </w:r>
      <w:r w:rsidRPr="009355F5">
        <w:rPr>
          <w:color w:val="000000"/>
        </w:rPr>
        <w:t>sekundárnom</w:t>
      </w:r>
      <w:r w:rsidRPr="009355F5">
        <w:rPr>
          <w:color w:val="000000"/>
          <w:spacing w:val="15"/>
        </w:rPr>
        <w:t xml:space="preserve"> </w:t>
      </w:r>
      <w:r w:rsidRPr="009355F5">
        <w:rPr>
          <w:color w:val="000000"/>
        </w:rPr>
        <w:t>práve</w:t>
      </w:r>
      <w:r w:rsidRPr="009355F5">
        <w:rPr>
          <w:color w:val="000000"/>
          <w:spacing w:val="15"/>
        </w:rPr>
        <w:t xml:space="preserve"> </w:t>
      </w:r>
      <w:r w:rsidRPr="009355F5">
        <w:rPr>
          <w:color w:val="000000"/>
        </w:rPr>
        <w:t>(uviesť</w:t>
      </w:r>
      <w:r w:rsidRPr="009355F5">
        <w:rPr>
          <w:color w:val="000000"/>
          <w:spacing w:val="15"/>
        </w:rPr>
        <w:t xml:space="preserve"> </w:t>
      </w:r>
      <w:r w:rsidRPr="009355F5">
        <w:rPr>
          <w:color w:val="000000"/>
        </w:rPr>
        <w:t>druh,</w:t>
      </w:r>
      <w:r w:rsidRPr="009355F5">
        <w:rPr>
          <w:color w:val="000000"/>
          <w:spacing w:val="15"/>
        </w:rPr>
        <w:t xml:space="preserve"> </w:t>
      </w:r>
      <w:r w:rsidRPr="009355F5">
        <w:rPr>
          <w:color w:val="000000"/>
        </w:rPr>
        <w:t>inštitúciu,</w:t>
      </w:r>
      <w:r w:rsidRPr="009355F5">
        <w:rPr>
          <w:color w:val="000000"/>
          <w:spacing w:val="15"/>
        </w:rPr>
        <w:t xml:space="preserve"> </w:t>
      </w:r>
      <w:r w:rsidRPr="009355F5">
        <w:rPr>
          <w:color w:val="000000"/>
        </w:rPr>
        <w:t>číslo,</w:t>
      </w:r>
      <w:r w:rsidRPr="009355F5">
        <w:rPr>
          <w:color w:val="000000"/>
          <w:spacing w:val="15"/>
        </w:rPr>
        <w:t xml:space="preserve"> </w:t>
      </w:r>
      <w:r w:rsidRPr="009355F5">
        <w:rPr>
          <w:color w:val="000000"/>
        </w:rPr>
        <w:t>názov</w:t>
      </w:r>
      <w:r w:rsidRPr="009355F5">
        <w:rPr>
          <w:color w:val="000000"/>
          <w:spacing w:val="15"/>
        </w:rPr>
        <w:t xml:space="preserve"> </w:t>
      </w:r>
      <w:r w:rsidRPr="009355F5">
        <w:rPr>
          <w:color w:val="000000"/>
        </w:rPr>
        <w:t>a</w:t>
      </w:r>
      <w:r w:rsidRPr="009355F5">
        <w:rPr>
          <w:color w:val="000000"/>
          <w:spacing w:val="15"/>
        </w:rPr>
        <w:t xml:space="preserve"> </w:t>
      </w:r>
      <w:r w:rsidRPr="009355F5">
        <w:rPr>
          <w:color w:val="000000"/>
        </w:rPr>
        <w:t>dátum</w:t>
      </w:r>
      <w:r w:rsidRPr="009355F5">
        <w:rPr>
          <w:color w:val="000000"/>
          <w:spacing w:val="15"/>
        </w:rPr>
        <w:t xml:space="preserve"> </w:t>
      </w:r>
      <w:r w:rsidRPr="009355F5">
        <w:rPr>
          <w:color w:val="000000"/>
        </w:rPr>
        <w:t>vydania</w:t>
      </w:r>
      <w:r w:rsidRPr="009355F5">
        <w:rPr>
          <w:color w:val="000000"/>
          <w:spacing w:val="15"/>
        </w:rPr>
        <w:t xml:space="preserve"> </w:t>
      </w:r>
      <w:r w:rsidRPr="009355F5">
        <w:rPr>
          <w:color w:val="000000"/>
        </w:rPr>
        <w:t>právneho aktu vzťahujúceho sa na upravovanú problematiku)</w:t>
      </w:r>
    </w:p>
    <w:p w:rsidR="00E55517" w:rsidRPr="009355F5" w:rsidRDefault="00E55517" w:rsidP="00E55517">
      <w:pPr>
        <w:pStyle w:val="Normlnywebov"/>
        <w:spacing w:before="0" w:beforeAutospacing="0" w:after="0" w:afterAutospacing="0"/>
        <w:jc w:val="both"/>
      </w:pPr>
    </w:p>
    <w:p w:rsidR="00E55517" w:rsidRPr="009355F5" w:rsidRDefault="00E55517" w:rsidP="00E55517">
      <w:pPr>
        <w:spacing w:after="0" w:line="240" w:lineRule="auto"/>
        <w:ind w:left="851" w:hanging="14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355F5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Nariadenie</w:t>
      </w:r>
      <w:r w:rsidRPr="009355F5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Európskeho</w:t>
      </w:r>
      <w:r w:rsidRPr="009355F5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parlamentu</w:t>
      </w:r>
      <w:r w:rsidRPr="009355F5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a  Rady (ES) č.</w:t>
      </w:r>
      <w:r w:rsidRPr="009355F5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883/2004</w:t>
      </w:r>
      <w:r w:rsidRPr="009355F5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z 29.</w:t>
      </w:r>
      <w:r w:rsidRPr="009355F5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apríla</w:t>
      </w:r>
      <w:r w:rsidRPr="009355F5">
        <w:rPr>
          <w:rFonts w:ascii="Times New Roman" w:eastAsia="Times New Roman" w:hAnsi="Times New Roman"/>
          <w:color w:val="000000"/>
          <w:spacing w:val="41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2004 o koordinácii</w:t>
      </w:r>
      <w:r w:rsidRPr="009355F5">
        <w:rPr>
          <w:rFonts w:ascii="Times New Roman" w:eastAsia="Times New Roman" w:hAnsi="Times New Roman"/>
          <w:color w:val="000000"/>
          <w:spacing w:val="126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systémov</w:t>
      </w:r>
      <w:r w:rsidRPr="009355F5">
        <w:rPr>
          <w:rFonts w:ascii="Times New Roman" w:eastAsia="Times New Roman" w:hAnsi="Times New Roman"/>
          <w:color w:val="000000"/>
          <w:spacing w:val="126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sociálneho</w:t>
      </w:r>
      <w:r w:rsidRPr="009355F5">
        <w:rPr>
          <w:rFonts w:ascii="Times New Roman" w:eastAsia="Times New Roman" w:hAnsi="Times New Roman"/>
          <w:color w:val="000000"/>
          <w:spacing w:val="126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zabezpečenia</w:t>
      </w:r>
      <w:r w:rsidRPr="009355F5">
        <w:rPr>
          <w:rFonts w:ascii="Times New Roman" w:eastAsia="Times New Roman" w:hAnsi="Times New Roman"/>
          <w:color w:val="000000"/>
          <w:spacing w:val="126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(Mimoriadne vydanie Ú. v. EÚ, kap. 5/zv. 5; Ú. v. ES L 166, 30.4.2004) v platnom znení,</w:t>
      </w:r>
    </w:p>
    <w:p w:rsidR="00E55517" w:rsidRPr="009355F5" w:rsidRDefault="00E55517" w:rsidP="00E55517">
      <w:pPr>
        <w:spacing w:after="0" w:line="240" w:lineRule="auto"/>
        <w:ind w:left="851" w:hanging="14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5517" w:rsidRPr="009355F5" w:rsidRDefault="00E55517" w:rsidP="00E55517">
      <w:pPr>
        <w:pStyle w:val="Normlnywebov"/>
        <w:spacing w:before="0" w:beforeAutospacing="0" w:after="0" w:afterAutospacing="0"/>
        <w:ind w:left="1068"/>
        <w:jc w:val="both"/>
        <w:rPr>
          <w:bCs/>
          <w:color w:val="000000"/>
        </w:rPr>
      </w:pPr>
      <w:r w:rsidRPr="009355F5">
        <w:t xml:space="preserve">gestor – MPSVARSR, </w:t>
      </w:r>
      <w:proofErr w:type="spellStart"/>
      <w:r w:rsidRPr="009355F5">
        <w:t>spolugestor</w:t>
      </w:r>
      <w:proofErr w:type="spellEnd"/>
      <w:r w:rsidRPr="009355F5">
        <w:t xml:space="preserve"> – MZSR</w:t>
      </w:r>
    </w:p>
    <w:p w:rsidR="00E55517" w:rsidRPr="009355F5" w:rsidRDefault="00E55517" w:rsidP="00E55517">
      <w:pPr>
        <w:spacing w:after="0" w:line="240" w:lineRule="auto"/>
        <w:ind w:left="851" w:hanging="14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355F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Nariadenie</w:t>
      </w:r>
      <w:r w:rsidRPr="009355F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Európskeho</w:t>
      </w:r>
      <w:r w:rsidRPr="009355F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parlamentu</w:t>
      </w:r>
      <w:r w:rsidRPr="009355F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9355F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Rady  (ES)</w:t>
      </w:r>
      <w:r w:rsidRPr="009355F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9355F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987/2009</w:t>
      </w:r>
      <w:r w:rsidRPr="009355F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zo</w:t>
      </w:r>
      <w:r w:rsidRPr="009355F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16.</w:t>
      </w:r>
      <w:r w:rsidRPr="009355F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septembra</w:t>
      </w:r>
      <w:r w:rsidRPr="009355F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2009, ktorým</w:t>
      </w:r>
      <w:r w:rsidRPr="009355F5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Pr="009355F5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stanovuje</w:t>
      </w:r>
      <w:r w:rsidRPr="009355F5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postup</w:t>
      </w:r>
      <w:r w:rsidRPr="009355F5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vykonávania</w:t>
      </w:r>
      <w:r w:rsidRPr="009355F5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nariadenia</w:t>
      </w:r>
      <w:r w:rsidRPr="009355F5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(ES)</w:t>
      </w:r>
      <w:r w:rsidRPr="009355F5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č.</w:t>
      </w:r>
      <w:r w:rsidRPr="009355F5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883/2004</w:t>
      </w:r>
      <w:r w:rsidRPr="009355F5"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 </w:t>
      </w: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o koordinácii systémov sociálneho zabezpečenia (Ú. v. EÚ L 284, 30. 10. 2009) v platnom znení,</w:t>
      </w:r>
    </w:p>
    <w:p w:rsidR="00E55517" w:rsidRPr="009355F5" w:rsidRDefault="00E55517" w:rsidP="00E55517">
      <w:pPr>
        <w:pStyle w:val="Normlnywebov"/>
        <w:spacing w:before="0" w:beforeAutospacing="0" w:after="0" w:afterAutospacing="0"/>
        <w:ind w:left="851" w:hanging="143"/>
        <w:jc w:val="both"/>
      </w:pPr>
    </w:p>
    <w:p w:rsidR="00E55517" w:rsidRPr="009355F5" w:rsidRDefault="00E55517" w:rsidP="00E55517">
      <w:pPr>
        <w:pStyle w:val="Normlnywebov"/>
        <w:spacing w:before="0" w:beforeAutospacing="0" w:after="0" w:afterAutospacing="0"/>
        <w:ind w:left="1068"/>
        <w:jc w:val="both"/>
        <w:rPr>
          <w:bCs/>
          <w:color w:val="000000"/>
        </w:rPr>
      </w:pPr>
      <w:r w:rsidRPr="009355F5">
        <w:t xml:space="preserve">gestor – MPSVARSR, </w:t>
      </w:r>
      <w:proofErr w:type="spellStart"/>
      <w:r w:rsidRPr="009355F5">
        <w:t>spolugestor</w:t>
      </w:r>
      <w:proofErr w:type="spellEnd"/>
      <w:r w:rsidRPr="009355F5">
        <w:t xml:space="preserve"> – MZSR</w:t>
      </w:r>
    </w:p>
    <w:p w:rsidR="00E55517" w:rsidRPr="009355F5" w:rsidRDefault="00E55517" w:rsidP="00E55517">
      <w:pPr>
        <w:spacing w:after="0" w:line="240" w:lineRule="auto"/>
        <w:ind w:left="851" w:hanging="143"/>
        <w:jc w:val="both"/>
        <w:rPr>
          <w:rFonts w:ascii="Times New Roman" w:hAnsi="Times New Roman"/>
          <w:sz w:val="24"/>
          <w:szCs w:val="24"/>
        </w:rPr>
      </w:pPr>
      <w:r w:rsidRPr="009355F5">
        <w:rPr>
          <w:rFonts w:ascii="Times New Roman" w:hAnsi="Times New Roman"/>
          <w:sz w:val="24"/>
          <w:szCs w:val="24"/>
        </w:rPr>
        <w:t xml:space="preserve">- Nariadenie </w:t>
      </w:r>
      <w:r w:rsidRPr="009355F5">
        <w:rPr>
          <w:rFonts w:ascii="Times New Roman" w:hAnsi="Times New Roman"/>
          <w:sz w:val="24"/>
          <w:szCs w:val="24"/>
          <w:shd w:val="clear" w:color="auto" w:fill="FFFFFF"/>
        </w:rPr>
        <w:t>Európskeho parlamentu a Rady (EÚ) č. 609/2013 z  12. júna 2013 o potravinách určených pre dojčatá a malé deti, potravinách na osobitné lekárske účely a o celkovej náhrade stravy na účely regulácie hmotnosti a ktorým sa zrušuje smernica Rady 92/52/EHS, smernica Komisie 96/8/ES, 1999/21/ES, 2006/125/ES a 2006/141/ES, smernica Európskeho parlamentu a Rady 2009/39/ES a nariadenie Komisie (ES) č. 41/2009 a (ES) č. 953/2009</w:t>
      </w:r>
      <w:r w:rsidRPr="009355F5">
        <w:rPr>
          <w:rFonts w:ascii="Times New Roman" w:hAnsi="Times New Roman"/>
          <w:sz w:val="24"/>
          <w:szCs w:val="24"/>
        </w:rPr>
        <w:t xml:space="preserve"> v platnom znení  (Ú. v. EÚ L 181, 29.6.2013), </w:t>
      </w:r>
    </w:p>
    <w:p w:rsidR="00E55517" w:rsidRPr="009355F5" w:rsidRDefault="00E55517" w:rsidP="00E55517">
      <w:pPr>
        <w:spacing w:after="0" w:line="240" w:lineRule="auto"/>
        <w:ind w:left="851" w:hanging="143"/>
        <w:jc w:val="both"/>
        <w:rPr>
          <w:rFonts w:ascii="Times New Roman" w:hAnsi="Times New Roman"/>
          <w:sz w:val="24"/>
          <w:szCs w:val="24"/>
        </w:rPr>
      </w:pPr>
    </w:p>
    <w:p w:rsidR="00E55517" w:rsidRPr="009355F5" w:rsidRDefault="00E55517" w:rsidP="00E55517">
      <w:pPr>
        <w:pStyle w:val="Normlnywebov"/>
        <w:spacing w:before="0" w:beforeAutospacing="0" w:after="0" w:afterAutospacing="0"/>
        <w:ind w:left="1068"/>
        <w:jc w:val="both"/>
        <w:rPr>
          <w:bCs/>
          <w:color w:val="000000"/>
        </w:rPr>
      </w:pPr>
      <w:r w:rsidRPr="009355F5">
        <w:t xml:space="preserve">gestor – MHSR, </w:t>
      </w:r>
      <w:proofErr w:type="spellStart"/>
      <w:r w:rsidRPr="009355F5">
        <w:t>spolugestor</w:t>
      </w:r>
      <w:proofErr w:type="spellEnd"/>
      <w:r w:rsidRPr="009355F5">
        <w:t xml:space="preserve"> – </w:t>
      </w:r>
      <w:proofErr w:type="spellStart"/>
      <w:r w:rsidRPr="009355F5">
        <w:t>MPaRVSR</w:t>
      </w:r>
      <w:proofErr w:type="spellEnd"/>
      <w:r w:rsidRPr="009355F5">
        <w:t>, MZSR</w:t>
      </w:r>
    </w:p>
    <w:p w:rsidR="00E55517" w:rsidRPr="009355F5" w:rsidRDefault="00E55517" w:rsidP="00E55517">
      <w:pPr>
        <w:spacing w:after="0" w:line="240" w:lineRule="auto"/>
        <w:ind w:left="851" w:hanging="14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55F5">
        <w:rPr>
          <w:rFonts w:ascii="Times New Roman" w:hAnsi="Times New Roman"/>
          <w:sz w:val="24"/>
          <w:szCs w:val="24"/>
        </w:rPr>
        <w:t xml:space="preserve">- </w:t>
      </w:r>
      <w:r w:rsidR="00247107" w:rsidRPr="00247107">
        <w:rPr>
          <w:rFonts w:ascii="Times New Roman" w:hAnsi="Times New Roman"/>
          <w:sz w:val="24"/>
          <w:szCs w:val="24"/>
        </w:rPr>
        <w:t xml:space="preserve">Delegované nariadenie Komisie (EÚ) 2016/127 z 25. septembra 2015, ktorým sa dopĺňa nariadenie Európskeho parlamentu a Rady (EÚ) č. 609/2013, pokiaľ ide o osobitné požiadavky na zloženie a informácie platné pre počiatočnú dojčenskú výživu a následnú dojčenskú výživu a pokiaľ ide o požiadavky na informácie týkajúce </w:t>
      </w:r>
      <w:r w:rsidR="00247107">
        <w:rPr>
          <w:rFonts w:ascii="Times New Roman" w:hAnsi="Times New Roman"/>
          <w:sz w:val="24"/>
          <w:szCs w:val="24"/>
        </w:rPr>
        <w:t>sa výživy dojčiat a malých detí</w:t>
      </w:r>
      <w:r w:rsidRPr="009355F5">
        <w:rPr>
          <w:rFonts w:ascii="Times New Roman" w:hAnsi="Times New Roman"/>
          <w:sz w:val="24"/>
          <w:szCs w:val="24"/>
        </w:rPr>
        <w:t xml:space="preserve">, </w:t>
      </w:r>
    </w:p>
    <w:p w:rsidR="00E55517" w:rsidRPr="009355F5" w:rsidRDefault="00E55517" w:rsidP="00E55517">
      <w:pPr>
        <w:pStyle w:val="Normlnywebov"/>
        <w:spacing w:before="0" w:beforeAutospacing="0" w:after="0" w:afterAutospacing="0"/>
        <w:ind w:left="1068"/>
        <w:jc w:val="both"/>
        <w:rPr>
          <w:bCs/>
          <w:color w:val="000000"/>
        </w:rPr>
      </w:pPr>
      <w:r w:rsidRPr="009355F5">
        <w:t xml:space="preserve">gestor – MHSR, </w:t>
      </w:r>
      <w:proofErr w:type="spellStart"/>
      <w:r w:rsidRPr="009355F5">
        <w:t>spolugestor</w:t>
      </w:r>
      <w:proofErr w:type="spellEnd"/>
      <w:r w:rsidRPr="009355F5">
        <w:t xml:space="preserve"> – </w:t>
      </w:r>
      <w:proofErr w:type="spellStart"/>
      <w:r w:rsidRPr="009355F5">
        <w:t>MPaRVSR</w:t>
      </w:r>
      <w:proofErr w:type="spellEnd"/>
      <w:r w:rsidRPr="009355F5">
        <w:t>, MZSR</w:t>
      </w:r>
    </w:p>
    <w:p w:rsidR="00E55517" w:rsidRPr="009355F5" w:rsidRDefault="00E55517" w:rsidP="00E555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F5">
        <w:rPr>
          <w:rFonts w:ascii="Times New Roman" w:hAnsi="Times New Roman"/>
          <w:sz w:val="24"/>
          <w:szCs w:val="24"/>
        </w:rPr>
        <w:t>smernica Európskeho parlamentu a Rady 2011/24/EÚ z 9. marca 2011 o uplatňovaní práv pacientov pri cezhraničnej zdravotnej starostlivosti (</w:t>
      </w:r>
      <w:proofErr w:type="spellStart"/>
      <w:r w:rsidRPr="009355F5">
        <w:rPr>
          <w:rFonts w:ascii="Times New Roman" w:hAnsi="Times New Roman"/>
          <w:sz w:val="24"/>
          <w:szCs w:val="24"/>
        </w:rPr>
        <w:t>Ú.v</w:t>
      </w:r>
      <w:proofErr w:type="spellEnd"/>
      <w:r w:rsidRPr="009355F5">
        <w:rPr>
          <w:rFonts w:ascii="Times New Roman" w:hAnsi="Times New Roman"/>
          <w:sz w:val="24"/>
          <w:szCs w:val="24"/>
        </w:rPr>
        <w:t>. EÚ L 88, 4.4.2011),</w:t>
      </w:r>
    </w:p>
    <w:p w:rsidR="00E55517" w:rsidRPr="009355F5" w:rsidRDefault="00E55517" w:rsidP="00E55517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E55517" w:rsidRPr="009355F5" w:rsidRDefault="00E55517" w:rsidP="00E55517">
      <w:pPr>
        <w:spacing w:after="0" w:line="240" w:lineRule="auto"/>
        <w:ind w:left="708" w:firstLine="285"/>
        <w:jc w:val="both"/>
        <w:rPr>
          <w:rFonts w:ascii="Times New Roman" w:hAnsi="Times New Roman"/>
          <w:sz w:val="24"/>
          <w:szCs w:val="24"/>
        </w:rPr>
      </w:pPr>
      <w:r w:rsidRPr="009355F5">
        <w:rPr>
          <w:rFonts w:ascii="Times New Roman" w:hAnsi="Times New Roman"/>
          <w:sz w:val="24"/>
          <w:szCs w:val="24"/>
        </w:rPr>
        <w:t>gestor – MZSR</w:t>
      </w:r>
    </w:p>
    <w:p w:rsidR="00E55517" w:rsidRPr="009355F5" w:rsidRDefault="00E55517" w:rsidP="00E55517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E55517" w:rsidRPr="009355F5" w:rsidRDefault="00E55517" w:rsidP="00E555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F5">
        <w:rPr>
          <w:rFonts w:ascii="Times New Roman" w:hAnsi="Times New Roman"/>
          <w:sz w:val="24"/>
          <w:szCs w:val="24"/>
        </w:rPr>
        <w:t>smernica Európskeho parlamentu a Rady 2005/36/ES zo 7. septembra 2005 o uznávaní odborných kvalifikácií (</w:t>
      </w:r>
      <w:proofErr w:type="spellStart"/>
      <w:r w:rsidRPr="009355F5">
        <w:rPr>
          <w:rFonts w:ascii="Times New Roman" w:hAnsi="Times New Roman"/>
          <w:sz w:val="24"/>
          <w:szCs w:val="24"/>
        </w:rPr>
        <w:t>Ú.v</w:t>
      </w:r>
      <w:proofErr w:type="spellEnd"/>
      <w:r w:rsidRPr="009355F5">
        <w:rPr>
          <w:rFonts w:ascii="Times New Roman" w:hAnsi="Times New Roman"/>
          <w:sz w:val="24"/>
          <w:szCs w:val="24"/>
        </w:rPr>
        <w:t>. EÚ L 255, 30.9.2005) v platnom znení.</w:t>
      </w:r>
    </w:p>
    <w:p w:rsidR="00E55517" w:rsidRPr="009355F5" w:rsidRDefault="00E55517" w:rsidP="00E55517">
      <w:pPr>
        <w:pStyle w:val="Normlnywebov"/>
        <w:spacing w:before="0" w:beforeAutospacing="0" w:after="0" w:afterAutospacing="0"/>
        <w:jc w:val="both"/>
      </w:pPr>
    </w:p>
    <w:p w:rsidR="00E55517" w:rsidRPr="009355F5" w:rsidRDefault="00E55517" w:rsidP="00E55517">
      <w:pPr>
        <w:spacing w:after="0" w:line="240" w:lineRule="auto"/>
        <w:ind w:left="708" w:firstLine="285"/>
        <w:jc w:val="both"/>
        <w:rPr>
          <w:rFonts w:ascii="Times New Roman" w:hAnsi="Times New Roman"/>
          <w:sz w:val="24"/>
          <w:szCs w:val="24"/>
        </w:rPr>
      </w:pPr>
      <w:r w:rsidRPr="009355F5">
        <w:rPr>
          <w:rFonts w:ascii="Times New Roman" w:hAnsi="Times New Roman"/>
          <w:sz w:val="24"/>
          <w:szCs w:val="24"/>
        </w:rPr>
        <w:t>gestor – MZSR</w:t>
      </w:r>
    </w:p>
    <w:p w:rsidR="00E55517" w:rsidRPr="009355F5" w:rsidRDefault="00E55517" w:rsidP="00E55517">
      <w:pPr>
        <w:pStyle w:val="Normlnywebov"/>
        <w:spacing w:before="0" w:beforeAutospacing="0" w:after="0" w:afterAutospacing="0"/>
        <w:jc w:val="both"/>
      </w:pPr>
    </w:p>
    <w:p w:rsidR="00E55517" w:rsidRPr="009355F5" w:rsidRDefault="00E55517" w:rsidP="00E55517">
      <w:pPr>
        <w:pStyle w:val="Normlnywebov"/>
        <w:spacing w:before="0" w:beforeAutospacing="0" w:after="0" w:afterAutospacing="0"/>
        <w:jc w:val="both"/>
      </w:pPr>
    </w:p>
    <w:p w:rsidR="00E55517" w:rsidRPr="009355F5" w:rsidRDefault="00E55517" w:rsidP="00E55517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 w:rsidRPr="009355F5">
        <w:rPr>
          <w:rStyle w:val="awspan"/>
          <w:color w:val="000000"/>
        </w:rPr>
        <w:t>v</w:t>
      </w:r>
      <w:r w:rsidRPr="009355F5">
        <w:rPr>
          <w:rStyle w:val="awspan"/>
          <w:color w:val="000000"/>
          <w:spacing w:val="45"/>
        </w:rPr>
        <w:t xml:space="preserve"> </w:t>
      </w:r>
      <w:r w:rsidRPr="009355F5">
        <w:rPr>
          <w:rStyle w:val="awspan"/>
          <w:color w:val="000000"/>
        </w:rPr>
        <w:t>judikatúre</w:t>
      </w:r>
      <w:r w:rsidRPr="009355F5">
        <w:rPr>
          <w:rStyle w:val="awspan"/>
          <w:color w:val="000000"/>
          <w:spacing w:val="45"/>
        </w:rPr>
        <w:t xml:space="preserve"> </w:t>
      </w:r>
      <w:r w:rsidRPr="009355F5">
        <w:rPr>
          <w:rStyle w:val="awspan"/>
          <w:color w:val="000000"/>
        </w:rPr>
        <w:t>Súdneho</w:t>
      </w:r>
      <w:r w:rsidRPr="009355F5">
        <w:rPr>
          <w:rStyle w:val="awspan"/>
          <w:color w:val="000000"/>
          <w:spacing w:val="45"/>
        </w:rPr>
        <w:t xml:space="preserve"> </w:t>
      </w:r>
      <w:r w:rsidRPr="009355F5">
        <w:rPr>
          <w:rStyle w:val="awspan"/>
          <w:color w:val="000000"/>
        </w:rPr>
        <w:t>dvora</w:t>
      </w:r>
      <w:r w:rsidRPr="009355F5">
        <w:rPr>
          <w:rStyle w:val="awspan"/>
          <w:color w:val="000000"/>
          <w:spacing w:val="45"/>
        </w:rPr>
        <w:t xml:space="preserve"> </w:t>
      </w:r>
      <w:r w:rsidRPr="009355F5">
        <w:rPr>
          <w:rStyle w:val="awspan"/>
          <w:color w:val="000000"/>
        </w:rPr>
        <w:t>Európskej</w:t>
      </w:r>
      <w:r w:rsidRPr="009355F5">
        <w:rPr>
          <w:rStyle w:val="awspan"/>
          <w:color w:val="000000"/>
          <w:spacing w:val="45"/>
        </w:rPr>
        <w:t xml:space="preserve"> </w:t>
      </w:r>
      <w:r w:rsidRPr="009355F5">
        <w:rPr>
          <w:rStyle w:val="awspan"/>
          <w:color w:val="000000"/>
        </w:rPr>
        <w:t>únie</w:t>
      </w:r>
      <w:r w:rsidRPr="009355F5">
        <w:rPr>
          <w:rStyle w:val="awspan"/>
          <w:color w:val="000000"/>
          <w:spacing w:val="45"/>
        </w:rPr>
        <w:t xml:space="preserve"> </w:t>
      </w:r>
      <w:r w:rsidRPr="009355F5">
        <w:rPr>
          <w:rStyle w:val="awspan"/>
          <w:color w:val="000000"/>
        </w:rPr>
        <w:t>(uviesť</w:t>
      </w:r>
      <w:r w:rsidRPr="009355F5">
        <w:rPr>
          <w:rStyle w:val="awspan"/>
          <w:color w:val="000000"/>
          <w:spacing w:val="45"/>
        </w:rPr>
        <w:t xml:space="preserve"> </w:t>
      </w:r>
      <w:r w:rsidRPr="009355F5">
        <w:rPr>
          <w:rStyle w:val="awspan"/>
          <w:color w:val="000000"/>
        </w:rPr>
        <w:t>číslo</w:t>
      </w:r>
      <w:r w:rsidRPr="009355F5">
        <w:rPr>
          <w:rStyle w:val="awspan"/>
          <w:color w:val="000000"/>
          <w:spacing w:val="45"/>
        </w:rPr>
        <w:t xml:space="preserve"> </w:t>
      </w:r>
      <w:r w:rsidRPr="009355F5">
        <w:rPr>
          <w:rStyle w:val="awspan"/>
          <w:color w:val="000000"/>
        </w:rPr>
        <w:t>a</w:t>
      </w:r>
      <w:r w:rsidRPr="009355F5">
        <w:rPr>
          <w:rStyle w:val="awspan"/>
          <w:color w:val="000000"/>
          <w:spacing w:val="45"/>
        </w:rPr>
        <w:t xml:space="preserve"> </w:t>
      </w:r>
      <w:r w:rsidRPr="009355F5">
        <w:rPr>
          <w:rStyle w:val="awspan"/>
          <w:color w:val="000000"/>
        </w:rPr>
        <w:t>označenie</w:t>
      </w:r>
      <w:r w:rsidRPr="009355F5">
        <w:rPr>
          <w:rStyle w:val="awspan"/>
          <w:color w:val="000000"/>
          <w:spacing w:val="45"/>
        </w:rPr>
        <w:t xml:space="preserve"> </w:t>
      </w:r>
      <w:r w:rsidRPr="009355F5">
        <w:rPr>
          <w:rStyle w:val="awspan"/>
          <w:color w:val="000000"/>
        </w:rPr>
        <w:t>relevantného rozhodnutia a stručne jeho výrok alebo relevantné právne vety)</w:t>
      </w:r>
    </w:p>
    <w:p w:rsidR="00E55517" w:rsidRPr="009355F5" w:rsidRDefault="00E55517" w:rsidP="00E55517">
      <w:pPr>
        <w:pStyle w:val="Normlnywebov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E55517" w:rsidRPr="009355F5" w:rsidRDefault="00E55517" w:rsidP="00E55517">
      <w:pPr>
        <w:pStyle w:val="Normlnywebov"/>
        <w:spacing w:before="0" w:beforeAutospacing="0" w:after="0" w:afterAutospacing="0"/>
        <w:ind w:firstLine="708"/>
        <w:jc w:val="both"/>
      </w:pPr>
      <w:r w:rsidRPr="009355F5">
        <w:rPr>
          <w:color w:val="000000"/>
          <w:shd w:val="clear" w:color="auto" w:fill="FFFFFF"/>
        </w:rPr>
        <w:t>- bezpredmetné</w:t>
      </w:r>
    </w:p>
    <w:p w:rsidR="00E55517" w:rsidRPr="009355F5" w:rsidRDefault="00E55517" w:rsidP="00E55517">
      <w:pPr>
        <w:pStyle w:val="Normlnywebov"/>
        <w:spacing w:before="0" w:beforeAutospacing="0" w:after="0" w:afterAutospacing="0"/>
        <w:jc w:val="both"/>
      </w:pPr>
    </w:p>
    <w:p w:rsidR="00E55517" w:rsidRPr="009355F5" w:rsidRDefault="00E55517" w:rsidP="00E55517">
      <w:pPr>
        <w:pStyle w:val="Normlnywebov"/>
        <w:spacing w:before="0" w:beforeAutospacing="0" w:after="0" w:afterAutospacing="0"/>
        <w:jc w:val="both"/>
      </w:pPr>
    </w:p>
    <w:p w:rsidR="00E55517" w:rsidRPr="009355F5" w:rsidRDefault="00E55517" w:rsidP="00E55517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355F5">
        <w:rPr>
          <w:b/>
          <w:bCs/>
          <w:color w:val="000000"/>
        </w:rPr>
        <w:t xml:space="preserve">Záväzky Slovenskej republiky vo vzťahu k Európskej únii: </w:t>
      </w:r>
    </w:p>
    <w:p w:rsidR="00E55517" w:rsidRPr="009355F5" w:rsidRDefault="00E55517" w:rsidP="00E555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5517" w:rsidRPr="009355F5" w:rsidRDefault="00E55517" w:rsidP="00E55517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9355F5">
        <w:rPr>
          <w:color w:val="000000"/>
        </w:rPr>
        <w:t>uviesť</w:t>
      </w:r>
      <w:r w:rsidRPr="009355F5">
        <w:rPr>
          <w:color w:val="000000"/>
          <w:spacing w:val="6"/>
        </w:rPr>
        <w:t xml:space="preserve"> </w:t>
      </w:r>
      <w:r w:rsidRPr="009355F5">
        <w:rPr>
          <w:color w:val="000000"/>
        </w:rPr>
        <w:t>lehotu</w:t>
      </w:r>
      <w:r w:rsidRPr="009355F5">
        <w:rPr>
          <w:color w:val="000000"/>
          <w:spacing w:val="6"/>
        </w:rPr>
        <w:t xml:space="preserve"> </w:t>
      </w:r>
      <w:r w:rsidRPr="009355F5">
        <w:rPr>
          <w:color w:val="000000"/>
        </w:rPr>
        <w:t>na</w:t>
      </w:r>
      <w:r w:rsidRPr="009355F5">
        <w:rPr>
          <w:color w:val="000000"/>
          <w:spacing w:val="6"/>
        </w:rPr>
        <w:t xml:space="preserve"> </w:t>
      </w:r>
      <w:r w:rsidRPr="009355F5">
        <w:rPr>
          <w:color w:val="000000"/>
        </w:rPr>
        <w:t>prebranie</w:t>
      </w:r>
      <w:r w:rsidRPr="009355F5">
        <w:rPr>
          <w:color w:val="000000"/>
          <w:spacing w:val="6"/>
        </w:rPr>
        <w:t xml:space="preserve"> </w:t>
      </w:r>
      <w:r w:rsidRPr="009355F5">
        <w:rPr>
          <w:color w:val="000000"/>
        </w:rPr>
        <w:t>príslušného</w:t>
      </w:r>
      <w:r w:rsidRPr="009355F5">
        <w:rPr>
          <w:color w:val="000000"/>
          <w:spacing w:val="6"/>
        </w:rPr>
        <w:t xml:space="preserve"> </w:t>
      </w:r>
      <w:r w:rsidRPr="009355F5">
        <w:rPr>
          <w:color w:val="000000"/>
        </w:rPr>
        <w:t>právneho</w:t>
      </w:r>
      <w:r w:rsidRPr="009355F5">
        <w:rPr>
          <w:color w:val="000000"/>
          <w:spacing w:val="6"/>
        </w:rPr>
        <w:t xml:space="preserve"> </w:t>
      </w:r>
      <w:r w:rsidRPr="009355F5">
        <w:rPr>
          <w:color w:val="000000"/>
        </w:rPr>
        <w:t>aktu</w:t>
      </w:r>
      <w:r w:rsidRPr="009355F5">
        <w:rPr>
          <w:color w:val="000000"/>
          <w:spacing w:val="6"/>
        </w:rPr>
        <w:t xml:space="preserve"> </w:t>
      </w:r>
      <w:r w:rsidRPr="009355F5">
        <w:rPr>
          <w:color w:val="000000"/>
        </w:rPr>
        <w:t>Európskej</w:t>
      </w:r>
      <w:r w:rsidRPr="009355F5">
        <w:rPr>
          <w:color w:val="000000"/>
          <w:spacing w:val="6"/>
        </w:rPr>
        <w:t xml:space="preserve"> </w:t>
      </w:r>
      <w:r w:rsidRPr="009355F5">
        <w:rPr>
          <w:color w:val="000000"/>
        </w:rPr>
        <w:t>únie,</w:t>
      </w:r>
      <w:r w:rsidRPr="009355F5">
        <w:rPr>
          <w:color w:val="000000"/>
          <w:spacing w:val="6"/>
        </w:rPr>
        <w:t xml:space="preserve"> </w:t>
      </w:r>
      <w:r w:rsidRPr="009355F5">
        <w:rPr>
          <w:color w:val="000000"/>
        </w:rPr>
        <w:t>príp.</w:t>
      </w:r>
      <w:r w:rsidRPr="009355F5">
        <w:rPr>
          <w:color w:val="000000"/>
          <w:spacing w:val="6"/>
        </w:rPr>
        <w:t xml:space="preserve"> </w:t>
      </w:r>
      <w:r w:rsidRPr="009355F5">
        <w:rPr>
          <w:color w:val="000000"/>
        </w:rPr>
        <w:t>aj</w:t>
      </w:r>
      <w:r w:rsidRPr="009355F5">
        <w:rPr>
          <w:color w:val="000000"/>
          <w:spacing w:val="6"/>
        </w:rPr>
        <w:t xml:space="preserve"> </w:t>
      </w:r>
      <w:r w:rsidRPr="009355F5">
        <w:rPr>
          <w:color w:val="000000"/>
        </w:rPr>
        <w:t>osobitná lehota účinnosti jeho ustanovení,</w:t>
      </w:r>
    </w:p>
    <w:p w:rsidR="00E55517" w:rsidRPr="009355F5" w:rsidRDefault="00E55517" w:rsidP="00E555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5517" w:rsidRPr="009355F5" w:rsidRDefault="00E55517" w:rsidP="00E55517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- bezpredmetné</w:t>
      </w:r>
    </w:p>
    <w:p w:rsidR="00E55517" w:rsidRPr="009355F5" w:rsidRDefault="00E55517" w:rsidP="00E55517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5517" w:rsidRPr="009355F5" w:rsidRDefault="00E55517" w:rsidP="00E55517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9355F5">
        <w:rPr>
          <w:color w:val="000000"/>
        </w:rPr>
        <w:t>uviesť</w:t>
      </w:r>
      <w:r w:rsidRPr="009355F5">
        <w:rPr>
          <w:color w:val="000000"/>
          <w:spacing w:val="77"/>
        </w:rPr>
        <w:t xml:space="preserve"> </w:t>
      </w:r>
      <w:r w:rsidRPr="009355F5">
        <w:rPr>
          <w:color w:val="000000"/>
        </w:rPr>
        <w:t>informáciu</w:t>
      </w:r>
      <w:r w:rsidRPr="009355F5">
        <w:rPr>
          <w:color w:val="000000"/>
          <w:spacing w:val="77"/>
        </w:rPr>
        <w:t xml:space="preserve"> </w:t>
      </w:r>
      <w:r w:rsidRPr="009355F5">
        <w:rPr>
          <w:color w:val="000000"/>
        </w:rPr>
        <w:t>o</w:t>
      </w:r>
      <w:r w:rsidRPr="009355F5">
        <w:rPr>
          <w:color w:val="000000"/>
          <w:spacing w:val="77"/>
        </w:rPr>
        <w:t xml:space="preserve"> </w:t>
      </w:r>
      <w:r w:rsidRPr="009355F5">
        <w:rPr>
          <w:color w:val="000000"/>
        </w:rPr>
        <w:t>začatí</w:t>
      </w:r>
      <w:r w:rsidRPr="009355F5">
        <w:rPr>
          <w:color w:val="000000"/>
          <w:spacing w:val="77"/>
        </w:rPr>
        <w:t xml:space="preserve"> </w:t>
      </w:r>
      <w:r w:rsidRPr="009355F5">
        <w:rPr>
          <w:color w:val="000000"/>
        </w:rPr>
        <w:t>konania</w:t>
      </w:r>
      <w:r w:rsidRPr="009355F5">
        <w:rPr>
          <w:color w:val="000000"/>
          <w:spacing w:val="77"/>
        </w:rPr>
        <w:t xml:space="preserve"> </w:t>
      </w:r>
      <w:r w:rsidRPr="009355F5">
        <w:rPr>
          <w:color w:val="000000"/>
        </w:rPr>
        <w:t>v</w:t>
      </w:r>
      <w:r w:rsidRPr="009355F5">
        <w:rPr>
          <w:color w:val="000000"/>
          <w:spacing w:val="77"/>
        </w:rPr>
        <w:t xml:space="preserve"> </w:t>
      </w:r>
      <w:r w:rsidRPr="009355F5">
        <w:rPr>
          <w:color w:val="000000"/>
        </w:rPr>
        <w:t>rámci</w:t>
      </w:r>
      <w:r w:rsidRPr="009355F5">
        <w:rPr>
          <w:color w:val="000000"/>
          <w:spacing w:val="77"/>
        </w:rPr>
        <w:t xml:space="preserve"> </w:t>
      </w:r>
      <w:r w:rsidRPr="009355F5">
        <w:rPr>
          <w:color w:val="000000"/>
        </w:rPr>
        <w:t>„EÚ</w:t>
      </w:r>
      <w:r w:rsidRPr="009355F5">
        <w:rPr>
          <w:color w:val="000000"/>
          <w:spacing w:val="77"/>
        </w:rPr>
        <w:t xml:space="preserve"> </w:t>
      </w:r>
      <w:r w:rsidRPr="009355F5">
        <w:rPr>
          <w:color w:val="000000"/>
        </w:rPr>
        <w:t>Pilot“</w:t>
      </w:r>
      <w:r w:rsidRPr="009355F5">
        <w:rPr>
          <w:color w:val="000000"/>
          <w:spacing w:val="77"/>
        </w:rPr>
        <w:t xml:space="preserve"> </w:t>
      </w:r>
      <w:r w:rsidRPr="009355F5">
        <w:rPr>
          <w:color w:val="000000"/>
        </w:rPr>
        <w:t>alebo</w:t>
      </w:r>
      <w:r w:rsidRPr="009355F5">
        <w:rPr>
          <w:color w:val="000000"/>
          <w:spacing w:val="77"/>
        </w:rPr>
        <w:t xml:space="preserve"> </w:t>
      </w:r>
      <w:r w:rsidRPr="009355F5">
        <w:rPr>
          <w:color w:val="000000"/>
        </w:rPr>
        <w:t>o</w:t>
      </w:r>
      <w:r w:rsidRPr="009355F5">
        <w:rPr>
          <w:color w:val="000000"/>
          <w:spacing w:val="77"/>
        </w:rPr>
        <w:t xml:space="preserve"> </w:t>
      </w:r>
      <w:r w:rsidRPr="009355F5">
        <w:rPr>
          <w:color w:val="000000"/>
        </w:rPr>
        <w:t>začatí</w:t>
      </w:r>
      <w:r w:rsidRPr="009355F5">
        <w:rPr>
          <w:color w:val="000000"/>
          <w:spacing w:val="77"/>
        </w:rPr>
        <w:t xml:space="preserve"> </w:t>
      </w:r>
      <w:r w:rsidRPr="009355F5">
        <w:rPr>
          <w:color w:val="000000"/>
        </w:rPr>
        <w:t>postupu Európskej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komisie,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alebo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o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konaní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Súdneho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dvora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Európskej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únie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proti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Slovenskej republike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podľa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čl.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258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a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260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Zmluvy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o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fungovaní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Európskej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únie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v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jej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platnom</w:t>
      </w:r>
      <w:r w:rsidRPr="009355F5">
        <w:rPr>
          <w:color w:val="000000"/>
          <w:spacing w:val="2"/>
        </w:rPr>
        <w:t xml:space="preserve"> </w:t>
      </w:r>
      <w:r w:rsidRPr="009355F5">
        <w:rPr>
          <w:color w:val="000000"/>
        </w:rPr>
        <w:t>znení, spolu</w:t>
      </w:r>
      <w:r w:rsidRPr="009355F5">
        <w:rPr>
          <w:color w:val="000000"/>
          <w:spacing w:val="1"/>
        </w:rPr>
        <w:t xml:space="preserve"> </w:t>
      </w:r>
      <w:r w:rsidRPr="009355F5">
        <w:rPr>
          <w:color w:val="000000"/>
        </w:rPr>
        <w:t>s</w:t>
      </w:r>
      <w:r w:rsidRPr="009355F5">
        <w:rPr>
          <w:color w:val="000000"/>
          <w:spacing w:val="1"/>
        </w:rPr>
        <w:t xml:space="preserve"> </w:t>
      </w:r>
      <w:r w:rsidRPr="009355F5">
        <w:rPr>
          <w:color w:val="000000"/>
        </w:rPr>
        <w:t>uvedením</w:t>
      </w:r>
      <w:r w:rsidRPr="009355F5">
        <w:rPr>
          <w:color w:val="000000"/>
          <w:spacing w:val="1"/>
        </w:rPr>
        <w:t xml:space="preserve"> </w:t>
      </w:r>
      <w:r w:rsidRPr="009355F5">
        <w:rPr>
          <w:color w:val="000000"/>
        </w:rPr>
        <w:t>konkrétnych</w:t>
      </w:r>
      <w:r w:rsidRPr="009355F5">
        <w:rPr>
          <w:color w:val="000000"/>
          <w:spacing w:val="1"/>
        </w:rPr>
        <w:t xml:space="preserve"> </w:t>
      </w:r>
      <w:r w:rsidRPr="009355F5">
        <w:rPr>
          <w:color w:val="000000"/>
        </w:rPr>
        <w:t>vytýkaných</w:t>
      </w:r>
      <w:r w:rsidRPr="009355F5">
        <w:rPr>
          <w:color w:val="000000"/>
          <w:spacing w:val="1"/>
        </w:rPr>
        <w:t xml:space="preserve"> </w:t>
      </w:r>
      <w:r w:rsidRPr="009355F5">
        <w:rPr>
          <w:color w:val="000000"/>
        </w:rPr>
        <w:t>nedostatkov</w:t>
      </w:r>
      <w:r w:rsidRPr="009355F5">
        <w:rPr>
          <w:color w:val="000000"/>
          <w:spacing w:val="1"/>
        </w:rPr>
        <w:t xml:space="preserve"> </w:t>
      </w:r>
      <w:r w:rsidRPr="009355F5">
        <w:rPr>
          <w:color w:val="000000"/>
        </w:rPr>
        <w:t>a</w:t>
      </w:r>
      <w:r w:rsidRPr="009355F5">
        <w:rPr>
          <w:color w:val="000000"/>
          <w:spacing w:val="1"/>
        </w:rPr>
        <w:t xml:space="preserve"> </w:t>
      </w:r>
      <w:r w:rsidRPr="009355F5">
        <w:rPr>
          <w:color w:val="000000"/>
        </w:rPr>
        <w:t>požiadaviek</w:t>
      </w:r>
      <w:r w:rsidRPr="009355F5">
        <w:rPr>
          <w:color w:val="000000"/>
          <w:spacing w:val="1"/>
        </w:rPr>
        <w:t xml:space="preserve"> </w:t>
      </w:r>
      <w:r w:rsidRPr="009355F5">
        <w:rPr>
          <w:color w:val="000000"/>
        </w:rPr>
        <w:t>na</w:t>
      </w:r>
      <w:r w:rsidRPr="009355F5">
        <w:rPr>
          <w:color w:val="000000"/>
          <w:spacing w:val="1"/>
        </w:rPr>
        <w:t xml:space="preserve"> </w:t>
      </w:r>
      <w:r w:rsidRPr="009355F5">
        <w:rPr>
          <w:color w:val="000000"/>
        </w:rPr>
        <w:t>zabezpečenie nápravy,</w:t>
      </w:r>
    </w:p>
    <w:p w:rsidR="00E55517" w:rsidRPr="009355F5" w:rsidRDefault="00E55517" w:rsidP="00E555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5517" w:rsidRPr="009355F5" w:rsidRDefault="00E55517" w:rsidP="00E55517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- bezpredmetné</w:t>
      </w:r>
    </w:p>
    <w:p w:rsidR="00E55517" w:rsidRPr="009355F5" w:rsidRDefault="00E55517" w:rsidP="00E55517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5517" w:rsidRPr="009355F5" w:rsidRDefault="00E55517" w:rsidP="00E55517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9355F5">
        <w:rPr>
          <w:color w:val="000000"/>
        </w:rPr>
        <w:t>uviesť</w:t>
      </w:r>
      <w:r w:rsidRPr="009355F5">
        <w:rPr>
          <w:color w:val="000000"/>
          <w:spacing w:val="94"/>
        </w:rPr>
        <w:t xml:space="preserve"> </w:t>
      </w:r>
      <w:r w:rsidRPr="009355F5">
        <w:rPr>
          <w:color w:val="000000"/>
        </w:rPr>
        <w:t>informáciu</w:t>
      </w:r>
      <w:r w:rsidRPr="009355F5">
        <w:rPr>
          <w:color w:val="000000"/>
          <w:spacing w:val="94"/>
        </w:rPr>
        <w:t xml:space="preserve"> </w:t>
      </w:r>
      <w:r w:rsidRPr="009355F5">
        <w:rPr>
          <w:color w:val="000000"/>
        </w:rPr>
        <w:t>o</w:t>
      </w:r>
      <w:r w:rsidRPr="009355F5">
        <w:rPr>
          <w:color w:val="000000"/>
          <w:spacing w:val="94"/>
        </w:rPr>
        <w:t xml:space="preserve"> </w:t>
      </w:r>
      <w:r w:rsidRPr="009355F5">
        <w:rPr>
          <w:color w:val="000000"/>
        </w:rPr>
        <w:t>právnych</w:t>
      </w:r>
      <w:r w:rsidRPr="009355F5">
        <w:rPr>
          <w:color w:val="000000"/>
          <w:spacing w:val="94"/>
        </w:rPr>
        <w:t xml:space="preserve"> </w:t>
      </w:r>
      <w:r w:rsidRPr="009355F5">
        <w:rPr>
          <w:color w:val="000000"/>
        </w:rPr>
        <w:t>predpisoch,</w:t>
      </w:r>
      <w:r w:rsidRPr="009355F5">
        <w:rPr>
          <w:color w:val="000000"/>
          <w:spacing w:val="94"/>
        </w:rPr>
        <w:t xml:space="preserve"> </w:t>
      </w:r>
      <w:r w:rsidRPr="009355F5">
        <w:rPr>
          <w:color w:val="000000"/>
        </w:rPr>
        <w:t>v</w:t>
      </w:r>
      <w:r w:rsidRPr="009355F5">
        <w:rPr>
          <w:color w:val="000000"/>
          <w:spacing w:val="94"/>
        </w:rPr>
        <w:t xml:space="preserve"> </w:t>
      </w:r>
      <w:r w:rsidRPr="009355F5">
        <w:rPr>
          <w:color w:val="000000"/>
        </w:rPr>
        <w:t>ktorých</w:t>
      </w:r>
      <w:r w:rsidRPr="009355F5">
        <w:rPr>
          <w:color w:val="000000"/>
          <w:spacing w:val="94"/>
        </w:rPr>
        <w:t xml:space="preserve"> </w:t>
      </w:r>
      <w:r w:rsidRPr="009355F5">
        <w:rPr>
          <w:color w:val="000000"/>
        </w:rPr>
        <w:t>sú</w:t>
      </w:r>
      <w:r w:rsidRPr="009355F5">
        <w:rPr>
          <w:color w:val="000000"/>
          <w:spacing w:val="94"/>
        </w:rPr>
        <w:t xml:space="preserve"> </w:t>
      </w:r>
      <w:r w:rsidRPr="009355F5">
        <w:rPr>
          <w:color w:val="000000"/>
        </w:rPr>
        <w:t>uvádzané</w:t>
      </w:r>
      <w:r w:rsidRPr="009355F5">
        <w:rPr>
          <w:color w:val="000000"/>
          <w:spacing w:val="94"/>
        </w:rPr>
        <w:t xml:space="preserve"> </w:t>
      </w:r>
      <w:r w:rsidRPr="009355F5">
        <w:rPr>
          <w:color w:val="000000"/>
        </w:rPr>
        <w:t>právne</w:t>
      </w:r>
      <w:r w:rsidRPr="009355F5">
        <w:rPr>
          <w:color w:val="000000"/>
          <w:spacing w:val="94"/>
        </w:rPr>
        <w:t xml:space="preserve"> </w:t>
      </w:r>
      <w:r w:rsidRPr="009355F5">
        <w:rPr>
          <w:color w:val="000000"/>
        </w:rPr>
        <w:t>akty Európskej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únie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už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prebrané,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spolu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s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uvedením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rozsahu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ich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prebrania,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príp.</w:t>
      </w:r>
      <w:r w:rsidRPr="009355F5">
        <w:rPr>
          <w:color w:val="000000"/>
          <w:spacing w:val="40"/>
        </w:rPr>
        <w:t xml:space="preserve"> </w:t>
      </w:r>
      <w:r w:rsidRPr="009355F5">
        <w:rPr>
          <w:color w:val="000000"/>
        </w:rPr>
        <w:t>potreby prijatia ďalších úprav.</w:t>
      </w:r>
    </w:p>
    <w:p w:rsidR="00E55517" w:rsidRPr="009355F5" w:rsidRDefault="00E55517" w:rsidP="00E555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5517" w:rsidRPr="009355F5" w:rsidRDefault="00E55517" w:rsidP="00E55517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>- bezpredmetné</w:t>
      </w:r>
    </w:p>
    <w:p w:rsidR="00E55517" w:rsidRPr="009355F5" w:rsidRDefault="00E55517" w:rsidP="00E555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5517" w:rsidRPr="009355F5" w:rsidRDefault="00E55517" w:rsidP="00E55517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9355F5">
        <w:rPr>
          <w:b/>
          <w:bCs/>
          <w:color w:val="000000"/>
        </w:rPr>
        <w:t>Návrh zákona je zlučiteľný s právom Európskej únie</w:t>
      </w:r>
    </w:p>
    <w:p w:rsidR="00E55517" w:rsidRPr="009355F5" w:rsidRDefault="00E55517" w:rsidP="00E555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5517" w:rsidRPr="009355F5" w:rsidRDefault="00E55517" w:rsidP="00E555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F5">
        <w:rPr>
          <w:rFonts w:ascii="Times New Roman" w:eastAsia="Times New Roman" w:hAnsi="Times New Roman"/>
          <w:color w:val="000000"/>
          <w:sz w:val="24"/>
          <w:szCs w:val="24"/>
        </w:rPr>
        <w:t xml:space="preserve">Stupeň zlučiteľnosti - úplný </w:t>
      </w:r>
    </w:p>
    <w:sectPr w:rsidR="00E55517" w:rsidRPr="0093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33F"/>
    <w:multiLevelType w:val="hybridMultilevel"/>
    <w:tmpl w:val="A530C718"/>
    <w:lvl w:ilvl="0" w:tplc="D2BAA1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6F76"/>
    <w:multiLevelType w:val="hybridMultilevel"/>
    <w:tmpl w:val="386010FE"/>
    <w:lvl w:ilvl="0" w:tplc="5F7A3A6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AF1C76"/>
    <w:multiLevelType w:val="hybridMultilevel"/>
    <w:tmpl w:val="C8AACB2E"/>
    <w:lvl w:ilvl="0" w:tplc="8D38460C">
      <w:start w:val="1"/>
      <w:numFmt w:val="lowerLetter"/>
      <w:lvlText w:val="%1)"/>
      <w:lvlJc w:val="left"/>
      <w:pPr>
        <w:ind w:left="720" w:hanging="360"/>
      </w:pPr>
      <w:rPr>
        <w:rFonts w:ascii="&amp;quot" w:hAnsi="&amp;quot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D0A66"/>
    <w:multiLevelType w:val="hybridMultilevel"/>
    <w:tmpl w:val="C8AACB2E"/>
    <w:lvl w:ilvl="0" w:tplc="8D38460C">
      <w:start w:val="1"/>
      <w:numFmt w:val="lowerLetter"/>
      <w:lvlText w:val="%1)"/>
      <w:lvlJc w:val="left"/>
      <w:pPr>
        <w:ind w:left="720" w:hanging="360"/>
      </w:pPr>
      <w:rPr>
        <w:rFonts w:ascii="&amp;quot" w:hAnsi="&amp;quot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17"/>
    <w:rsid w:val="002062D5"/>
    <w:rsid w:val="00247107"/>
    <w:rsid w:val="004A6F7F"/>
    <w:rsid w:val="00927620"/>
    <w:rsid w:val="009355F5"/>
    <w:rsid w:val="00A21871"/>
    <w:rsid w:val="00B908E4"/>
    <w:rsid w:val="00E55517"/>
    <w:rsid w:val="00EB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28525-3640-4A42-8914-A33FB718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551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E55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wspan">
    <w:name w:val="awspan"/>
    <w:rsid w:val="00E5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580-dolozka-zlucitelnosti"/>
    <f:field ref="objsubject" par="" edit="true" text=""/>
    <f:field ref="objcreatedby" par="" text="Vincová, Veronika, Mgr."/>
    <f:field ref="objcreatedat" par="" text="21.7.2020 15:04:19"/>
    <f:field ref="objchangedby" par="" text="Administrator, System"/>
    <f:field ref="objmodifiedat" par="" text="21.7.2020 15:04:1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 Marián</dc:creator>
  <cp:keywords/>
  <dc:description/>
  <cp:lastModifiedBy>Vincová Veronika</cp:lastModifiedBy>
  <cp:revision>3</cp:revision>
  <dcterms:created xsi:type="dcterms:W3CDTF">2020-09-18T03:21:00Z</dcterms:created>
  <dcterms:modified xsi:type="dcterms:W3CDTF">2020-09-18T09:52:00Z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Vincová</vt:lpwstr>
  </property>
  <property fmtid="{D5CDD505-2E9C-101B-9397-08002B2CF9AE}" pid="12" name="FSC#SKEDITIONSLOVLEX@103.510:zodppredkladatel">
    <vt:lpwstr>Marek Krajčí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580/2004 Z. z. o zdravotnom poistení a o zmene a doplnení zákona č. 95/2002 Z. z. o poisťovníctve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>Ministerstvo zdravotníctva Slovenskej republiky, Ministerstvo zdravotníctva Slovenskej republiky, Ministerstvo zdravotníctva Slovenskej republiky, Ministerstvo zdravotníctva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plánu legislatívnych úloh vlády SR na mesiac _x000d_
december 2020 a na základe uznesenia vlády SR _x000d_
č. 400 z 24. júna 2020 úlohy č. 18 _x000d_
pre ministra zdravotníctva</vt:lpwstr>
  </property>
  <property fmtid="{D5CDD505-2E9C-101B-9397-08002B2CF9AE}" pid="23" name="FSC#SKEDITIONSLOVLEX@103.510:plnynazovpredpis">
    <vt:lpwstr> Zákon, ktorým sa mení a dopĺňa zákon č. 580/2004 Z. z. o zdravotnom poistení a o zmene a doplnení zákona č. 95/2002 Z. z. o poisťovníctve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S12763-2020-OL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LP/2020/288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168 Zmluvy o fungovaní Európskej únie</vt:lpwstr>
  </property>
  <property fmtid="{D5CDD505-2E9C-101B-9397-08002B2CF9AE}" pid="47" name="FSC#SKEDITIONSLOVLEX@103.510:AttrStrListDocPropSekundarneLegPravoPO">
    <vt:lpwstr>Nariadenie Európskeho parlamentu a  Rady (ES) č. 883/2004 z 29. apríla 2004 o koordinácii systémov sociálneho zabezpečenia (Mimoriadne vydanie Ú. v. EÚ, kap. 5/zv. 5; Ú. v. ES L 166, 30.4.2004) v platnom znení, gestor – MPSVARSR, spolugestor – MZSR_x000d_
Naria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Bezpredmetné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Nie sú. Nultý variant: Platná právna úprava si vyžaduje zmenu, nakoľko vo vyššie popísaných špecifických prípadoch nedefinuje presne vzťahy pri vykonávaní verejného zdravotného poistenia. Ak by nedošlo k vydaniu tejto právnej úpravy, naďalej by dochádzalo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Marek Krajčí_x000d_
minister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 dopĺňa zákon č. 580/2004 Z. z. o zdravotnom poistení a o zmene a doplnení zákona č. 95/2002 o poisťovníctve a o zmene a doplnení niektorých zákonov sa predkladá na základe Plánu legislatívnych</vt:lpwstr>
  </property>
  <property fmtid="{D5CDD505-2E9C-101B-9397-08002B2CF9AE}" pid="150" name="FSC#SKEDITIONSLOVLEX@103.510:vytvorenedna">
    <vt:lpwstr>21. 7. 2020</vt:lpwstr>
  </property>
  <property fmtid="{D5CDD505-2E9C-101B-9397-08002B2CF9AE}" pid="151" name="FSC#COOSYSTEM@1.1:Container">
    <vt:lpwstr>COO.2145.1000.3.3938053</vt:lpwstr>
  </property>
  <property fmtid="{D5CDD505-2E9C-101B-9397-08002B2CF9AE}" pid="152" name="FSC#FSCFOLIO@1.1001:docpropproject">
    <vt:lpwstr/>
  </property>
</Properties>
</file>