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FC7F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titlePg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577B0" w:rsidRDefault="002577B0" w:rsidP="00A22F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Predkladaný návrh </w:t>
            </w:r>
            <w:r w:rsidRPr="00F30D2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zákona </w:t>
            </w:r>
            <w:r w:rsidR="00F30D2E" w:rsidRPr="00F30D2E">
              <w:rPr>
                <w:rFonts w:ascii="Times New Roman" w:hAnsi="Times New Roman" w:cs="Times New Roman"/>
                <w:sz w:val="20"/>
                <w:szCs w:val="20"/>
              </w:rPr>
              <w:t xml:space="preserve">v časti týkajúcej sa zmien a doplnení zákona č. 161/2015 Z. z. Civilný mimosporový poriadok v znení neskorších predpisov a zákona Slovenskej národnej rady č. 323/1992 Zb. o notároch a notárskej činnosti (Notársky poriadok) v znení neskorších predpisov </w:t>
            </w:r>
            <w:r w:rsidR="004625FF" w:rsidRPr="00F30D2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zakladá pozitívny vplyv na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hospodárenie domácností, ktorý sa prejaví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najmä </w:t>
            </w:r>
            <w:r w:rsidR="004625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predpoklad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an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om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znížení výdavkov, ktoré 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by </w:t>
            </w:r>
            <w:r w:rsidR="006D0EB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dotknuté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</w:t>
            </w:r>
            <w:r w:rsidR="00693F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museli vynaložiť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úhradu </w:t>
            </w:r>
            <w:r w:rsidR="00E32A8C" w:rsidRP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osvedčenia vyhlásenia o vydržaní vlastníckeho práva k nehnuteľnosti alebo o vydržaní práva zodpovedajúceho vecnému bremenu, ktoré sa v súčasnosti vydáva formou notárskej zápisnice.</w:t>
            </w:r>
            <w:r w:rsid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Odmena notára za spísanie notárskej  zápisnice, poskytnutie právnych </w:t>
            </w:r>
            <w:r w:rsidR="00E32A8C" w:rsidRP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rád a spisovanie iných listín v súvislosti s výkonom notárskej činnosti je upravená v osobitnom predpise – vyhláške č. 31/1993 Z. z. v znení neskorších predpisov. Predmetná odmena notára je tvorená kombináciou viacerých položiek, pričom výška odmeny za spísanie notárskej zápisnice, ktorou sa osvedčuje vyhlásenie o vydržaní vlastníckeho práva k nehnuteľnosti alebo o vydržaní práva zodpovedajúceho vecnému bremenu</w:t>
            </w:r>
            <w:r w:rsid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sa odvíja od hodnoty danej nehnuteľnosti. Návrh zákona zavádza jednotnú výšku súdneho poplatku 99,50 eur za návrh na začatie konania o povolení vydržania bez ohľadu na </w:t>
            </w:r>
            <w:r w:rsidR="00F30D2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hodnotu</w:t>
            </w:r>
            <w:r w:rsid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B3BC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ehnuteľnosti</w:t>
            </w:r>
            <w:r w:rsidR="00A22F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B3BC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ktorá je predmetom konania o potvrdení vydržania</w:t>
            </w:r>
            <w:r w:rsidR="00E32A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2A2649" w:rsidRPr="0040544D" w:rsidRDefault="002A2649" w:rsidP="00F30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4B3BCA" w:rsidRPr="0040544D" w:rsidRDefault="00342FCB" w:rsidP="00F5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Pozitívne ovplyvnené osoby</w:t>
            </w:r>
            <w:r w:rsidR="00A22F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návrhom zákona sú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tie</w:t>
            </w:r>
            <w:r w:rsidR="00A22F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ktoré podajú návrh na začatie konania o potvrdení vydržania vlastníckeho práva k nehnuteľnosti alebo práva zodpovedajúcemu vecnému bremenu, správca lesného pozemku a Slovenský pozemkový fond.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342FCB" w:rsidRPr="0040544D" w:rsidRDefault="00BF425D" w:rsidP="00001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negatívne sociálne vplyvy.</w:t>
            </w:r>
          </w:p>
        </w:tc>
      </w:tr>
      <w:tr w:rsidR="00BF425D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F425D" w:rsidRPr="00CD4982" w:rsidRDefault="00BF425D" w:rsidP="00BF42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F425D" w:rsidRPr="0040544D" w:rsidRDefault="00BF425D" w:rsidP="00BF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negatívne sociálne vplyvy.</w:t>
            </w:r>
          </w:p>
        </w:tc>
      </w:tr>
      <w:tr w:rsidR="00BF425D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BF425D" w:rsidRPr="00CD4982" w:rsidRDefault="00BF425D" w:rsidP="00BF42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BF425D" w:rsidRPr="0040544D" w:rsidRDefault="00BF425D" w:rsidP="00BF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zákona nepredpokladá negatívne sociálne vplyvy.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407B3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A50554" w:rsidP="002407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Predpokladaný rast </w:t>
            </w:r>
            <w:r w:rsidR="002407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príjmov/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pokles príjmov</w:t>
            </w:r>
            <w:r w:rsidR="002407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nie je možné kvantifikovať vzhľadom na absenciu údajov o možných budúcich prípadoch vydržaní, pričom iniciovanie konaní o potvrdení vydržania závisí výlučne od aktívneho konania príslušných subjektov.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607DC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kvantifikovať.</w:t>
            </w: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075936" w:rsidRPr="00CA6BAF" w:rsidRDefault="00075936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E62A38" w:rsidRDefault="00E62A38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E62A38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2407B3" w:rsidP="00AA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2407B3" w:rsidP="0073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4"/>
          <w:footerReference w:type="default" r:id="rId15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E10ABC" w:rsidP="00690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Predkladaný návrh zákona dôsledne rešpektuje rovnosť príležitostí, povinnosť rovnakého zaobchádzania </w:t>
            </w:r>
            <w:r w:rsidR="006908D5" w:rsidRPr="006908D5">
              <w:rPr>
                <w:rFonts w:ascii="Times New Roman" w:eastAsia="Calibri" w:hAnsi="Times New Roman" w:cs="Times New Roman"/>
                <w:sz w:val="20"/>
                <w:lang w:eastAsia="sk-SK"/>
              </w:rPr>
              <w:t>so skupinami alebo jednotlivcami na základe pohlavia, rasy, etnicity, náboženstva alebo viery, zdravotného postihnutia veku a sexuálnej orientácie</w:t>
            </w:r>
            <w:r w:rsidR="006908D5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a zákaz diskriminácie. 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CA6BAF" w:rsidRDefault="0084449C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84449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84449C" w:rsidP="00AA4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84449C" w:rsidP="00690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84449C" w:rsidP="008C4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6908D5" w:rsidP="0048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Predkladaný návrh zákona </w:t>
            </w:r>
            <w:r w:rsidR="00487386">
              <w:rPr>
                <w:rFonts w:ascii="Times New Roman" w:eastAsia="Calibri" w:hAnsi="Times New Roman" w:cs="Times New Roman"/>
                <w:sz w:val="20"/>
                <w:lang w:eastAsia="sk-SK"/>
              </w:rPr>
              <w:t>nebude mať špecifické negatívne dôsledky na profesie, zamestnancov ani samostatne zárobkové osoby.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A12A2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Predkladaný návrh zákona nepredpokladá vplyvy v posudzovanej oblasti.</w:t>
            </w:r>
          </w:p>
        </w:tc>
      </w:tr>
    </w:tbl>
    <w:p w:rsidR="00CB3623" w:rsidRDefault="00CB3623" w:rsidP="00BB2E86">
      <w:pPr>
        <w:spacing w:after="0" w:line="240" w:lineRule="auto"/>
        <w:outlineLvl w:val="0"/>
      </w:pPr>
    </w:p>
    <w:sectPr w:rsidR="00CB3623" w:rsidSect="009819E1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CB" w:rsidRDefault="004C3BCB" w:rsidP="001D6749">
      <w:pPr>
        <w:spacing w:after="0" w:line="240" w:lineRule="auto"/>
      </w:pPr>
      <w:r>
        <w:separator/>
      </w:r>
    </w:p>
  </w:endnote>
  <w:endnote w:type="continuationSeparator" w:id="0">
    <w:p w:rsidR="004C3BCB" w:rsidRDefault="004C3BCB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6A" w:rsidRDefault="00EF0E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346351"/>
      <w:docPartObj>
        <w:docPartGallery w:val="Page Numbers (Bottom of Page)"/>
        <w:docPartUnique/>
      </w:docPartObj>
    </w:sdtPr>
    <w:sdtEndPr/>
    <w:sdtContent>
      <w:p w:rsidR="00FC7FBE" w:rsidRDefault="00FC7F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D38">
          <w:rPr>
            <w:noProof/>
          </w:rPr>
          <w:t>2</w:t>
        </w:r>
        <w:r>
          <w:fldChar w:fldCharType="end"/>
        </w:r>
      </w:p>
    </w:sdtContent>
  </w:sdt>
  <w:p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6A" w:rsidRDefault="00EF0E6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412051"/>
      <w:docPartObj>
        <w:docPartGallery w:val="Page Numbers (Bottom of Page)"/>
        <w:docPartUnique/>
      </w:docPartObj>
    </w:sdtPr>
    <w:sdtEndPr/>
    <w:sdtContent>
      <w:p w:rsidR="009819E1" w:rsidRDefault="009819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D38">
          <w:rPr>
            <w:noProof/>
          </w:rPr>
          <w:t>3</w:t>
        </w:r>
        <w:r>
          <w:fldChar w:fldCharType="end"/>
        </w:r>
      </w:p>
    </w:sdtContent>
  </w:sdt>
  <w:p w:rsidR="001D6749" w:rsidRPr="001D6749" w:rsidRDefault="001D6749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CB" w:rsidRDefault="004C3BCB" w:rsidP="001D6749">
      <w:pPr>
        <w:spacing w:after="0" w:line="240" w:lineRule="auto"/>
      </w:pPr>
      <w:r>
        <w:separator/>
      </w:r>
    </w:p>
  </w:footnote>
  <w:footnote w:type="continuationSeparator" w:id="0">
    <w:p w:rsidR="004C3BCB" w:rsidRDefault="004C3BCB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6A" w:rsidRDefault="00EF0E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6A" w:rsidRDefault="00EF0E6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01E40"/>
    <w:rsid w:val="0001432B"/>
    <w:rsid w:val="000274D0"/>
    <w:rsid w:val="00075936"/>
    <w:rsid w:val="000B426C"/>
    <w:rsid w:val="00106150"/>
    <w:rsid w:val="00110C10"/>
    <w:rsid w:val="00130F60"/>
    <w:rsid w:val="00165321"/>
    <w:rsid w:val="0019259B"/>
    <w:rsid w:val="001D6749"/>
    <w:rsid w:val="001D75C8"/>
    <w:rsid w:val="001F7932"/>
    <w:rsid w:val="00204D10"/>
    <w:rsid w:val="00224847"/>
    <w:rsid w:val="00227A26"/>
    <w:rsid w:val="002407B3"/>
    <w:rsid w:val="002577B0"/>
    <w:rsid w:val="00275F99"/>
    <w:rsid w:val="002A2649"/>
    <w:rsid w:val="00300BB5"/>
    <w:rsid w:val="00337B5D"/>
    <w:rsid w:val="00342FCB"/>
    <w:rsid w:val="003541E9"/>
    <w:rsid w:val="00357E2A"/>
    <w:rsid w:val="00362CBF"/>
    <w:rsid w:val="003849C7"/>
    <w:rsid w:val="0039380E"/>
    <w:rsid w:val="003A12A2"/>
    <w:rsid w:val="003A2D02"/>
    <w:rsid w:val="003D1D19"/>
    <w:rsid w:val="003D6195"/>
    <w:rsid w:val="0040544D"/>
    <w:rsid w:val="004625FF"/>
    <w:rsid w:val="00466488"/>
    <w:rsid w:val="00487386"/>
    <w:rsid w:val="004B3BCA"/>
    <w:rsid w:val="004C3BCB"/>
    <w:rsid w:val="004F2664"/>
    <w:rsid w:val="0051643C"/>
    <w:rsid w:val="00520808"/>
    <w:rsid w:val="00585AD3"/>
    <w:rsid w:val="005916E5"/>
    <w:rsid w:val="005A57C8"/>
    <w:rsid w:val="005A7756"/>
    <w:rsid w:val="005C510B"/>
    <w:rsid w:val="005E3D49"/>
    <w:rsid w:val="005F6CA9"/>
    <w:rsid w:val="00607DC7"/>
    <w:rsid w:val="006431F8"/>
    <w:rsid w:val="006908D5"/>
    <w:rsid w:val="00693F23"/>
    <w:rsid w:val="006A019B"/>
    <w:rsid w:val="006B34DA"/>
    <w:rsid w:val="006D0EB7"/>
    <w:rsid w:val="00734357"/>
    <w:rsid w:val="00735FC2"/>
    <w:rsid w:val="007B003C"/>
    <w:rsid w:val="007C3053"/>
    <w:rsid w:val="0084449C"/>
    <w:rsid w:val="00881728"/>
    <w:rsid w:val="008A4F7C"/>
    <w:rsid w:val="008C4437"/>
    <w:rsid w:val="008E0D38"/>
    <w:rsid w:val="00921D53"/>
    <w:rsid w:val="00943698"/>
    <w:rsid w:val="00972E46"/>
    <w:rsid w:val="009819E1"/>
    <w:rsid w:val="00994C53"/>
    <w:rsid w:val="00997B26"/>
    <w:rsid w:val="009B59BE"/>
    <w:rsid w:val="009B755F"/>
    <w:rsid w:val="009F385D"/>
    <w:rsid w:val="00A056E8"/>
    <w:rsid w:val="00A22F7B"/>
    <w:rsid w:val="00A30F1C"/>
    <w:rsid w:val="00A50554"/>
    <w:rsid w:val="00A53AFA"/>
    <w:rsid w:val="00A605B0"/>
    <w:rsid w:val="00A87D5B"/>
    <w:rsid w:val="00AA4FE1"/>
    <w:rsid w:val="00AB5410"/>
    <w:rsid w:val="00AF39B8"/>
    <w:rsid w:val="00B4080A"/>
    <w:rsid w:val="00B437B3"/>
    <w:rsid w:val="00B67D5A"/>
    <w:rsid w:val="00B90A2F"/>
    <w:rsid w:val="00BB2E86"/>
    <w:rsid w:val="00BC22E3"/>
    <w:rsid w:val="00BC424B"/>
    <w:rsid w:val="00BE617D"/>
    <w:rsid w:val="00BF425D"/>
    <w:rsid w:val="00C63956"/>
    <w:rsid w:val="00C77569"/>
    <w:rsid w:val="00C77AA2"/>
    <w:rsid w:val="00CA023C"/>
    <w:rsid w:val="00CA3E12"/>
    <w:rsid w:val="00CA49F3"/>
    <w:rsid w:val="00CA6BAF"/>
    <w:rsid w:val="00CB3623"/>
    <w:rsid w:val="00CD4982"/>
    <w:rsid w:val="00D829FE"/>
    <w:rsid w:val="00D848D4"/>
    <w:rsid w:val="00D921AE"/>
    <w:rsid w:val="00DA0BE4"/>
    <w:rsid w:val="00DA4453"/>
    <w:rsid w:val="00DD4FE7"/>
    <w:rsid w:val="00DD775B"/>
    <w:rsid w:val="00E10ABC"/>
    <w:rsid w:val="00E160C7"/>
    <w:rsid w:val="00E22685"/>
    <w:rsid w:val="00E32A8C"/>
    <w:rsid w:val="00E40428"/>
    <w:rsid w:val="00E44A24"/>
    <w:rsid w:val="00E538C0"/>
    <w:rsid w:val="00E62A38"/>
    <w:rsid w:val="00E74915"/>
    <w:rsid w:val="00ED28DA"/>
    <w:rsid w:val="00EF0C21"/>
    <w:rsid w:val="00EF0E6A"/>
    <w:rsid w:val="00F2597D"/>
    <w:rsid w:val="00F30B4E"/>
    <w:rsid w:val="00F30D2E"/>
    <w:rsid w:val="00F337E8"/>
    <w:rsid w:val="00F505AF"/>
    <w:rsid w:val="00F74B56"/>
    <w:rsid w:val="00F7696B"/>
    <w:rsid w:val="00F77D10"/>
    <w:rsid w:val="00F938A1"/>
    <w:rsid w:val="00FA11DD"/>
    <w:rsid w:val="00FB3FFC"/>
    <w:rsid w:val="00FB7660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4BD6-32DB-48AE-847F-FE8D74E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2020-10-15T06:31:00Z</dcterms:created>
  <dcterms:modified xsi:type="dcterms:W3CDTF">2020-10-15T06:58:00Z</dcterms:modified>
</cp:coreProperties>
</file>