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B20E0F" w:rsidRDefault="00634B9C" w:rsidP="00B20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E0F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B20E0F" w:rsidRDefault="00634B9C" w:rsidP="00B20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77D" w:rsidRPr="00B20E0F" w:rsidRDefault="0082377D" w:rsidP="00B20E0F">
      <w:pPr>
        <w:pStyle w:val="Normlnywebov"/>
        <w:jc w:val="both"/>
        <w:divId w:val="1595824100"/>
      </w:pPr>
      <w:r w:rsidRPr="00B20E0F">
        <w:t>Ministerstvo školstva, vedy, výskumu a športu Slovenskej republiky (ďalej len „ministerstvo školstva“) predkladá návrh zákona, ktorým sa mení a dopĺňa zákon č. 596/2003 Z. z. o štátnej správe v školstve a školskej samospráve a o zmene a doplnení niektorých zákonov v znení neskorších predpisov a ktorým sa menia a dopĺňajú niektoré zákony.</w:t>
      </w:r>
      <w:r w:rsidR="00D8066C">
        <w:t xml:space="preserve"> </w:t>
      </w:r>
      <w:bookmarkStart w:id="0" w:name="_GoBack"/>
      <w:bookmarkEnd w:id="0"/>
    </w:p>
    <w:p w:rsidR="00B20E0F" w:rsidRPr="00B20E0F" w:rsidRDefault="00B20E0F" w:rsidP="00B20E0F">
      <w:pPr>
        <w:spacing w:afterAutospacing="1"/>
        <w:jc w:val="both"/>
        <w:divId w:val="1595824100"/>
        <w:rPr>
          <w:rFonts w:ascii="Times New Roman" w:hAnsi="Times New Roman" w:cs="Times New Roman"/>
          <w:sz w:val="24"/>
          <w:szCs w:val="24"/>
        </w:rPr>
      </w:pPr>
      <w:r w:rsidRPr="00B20E0F">
        <w:rPr>
          <w:rFonts w:ascii="Times New Roman" w:hAnsi="Times New Roman" w:cs="Times New Roman"/>
          <w:sz w:val="24"/>
          <w:szCs w:val="24"/>
        </w:rPr>
        <w:t xml:space="preserve">Cieľom návrhu zákona je plnenie záväzku z Programového vyhlásenia vlády SR na roky 2020 – 2024, ktorého zámerom je </w:t>
      </w:r>
      <w:r w:rsidRPr="00B20E0F">
        <w:rPr>
          <w:rStyle w:val="Zvraznenie"/>
          <w:rFonts w:ascii="Times New Roman" w:hAnsi="Times New Roman" w:cs="Times New Roman"/>
          <w:sz w:val="24"/>
          <w:szCs w:val="24"/>
        </w:rPr>
        <w:t>„zjednotenie financovania škôl a školských zariadení pod ministerstvom školstva a bude priamo výkonom prenesených kompetencií financovať vzdelávanie vo všetkých typoch a druhoch škôl bez ohľadu na zriaďovateľov“</w:t>
      </w:r>
      <w:r w:rsidRPr="00B20E0F">
        <w:rPr>
          <w:rFonts w:ascii="Times New Roman" w:hAnsi="Times New Roman" w:cs="Times New Roman"/>
          <w:sz w:val="24"/>
          <w:szCs w:val="24"/>
        </w:rPr>
        <w:t>.</w:t>
      </w:r>
    </w:p>
    <w:p w:rsidR="00B20E0F" w:rsidRPr="00B20E0F" w:rsidRDefault="00B20E0F" w:rsidP="00B20E0F">
      <w:pPr>
        <w:spacing w:afterAutospacing="1"/>
        <w:jc w:val="both"/>
        <w:divId w:val="1595824100"/>
        <w:rPr>
          <w:rFonts w:ascii="Times New Roman" w:hAnsi="Times New Roman" w:cs="Times New Roman"/>
          <w:sz w:val="24"/>
          <w:szCs w:val="24"/>
        </w:rPr>
      </w:pPr>
      <w:r w:rsidRPr="00B20E0F">
        <w:rPr>
          <w:rFonts w:ascii="Times New Roman" w:hAnsi="Times New Roman" w:cs="Times New Roman"/>
          <w:sz w:val="24"/>
          <w:szCs w:val="24"/>
        </w:rPr>
        <w:t>V roku 2013 prišlo k nesystémovému kroku v riadení a financovaní škôl a školských zariadení na Slovensku (tzv. ESO). V dôsledku tejto zmeny časť škôl a školských zariadení riadi a financuje Ministerstvo školstva, vedy, výskumu a športu Slovenskej republiky a časť Ministerstvo vnútra Slovenskej republiky (ďalej len „ministerstvo vnútra“).</w:t>
      </w:r>
    </w:p>
    <w:p w:rsidR="00B20E0F" w:rsidRPr="00B20E0F" w:rsidRDefault="00B20E0F" w:rsidP="00B20E0F">
      <w:pPr>
        <w:jc w:val="both"/>
        <w:divId w:val="1595824100"/>
        <w:rPr>
          <w:rFonts w:ascii="Times New Roman" w:hAnsi="Times New Roman" w:cs="Times New Roman"/>
          <w:sz w:val="24"/>
          <w:szCs w:val="24"/>
        </w:rPr>
      </w:pPr>
      <w:r w:rsidRPr="00B20E0F">
        <w:rPr>
          <w:rFonts w:ascii="Times New Roman" w:hAnsi="Times New Roman" w:cs="Times New Roman"/>
          <w:sz w:val="24"/>
          <w:szCs w:val="24"/>
        </w:rPr>
        <w:t>Nesystémovosť a komplikovanosť je najmarkantnejšia pri (ne)dosahu rezortu školstva na špeciálne školy a školské zariadenia, ktoré riadi a financuje rezort vnútra. Dôsledkom toho je, že v niektorých prípadoch prichádza:</w:t>
      </w:r>
    </w:p>
    <w:p w:rsidR="00B20E0F" w:rsidRPr="00B20E0F" w:rsidRDefault="00B20E0F" w:rsidP="00B20E0F">
      <w:pPr>
        <w:pStyle w:val="Odsekzoznamu"/>
        <w:numPr>
          <w:ilvl w:val="0"/>
          <w:numId w:val="2"/>
        </w:numPr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>k segregácii žiakov z marginalizovaných rómskych komunít,</w:t>
      </w:r>
    </w:p>
    <w:p w:rsidR="00B20E0F" w:rsidRPr="00B20E0F" w:rsidRDefault="00B20E0F" w:rsidP="00B20E0F">
      <w:pPr>
        <w:pStyle w:val="Odsekzoznamu"/>
        <w:numPr>
          <w:ilvl w:val="0"/>
          <w:numId w:val="2"/>
        </w:numPr>
        <w:spacing w:afterAutospacing="1"/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>k chybnému alebo cielenému zaraďovaniu žiakov bez mentálneho znevýhodnenia do prúdu špeciálneho školstva.</w:t>
      </w:r>
    </w:p>
    <w:p w:rsidR="00B20E0F" w:rsidRPr="00B20E0F" w:rsidRDefault="00B20E0F" w:rsidP="00B20E0F">
      <w:pPr>
        <w:jc w:val="both"/>
        <w:divId w:val="1595824100"/>
        <w:rPr>
          <w:rFonts w:ascii="Times New Roman" w:hAnsi="Times New Roman" w:cs="Times New Roman"/>
          <w:sz w:val="24"/>
          <w:szCs w:val="24"/>
        </w:rPr>
      </w:pPr>
      <w:r w:rsidRPr="00B20E0F">
        <w:rPr>
          <w:rFonts w:ascii="Times New Roman" w:hAnsi="Times New Roman" w:cs="Times New Roman"/>
          <w:sz w:val="24"/>
          <w:szCs w:val="24"/>
        </w:rPr>
        <w:t>Dôsledkom je:</w:t>
      </w:r>
    </w:p>
    <w:p w:rsidR="00B20E0F" w:rsidRPr="00B20E0F" w:rsidRDefault="00B20E0F" w:rsidP="00B20E0F">
      <w:pPr>
        <w:pStyle w:val="Odsekzoznamu"/>
        <w:numPr>
          <w:ilvl w:val="0"/>
          <w:numId w:val="3"/>
        </w:numPr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>že žiaci, ktorí sú takýmto spôsobom neprávom zaraďovaní do špeciálnej školy, po ukončení vzdelávania nezískavajú tzv. nižšie stredné vzdelanie (ekvivalent ukončeného druhého stupňa bežnej základnej školy, v medzinárodnom kontexte označovaný ako ISCED 2),</w:t>
      </w:r>
    </w:p>
    <w:p w:rsidR="00B20E0F" w:rsidRPr="00B20E0F" w:rsidRDefault="00B20E0F" w:rsidP="00B20E0F">
      <w:pPr>
        <w:pStyle w:val="Odsekzoznamu"/>
        <w:numPr>
          <w:ilvl w:val="0"/>
          <w:numId w:val="3"/>
        </w:numPr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>títo žiaci získavajú iba primárne vzdelanie, teda ekvivalent ukončeného prvého stupňa bežnej základnej školy (ISCED 1),</w:t>
      </w:r>
    </w:p>
    <w:p w:rsidR="00B20E0F" w:rsidRPr="00B20E0F" w:rsidRDefault="00B20E0F" w:rsidP="00B20E0F">
      <w:pPr>
        <w:pStyle w:val="Odsekzoznamu"/>
        <w:numPr>
          <w:ilvl w:val="0"/>
          <w:numId w:val="3"/>
        </w:numPr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 xml:space="preserve">následne nemajú možnosť pokračovať vo vzdelávaní na bežnej strednej škole, </w:t>
      </w:r>
    </w:p>
    <w:p w:rsidR="00B20E0F" w:rsidRPr="00B20E0F" w:rsidRDefault="00B20E0F" w:rsidP="00B20E0F">
      <w:pPr>
        <w:pStyle w:val="Odsekzoznamu"/>
        <w:numPr>
          <w:ilvl w:val="0"/>
          <w:numId w:val="3"/>
        </w:numPr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>tým sa signifikantne znižujú ich šance zamestnať sa a nájsť uplatnenie v dospelom živote.</w:t>
      </w:r>
    </w:p>
    <w:p w:rsidR="00B20E0F" w:rsidRPr="00B20E0F" w:rsidRDefault="00B20E0F" w:rsidP="00B20E0F">
      <w:pPr>
        <w:pStyle w:val="Odsekzoznamu"/>
        <w:jc w:val="both"/>
        <w:divId w:val="1595824100"/>
        <w:rPr>
          <w:rFonts w:ascii="Times New Roman" w:hAnsi="Times New Roman" w:cs="Times New Roman"/>
          <w:szCs w:val="24"/>
        </w:rPr>
      </w:pPr>
    </w:p>
    <w:p w:rsidR="00B20E0F" w:rsidRPr="00B20E0F" w:rsidRDefault="00B20E0F" w:rsidP="00B20E0F">
      <w:pPr>
        <w:jc w:val="both"/>
        <w:divId w:val="1595824100"/>
        <w:rPr>
          <w:rFonts w:ascii="Times New Roman" w:hAnsi="Times New Roman" w:cs="Times New Roman"/>
          <w:sz w:val="24"/>
          <w:szCs w:val="24"/>
        </w:rPr>
      </w:pPr>
      <w:r w:rsidRPr="00B20E0F">
        <w:rPr>
          <w:rFonts w:ascii="Times New Roman" w:hAnsi="Times New Roman" w:cs="Times New Roman"/>
          <w:sz w:val="24"/>
          <w:szCs w:val="24"/>
        </w:rPr>
        <w:t xml:space="preserve">V súvislosti s nadmernou segregáciou žiakov z marginalizovaných rómskych komunít do špeciálnych škôl čelí od apríla 2015 Slovenská republika infringementu č. 2015/2025 zo strany Európskej komisie. </w:t>
      </w:r>
    </w:p>
    <w:p w:rsidR="00B20E0F" w:rsidRPr="00B20E0F" w:rsidRDefault="00B20E0F" w:rsidP="00B20E0F">
      <w:pPr>
        <w:jc w:val="both"/>
        <w:divId w:val="1595824100"/>
        <w:rPr>
          <w:rFonts w:ascii="Times New Roman" w:hAnsi="Times New Roman" w:cs="Times New Roman"/>
          <w:sz w:val="24"/>
          <w:szCs w:val="24"/>
        </w:rPr>
      </w:pPr>
    </w:p>
    <w:p w:rsidR="00B20E0F" w:rsidRPr="00B20E0F" w:rsidRDefault="00B20E0F" w:rsidP="00B20E0F">
      <w:pPr>
        <w:jc w:val="both"/>
        <w:divId w:val="1595824100"/>
        <w:rPr>
          <w:rFonts w:ascii="Times New Roman" w:hAnsi="Times New Roman" w:cs="Times New Roman"/>
          <w:sz w:val="24"/>
          <w:szCs w:val="24"/>
        </w:rPr>
      </w:pPr>
      <w:r w:rsidRPr="00B20E0F">
        <w:rPr>
          <w:rFonts w:ascii="Times New Roman" w:hAnsi="Times New Roman" w:cs="Times New Roman"/>
          <w:sz w:val="24"/>
          <w:szCs w:val="24"/>
        </w:rPr>
        <w:t>Základom riešenia je nutná systematická podpora a prípadne kontrola:</w:t>
      </w:r>
    </w:p>
    <w:p w:rsidR="00B20E0F" w:rsidRPr="00B20E0F" w:rsidRDefault="00B20E0F" w:rsidP="00B20E0F">
      <w:pPr>
        <w:pStyle w:val="Odsekzoznamu"/>
        <w:numPr>
          <w:ilvl w:val="0"/>
          <w:numId w:val="10"/>
        </w:numPr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 xml:space="preserve">fungovania špeciálnych škôl, </w:t>
      </w:r>
    </w:p>
    <w:p w:rsidR="00B20E0F" w:rsidRPr="00B20E0F" w:rsidRDefault="00B20E0F" w:rsidP="00B20E0F">
      <w:pPr>
        <w:pStyle w:val="Odsekzoznamu"/>
        <w:numPr>
          <w:ilvl w:val="0"/>
          <w:numId w:val="4"/>
        </w:numPr>
        <w:spacing w:before="240" w:afterAutospacing="1"/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 xml:space="preserve">diagnostiky, </w:t>
      </w:r>
    </w:p>
    <w:p w:rsidR="00B20E0F" w:rsidRPr="00B20E0F" w:rsidRDefault="00B20E0F" w:rsidP="00B20E0F">
      <w:pPr>
        <w:pStyle w:val="Odsekzoznamu"/>
        <w:numPr>
          <w:ilvl w:val="0"/>
          <w:numId w:val="4"/>
        </w:numPr>
        <w:spacing w:before="240" w:afterAutospacing="1"/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lastRenderedPageBreak/>
        <w:t xml:space="preserve">zaraďovania špeciálnych škôl a špeciálnych tried do siete škôl a školských zariadení, </w:t>
      </w:r>
    </w:p>
    <w:p w:rsidR="00B20E0F" w:rsidRPr="00B20E0F" w:rsidRDefault="00B20E0F" w:rsidP="00B20E0F">
      <w:pPr>
        <w:pStyle w:val="Odsekzoznamu"/>
        <w:numPr>
          <w:ilvl w:val="0"/>
          <w:numId w:val="4"/>
        </w:numPr>
        <w:spacing w:before="240" w:afterAutospacing="1"/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>možnosti zlúčiť špeciálne školy s bežnými základnými školami v prípade, že sa potvrdí chybná či cielená diagnostika a teda neopodstatnenosť špeciálnej školy,</w:t>
      </w:r>
    </w:p>
    <w:p w:rsidR="00B20E0F" w:rsidRPr="00B20E0F" w:rsidRDefault="00B20E0F" w:rsidP="00B20E0F">
      <w:pPr>
        <w:pStyle w:val="Odsekzoznamu"/>
        <w:numPr>
          <w:ilvl w:val="0"/>
          <w:numId w:val="4"/>
        </w:numPr>
        <w:spacing w:before="240" w:afterAutospacing="1"/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>cielene reintegrovať žiakov zo špeciálnych škôl do bežných základných škôl.</w:t>
      </w:r>
    </w:p>
    <w:p w:rsidR="00B20E0F" w:rsidRPr="00B20E0F" w:rsidRDefault="00B20E0F" w:rsidP="00B20E0F">
      <w:pPr>
        <w:jc w:val="both"/>
        <w:divId w:val="1595824100"/>
        <w:rPr>
          <w:rFonts w:ascii="Times New Roman" w:hAnsi="Times New Roman" w:cs="Times New Roman"/>
          <w:sz w:val="24"/>
          <w:szCs w:val="24"/>
        </w:rPr>
      </w:pPr>
      <w:r w:rsidRPr="00B20E0F">
        <w:rPr>
          <w:rFonts w:ascii="Times New Roman" w:hAnsi="Times New Roman" w:cs="Times New Roman"/>
          <w:sz w:val="24"/>
          <w:szCs w:val="24"/>
        </w:rPr>
        <w:t>Zákon má za cieľ:</w:t>
      </w:r>
    </w:p>
    <w:p w:rsidR="00B20E0F" w:rsidRPr="00B20E0F" w:rsidRDefault="00B20E0F" w:rsidP="00B20E0F">
      <w:pPr>
        <w:pStyle w:val="Odsekzoznamu"/>
        <w:numPr>
          <w:ilvl w:val="0"/>
          <w:numId w:val="8"/>
        </w:numPr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>odstrániť aktuálne nesystémové prerozdelenie kompetencií, riadenie a financovanie škôl a školských zariadení</w:t>
      </w:r>
    </w:p>
    <w:p w:rsidR="00B20E0F" w:rsidRPr="00B20E0F" w:rsidRDefault="00B20E0F" w:rsidP="00B20E0F">
      <w:pPr>
        <w:pStyle w:val="Odsekzoznamu"/>
        <w:numPr>
          <w:ilvl w:val="0"/>
          <w:numId w:val="8"/>
        </w:numPr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>zjednotiť kompetencie pod rezort školstva s cieľom prispieť k efektívne fungujúcemu rezortu,</w:t>
      </w:r>
    </w:p>
    <w:p w:rsidR="00B20E0F" w:rsidRPr="00B20E0F" w:rsidRDefault="00B20E0F" w:rsidP="00B20E0F">
      <w:pPr>
        <w:pStyle w:val="Odsekzoznamu"/>
        <w:numPr>
          <w:ilvl w:val="0"/>
          <w:numId w:val="8"/>
        </w:numPr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 xml:space="preserve">dohliadnuť na efektívne fungovanie špeciálnych škôl určených pre žiakov so špeciálnymi výchovno-vzdelávacími potrebami, najmä s mentálnym znevýhodnením, </w:t>
      </w:r>
    </w:p>
    <w:p w:rsidR="00B20E0F" w:rsidRPr="00B20E0F" w:rsidRDefault="00B20E0F" w:rsidP="00B20E0F">
      <w:pPr>
        <w:pStyle w:val="Odsekzoznamu"/>
        <w:numPr>
          <w:ilvl w:val="0"/>
          <w:numId w:val="8"/>
        </w:numPr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>eliminovať prípady chybnej či cielenej segregácie žiakov zo sociálne znevýhodneného prostredia do špeciálnych škôl.</w:t>
      </w:r>
    </w:p>
    <w:p w:rsidR="00B20E0F" w:rsidRPr="00B20E0F" w:rsidRDefault="00B20E0F" w:rsidP="00B20E0F">
      <w:pPr>
        <w:jc w:val="both"/>
        <w:divId w:val="1595824100"/>
        <w:rPr>
          <w:rFonts w:ascii="Times New Roman" w:hAnsi="Times New Roman" w:cs="Times New Roman"/>
          <w:sz w:val="24"/>
          <w:szCs w:val="24"/>
        </w:rPr>
      </w:pPr>
    </w:p>
    <w:p w:rsidR="00B20E0F" w:rsidRPr="00B20E0F" w:rsidRDefault="00B20E0F" w:rsidP="00B20E0F">
      <w:pPr>
        <w:jc w:val="both"/>
        <w:divId w:val="1595824100"/>
        <w:rPr>
          <w:rFonts w:ascii="Times New Roman" w:hAnsi="Times New Roman" w:cs="Times New Roman"/>
          <w:sz w:val="24"/>
          <w:szCs w:val="24"/>
        </w:rPr>
      </w:pPr>
      <w:r w:rsidRPr="00B20E0F">
        <w:rPr>
          <w:rFonts w:ascii="Times New Roman" w:hAnsi="Times New Roman" w:cs="Times New Roman"/>
          <w:sz w:val="24"/>
          <w:szCs w:val="24"/>
        </w:rPr>
        <w:t>Čo sa týka agendy odborov okresného úradu v sídle kraja, sú:</w:t>
      </w:r>
    </w:p>
    <w:p w:rsidR="00B20E0F" w:rsidRPr="00B20E0F" w:rsidRDefault="00B20E0F" w:rsidP="00B20E0F">
      <w:pPr>
        <w:pStyle w:val="Odsekzoznamu"/>
        <w:numPr>
          <w:ilvl w:val="0"/>
          <w:numId w:val="9"/>
        </w:numPr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>pre školstvo – určené pre špecifický okruh adresátov, odborné zložky – školy, samospráva, zriaďovatelia, kontrolné a inšpekčné orgány,</w:t>
      </w:r>
    </w:p>
    <w:p w:rsidR="00B20E0F" w:rsidRPr="00B20E0F" w:rsidRDefault="00B20E0F" w:rsidP="00B20E0F">
      <w:pPr>
        <w:pStyle w:val="Odsekzoznamu"/>
        <w:numPr>
          <w:ilvl w:val="0"/>
          <w:numId w:val="5"/>
        </w:numPr>
        <w:spacing w:afterAutospacing="1"/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>pre ostatné oblasti (napr. životné prostredie, stavebníctvo a pod.) – určené pre „bežného občana“.</w:t>
      </w:r>
    </w:p>
    <w:p w:rsidR="00B20E0F" w:rsidRPr="00B20E0F" w:rsidRDefault="00B20E0F" w:rsidP="00B20E0F">
      <w:pPr>
        <w:spacing w:afterAutospacing="1"/>
        <w:jc w:val="both"/>
        <w:divId w:val="1595824100"/>
        <w:rPr>
          <w:rFonts w:ascii="Times New Roman" w:hAnsi="Times New Roman" w:cs="Times New Roman"/>
          <w:sz w:val="24"/>
          <w:szCs w:val="24"/>
        </w:rPr>
      </w:pPr>
      <w:r w:rsidRPr="00B20E0F">
        <w:rPr>
          <w:rFonts w:ascii="Times New Roman" w:hAnsi="Times New Roman" w:cs="Times New Roman"/>
          <w:sz w:val="24"/>
          <w:szCs w:val="24"/>
        </w:rPr>
        <w:t>Školská agenda nie je určená bežnej verejnosti, zmena by teda neznamenala zhoršenie prístupu verejnosti k poskytovaným službám štátu na úseku školstva. Cieľom je zlepšiť fungovanie miestnej štátnej školskej správy, a to nielen z pohľadu ministerstva školstva, ale aj ministerstva vnútra, ktoré tak nebude zaťažované touto špecifickou agendou.</w:t>
      </w:r>
    </w:p>
    <w:p w:rsidR="00B20E0F" w:rsidRPr="00B20E0F" w:rsidRDefault="00B20E0F" w:rsidP="00B20E0F">
      <w:pPr>
        <w:jc w:val="both"/>
        <w:divId w:val="1595824100"/>
        <w:rPr>
          <w:rFonts w:ascii="Times New Roman" w:hAnsi="Times New Roman" w:cs="Times New Roman"/>
          <w:sz w:val="24"/>
          <w:szCs w:val="24"/>
        </w:rPr>
      </w:pPr>
      <w:r w:rsidRPr="00B20E0F">
        <w:rPr>
          <w:rFonts w:ascii="Times New Roman" w:hAnsi="Times New Roman" w:cs="Times New Roman"/>
          <w:sz w:val="24"/>
          <w:szCs w:val="24"/>
        </w:rPr>
        <w:t>Administratívne, riadiace činnosti a finančné toky v regionálnom školstve sú:</w:t>
      </w:r>
    </w:p>
    <w:p w:rsidR="00B20E0F" w:rsidRPr="00B20E0F" w:rsidRDefault="00B20E0F" w:rsidP="00B20E0F">
      <w:pPr>
        <w:pStyle w:val="Odsekzoznamu"/>
        <w:numPr>
          <w:ilvl w:val="0"/>
          <w:numId w:val="5"/>
        </w:numPr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>komplikované pre výskyt duplicít medzi obomi ministerstvami,</w:t>
      </w:r>
    </w:p>
    <w:p w:rsidR="00B20E0F" w:rsidRPr="00B20E0F" w:rsidRDefault="00B20E0F" w:rsidP="00B20E0F">
      <w:pPr>
        <w:pStyle w:val="Odsekzoznamu"/>
        <w:numPr>
          <w:ilvl w:val="0"/>
          <w:numId w:val="5"/>
        </w:numPr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>neprehľadné a komplikované, keďže v súčasnosti je financovanie v oblasti školstva predmetom</w:t>
      </w:r>
    </w:p>
    <w:p w:rsidR="00B20E0F" w:rsidRPr="00B20E0F" w:rsidRDefault="00B20E0F" w:rsidP="00B20E0F">
      <w:pPr>
        <w:pStyle w:val="Odsekzoznamu"/>
        <w:numPr>
          <w:ilvl w:val="1"/>
          <w:numId w:val="6"/>
        </w:numPr>
        <w:spacing w:afterAutospacing="1"/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 xml:space="preserve">dvoch rozpočtových kapitol, </w:t>
      </w:r>
    </w:p>
    <w:p w:rsidR="00B20E0F" w:rsidRPr="00B20E0F" w:rsidRDefault="00B20E0F" w:rsidP="00B20E0F">
      <w:pPr>
        <w:pStyle w:val="Odsekzoznamu"/>
        <w:numPr>
          <w:ilvl w:val="1"/>
          <w:numId w:val="6"/>
        </w:numPr>
        <w:spacing w:afterAutospacing="1"/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 xml:space="preserve">dvoch rezortných informačných systémov, </w:t>
      </w:r>
    </w:p>
    <w:p w:rsidR="00B20E0F" w:rsidRPr="00B20E0F" w:rsidRDefault="00B20E0F" w:rsidP="00B20E0F">
      <w:pPr>
        <w:pStyle w:val="Odsekzoznamu"/>
        <w:numPr>
          <w:ilvl w:val="1"/>
          <w:numId w:val="6"/>
        </w:numPr>
        <w:spacing w:afterAutospacing="1"/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>často dvojitej administratívy, čo platí aj pre „spätný tok“ – napríklad žiadosti o úpravy rozpočtu.</w:t>
      </w:r>
    </w:p>
    <w:p w:rsidR="00B20E0F" w:rsidRPr="00B20E0F" w:rsidRDefault="00B20E0F" w:rsidP="00B20E0F">
      <w:pPr>
        <w:jc w:val="both"/>
        <w:divId w:val="1595824100"/>
        <w:rPr>
          <w:rFonts w:ascii="Times New Roman" w:hAnsi="Times New Roman" w:cs="Times New Roman"/>
          <w:sz w:val="24"/>
          <w:szCs w:val="24"/>
        </w:rPr>
      </w:pPr>
      <w:r w:rsidRPr="00B20E0F">
        <w:rPr>
          <w:rFonts w:ascii="Times New Roman" w:hAnsi="Times New Roman" w:cs="Times New Roman"/>
          <w:sz w:val="24"/>
          <w:szCs w:val="24"/>
        </w:rPr>
        <w:t>Návrat k modelu miestnej štátnej správy v školstve v pôsobnosti ministerstva školstva zabezpečí:</w:t>
      </w:r>
    </w:p>
    <w:p w:rsidR="00B20E0F" w:rsidRPr="00B20E0F" w:rsidRDefault="00B20E0F" w:rsidP="00B20E0F">
      <w:pPr>
        <w:pStyle w:val="Odsekzoznamu"/>
        <w:numPr>
          <w:ilvl w:val="0"/>
          <w:numId w:val="11"/>
        </w:numPr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 xml:space="preserve">prevzatie súčasnej agendy odborov školstva okresných úradov v sídle kraja bez zmien v jej obsahu, </w:t>
      </w:r>
    </w:p>
    <w:p w:rsidR="00B20E0F" w:rsidRPr="00B20E0F" w:rsidRDefault="00B20E0F" w:rsidP="00B20E0F">
      <w:pPr>
        <w:pStyle w:val="Odsekzoznamu"/>
        <w:numPr>
          <w:ilvl w:val="0"/>
          <w:numId w:val="7"/>
        </w:numPr>
        <w:spacing w:afterAutospacing="1"/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>prevzatie zriaďovateľských pôsobností pri niektorých druhoch škôl a školských zariadení (najmä vo vzťahu k deťom a žiakom so špeciálnymi výchovno-vzdelávacími potrebami),</w:t>
      </w:r>
    </w:p>
    <w:p w:rsidR="00B20E0F" w:rsidRPr="00B20E0F" w:rsidRDefault="00B20E0F" w:rsidP="00B20E0F">
      <w:pPr>
        <w:pStyle w:val="Odsekzoznamu"/>
        <w:numPr>
          <w:ilvl w:val="0"/>
          <w:numId w:val="7"/>
        </w:numPr>
        <w:spacing w:afterAutospacing="1"/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t>zjednotenie a sprehľadnenie financovania regionálneho školstva v jednej rozpočtovej kapitole,</w:t>
      </w:r>
    </w:p>
    <w:p w:rsidR="00B20E0F" w:rsidRPr="00B20E0F" w:rsidRDefault="00B20E0F" w:rsidP="00B20E0F">
      <w:pPr>
        <w:pStyle w:val="Odsekzoznamu"/>
        <w:numPr>
          <w:ilvl w:val="0"/>
          <w:numId w:val="7"/>
        </w:numPr>
        <w:spacing w:afterAutospacing="1"/>
        <w:jc w:val="both"/>
        <w:divId w:val="1595824100"/>
        <w:rPr>
          <w:rFonts w:ascii="Times New Roman" w:hAnsi="Times New Roman" w:cs="Times New Roman"/>
          <w:szCs w:val="24"/>
        </w:rPr>
      </w:pPr>
      <w:r w:rsidRPr="00B20E0F">
        <w:rPr>
          <w:rFonts w:ascii="Times New Roman" w:hAnsi="Times New Roman" w:cs="Times New Roman"/>
          <w:szCs w:val="24"/>
        </w:rPr>
        <w:lastRenderedPageBreak/>
        <w:t>odstránenie doterajších obmedzení v praktickom výkone činnosti okresných úradov - odborov školstva, spôsobených práve dvojkoľajným systémom riadenia.</w:t>
      </w:r>
    </w:p>
    <w:p w:rsidR="0082377D" w:rsidRPr="00B20E0F" w:rsidRDefault="00B20E0F" w:rsidP="00B20E0F">
      <w:pPr>
        <w:pStyle w:val="Normlnywebov"/>
        <w:jc w:val="both"/>
        <w:divId w:val="1595824100"/>
      </w:pPr>
      <w:r w:rsidRPr="00B20E0F">
        <w:t>Návrh zákona bol pripravený v spolupráci s ministerstvom vnútra a prerokovaný so Združením miest a obcí Slovenska, Úniou miest Slovenska, Odborovým zväzom pracovníkov školstva a vedy na Slovensku, Slovenskou komorou učiteľov a Najvyšším kontrolným úradom SR, pričom návrhu na integráciu činností okresných úradov v sídle kraja v oblasti školstva bola všetkými oslovenými subjektmi vyslovená významná podpora.</w:t>
      </w:r>
    </w:p>
    <w:p w:rsidR="0082377D" w:rsidRPr="00B20E0F" w:rsidRDefault="0082377D" w:rsidP="00B20E0F">
      <w:pPr>
        <w:pStyle w:val="Normlnywebov"/>
        <w:jc w:val="both"/>
        <w:divId w:val="1595824100"/>
      </w:pPr>
      <w:r w:rsidRPr="00B20E0F">
        <w:t>Vzhľadom na začiatok rozpočtového roka sa navrhuje účinnosť od 1. 1. 2021.</w:t>
      </w:r>
    </w:p>
    <w:p w:rsidR="0082377D" w:rsidRPr="00B20E0F" w:rsidRDefault="0082377D" w:rsidP="00B20E0F">
      <w:pPr>
        <w:pStyle w:val="Normlnywebov"/>
        <w:jc w:val="both"/>
        <w:divId w:val="1595824100"/>
      </w:pPr>
      <w:r w:rsidRPr="00B20E0F">
        <w:t xml:space="preserve">Návrh zákona predpokladá </w:t>
      </w:r>
      <w:r w:rsidR="00D55C62" w:rsidRPr="00B20E0F">
        <w:t xml:space="preserve">pozitívne aj negatívne </w:t>
      </w:r>
      <w:r w:rsidRPr="00B20E0F">
        <w:t>vply</w:t>
      </w:r>
      <w:r w:rsidR="00D55C62" w:rsidRPr="00B20E0F">
        <w:t xml:space="preserve">vy na rozpočet verejnej správy a nepredpokladá </w:t>
      </w:r>
      <w:r w:rsidRPr="00B20E0F">
        <w:t>vplyvy na podnikateľské prostredie, sociálne vplyvy, vplyvy na životné  prostredie, vplyvy na informatizáciu spoločnosti, vplyvy na služby verejnej správy pre občana ani vplyvy na manželstvo, rodičovstvo a rodinu.</w:t>
      </w:r>
    </w:p>
    <w:p w:rsidR="0082377D" w:rsidRPr="00B20E0F" w:rsidRDefault="0082377D" w:rsidP="00B20E0F">
      <w:pPr>
        <w:pStyle w:val="Normlnywebov"/>
        <w:jc w:val="both"/>
        <w:divId w:val="1595824100"/>
      </w:pPr>
      <w:r w:rsidRPr="00B20E0F">
        <w:t>Návrh zákona je v súlade s Ústavou SR, ústavnými zákonmi, nálezmi Ústavného súdu Slovenskej republiky, inými zákonmi Slovenskej republiky, medzinárodnými zmluvami a inými medzinárodnými dokumentmi, ktorými je Slovenská republika viazaná, a s právom Európskej únie.</w:t>
      </w:r>
    </w:p>
    <w:p w:rsidR="0082377D" w:rsidRPr="00B20E0F" w:rsidRDefault="0082377D" w:rsidP="00B20E0F">
      <w:pPr>
        <w:pStyle w:val="Normlnywebov"/>
        <w:jc w:val="both"/>
        <w:divId w:val="1595824100"/>
      </w:pPr>
      <w:r w:rsidRPr="00B20E0F">
        <w:t> </w:t>
      </w:r>
    </w:p>
    <w:p w:rsidR="0082377D" w:rsidRPr="00B20E0F" w:rsidRDefault="0082377D" w:rsidP="00B20E0F">
      <w:pPr>
        <w:pStyle w:val="Normlnywebov"/>
        <w:jc w:val="both"/>
        <w:divId w:val="1595824100"/>
      </w:pPr>
      <w:r w:rsidRPr="00B20E0F">
        <w:t> </w:t>
      </w:r>
    </w:p>
    <w:p w:rsidR="00E14E7F" w:rsidRPr="00B20E0F" w:rsidRDefault="0082377D" w:rsidP="00B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B20E0F">
        <w:rPr>
          <w:rFonts w:ascii="Times New Roman" w:hAnsi="Times New Roman" w:cs="Times New Roman"/>
          <w:sz w:val="24"/>
          <w:szCs w:val="24"/>
        </w:rPr>
        <w:t> </w:t>
      </w:r>
    </w:p>
    <w:p w:rsidR="00E076A2" w:rsidRPr="00B20E0F" w:rsidRDefault="00E076A2" w:rsidP="00B20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6A2" w:rsidRPr="00B20E0F" w:rsidRDefault="00E076A2" w:rsidP="00B20E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76A2" w:rsidRPr="00B20E0F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2E" w:rsidRDefault="00A57D2E" w:rsidP="000A67D5">
      <w:pPr>
        <w:spacing w:after="0" w:line="240" w:lineRule="auto"/>
      </w:pPr>
      <w:r>
        <w:separator/>
      </w:r>
    </w:p>
  </w:endnote>
  <w:endnote w:type="continuationSeparator" w:id="0">
    <w:p w:rsidR="00A57D2E" w:rsidRDefault="00A57D2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2E" w:rsidRDefault="00A57D2E" w:rsidP="000A67D5">
      <w:pPr>
        <w:spacing w:after="0" w:line="240" w:lineRule="auto"/>
      </w:pPr>
      <w:r>
        <w:separator/>
      </w:r>
    </w:p>
  </w:footnote>
  <w:footnote w:type="continuationSeparator" w:id="0">
    <w:p w:rsidR="00A57D2E" w:rsidRDefault="00A57D2E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D90"/>
    <w:multiLevelType w:val="hybridMultilevel"/>
    <w:tmpl w:val="91D2B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805"/>
    <w:multiLevelType w:val="hybridMultilevel"/>
    <w:tmpl w:val="FAA8C5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359D"/>
    <w:multiLevelType w:val="hybridMultilevel"/>
    <w:tmpl w:val="A13AD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0BAA"/>
    <w:multiLevelType w:val="hybridMultilevel"/>
    <w:tmpl w:val="3ADED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49CA"/>
    <w:multiLevelType w:val="hybridMultilevel"/>
    <w:tmpl w:val="F9FE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025F5"/>
    <w:multiLevelType w:val="hybridMultilevel"/>
    <w:tmpl w:val="60D2C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A329D"/>
    <w:multiLevelType w:val="hybridMultilevel"/>
    <w:tmpl w:val="E9FE5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EA1"/>
    <w:multiLevelType w:val="hybridMultilevel"/>
    <w:tmpl w:val="1BD2C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B3C83"/>
    <w:multiLevelType w:val="hybridMultilevel"/>
    <w:tmpl w:val="78D05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60CF2"/>
    <w:multiLevelType w:val="hybridMultilevel"/>
    <w:tmpl w:val="BBD67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C138C"/>
    <w:multiLevelType w:val="multilevel"/>
    <w:tmpl w:val="13A6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05856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41FA5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509A"/>
    <w:rsid w:val="00766598"/>
    <w:rsid w:val="007746DD"/>
    <w:rsid w:val="00777C34"/>
    <w:rsid w:val="007A1010"/>
    <w:rsid w:val="007D7AE6"/>
    <w:rsid w:val="0081645A"/>
    <w:rsid w:val="0082377D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57D2E"/>
    <w:rsid w:val="00AF457A"/>
    <w:rsid w:val="00B133CC"/>
    <w:rsid w:val="00B20E0F"/>
    <w:rsid w:val="00B22F80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185D"/>
    <w:rsid w:val="00CE47A6"/>
    <w:rsid w:val="00D261C9"/>
    <w:rsid w:val="00D55C62"/>
    <w:rsid w:val="00D7179C"/>
    <w:rsid w:val="00D8066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  <w:rsid w:val="00FC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F5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82377D"/>
    <w:rPr>
      <w:i/>
      <w:iCs/>
    </w:rPr>
  </w:style>
  <w:style w:type="paragraph" w:customStyle="1" w:styleId="Nadpis">
    <w:name w:val="Nadpis"/>
    <w:basedOn w:val="Normlny"/>
    <w:next w:val="Zkladntext"/>
    <w:qFormat/>
    <w:rsid w:val="00B20E0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noProof w:val="0"/>
      <w:kern w:val="2"/>
      <w:sz w:val="28"/>
      <w:szCs w:val="28"/>
      <w:lang w:eastAsia="zh-CN" w:bidi="hi-IN"/>
    </w:rPr>
  </w:style>
  <w:style w:type="paragraph" w:styleId="Odsekzoznamu">
    <w:name w:val="List Paragraph"/>
    <w:basedOn w:val="Normlny"/>
    <w:uiPriority w:val="34"/>
    <w:qFormat/>
    <w:rsid w:val="00B20E0F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noProof w:val="0"/>
      <w:kern w:val="2"/>
      <w:sz w:val="24"/>
      <w:szCs w:val="21"/>
      <w:lang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20E0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20E0F"/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0.9.2020 7:21:25"/>
    <f:field ref="objchangedby" par="" text="Administrator, System"/>
    <f:field ref="objmodifiedat" par="" text="30.9.2020 7:21:2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342CD2-E02D-41FF-8768-E10AFBE8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2020-10-22T08:25:00Z</dcterms:created>
  <dcterms:modified xsi:type="dcterms:W3CDTF">2020-10-22T08:28:00Z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Základné školstvo_x000d_
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Bumberová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, ktorým sa mení a dopĺňa zákon č. 596/2003 Z. z. o štátnej správe v školstve a školskej samospráve a o zmene a doplnení niektorých zákonov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SR na obdobie rokov 2020-2024</vt:lpwstr>
  </property>
  <property fmtid="{D5CDD505-2E9C-101B-9397-08002B2CF9AE}" pid="16" name="FSC#SKEDITIONSLOVLEX@103.510:plnynazovpredpis">
    <vt:lpwstr> Zákon, ktorým sa mení a dopĺňa zákon č. 596/2003 Z. z. o štátnej správe v školstve a školskej samospráve a o zmene a doplnení niektorých zákonov v znení neskorších predpisov a ktorým sa menia a dopĺňajú niektoré zákony</vt:lpwstr>
  </property>
  <property fmtid="{D5CDD505-2E9C-101B-9397-08002B2CF9AE}" pid="17" name="FSC#SKEDITIONSLOVLEX@103.510:rezortcislopredpis">
    <vt:lpwstr>spis. č. 2020/14560:1-A1810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LP/2020/295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t.j. neprijatie právneho predpisu, čo by znamenalo, že ostane nejednotné a administratívne komplikované financovanie regionálneho školstva.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SR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a&amp;nbsp;športu Slovenskej republiky (ďalej len „ministerstvo školstva“) predkladá návrh zákona, ktorým sa mení a dopĺňa zákon č. 596/2003 Z. z. o štátnej správe v školstve a školskej samospráve a o zmene a doplnení n</vt:lpwstr>
  </property>
  <property fmtid="{D5CDD505-2E9C-101B-9397-08002B2CF9AE}" pid="130" name="FSC#COOSYSTEM@1.1:Container">
    <vt:lpwstr>COO.2145.1000.3.4029182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justify;"&gt;Skutočnosti, ktoré sú predmetom návrhu zákona boli odbornej verejnosti aj laickej verejnosti komunikované priebežne od prerokúvania Programového vyhlásenia vlády Slovenskej republiky na roky 2020 - 2024.&lt;/p&gt;&lt;p style="text-a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30. 9. 2020</vt:lpwstr>
  </property>
</Properties>
</file>