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A1" w:rsidRPr="00DE5294" w:rsidRDefault="003501A1" w:rsidP="003501A1">
      <w:pPr>
        <w:jc w:val="center"/>
        <w:rPr>
          <w:b/>
          <w:bCs/>
          <w:sz w:val="28"/>
          <w:szCs w:val="28"/>
        </w:rPr>
      </w:pPr>
      <w:r w:rsidRPr="00DE5294">
        <w:rPr>
          <w:b/>
          <w:bCs/>
          <w:sz w:val="28"/>
          <w:szCs w:val="28"/>
        </w:rPr>
        <w:t>Doložka vybraných vplyvov</w:t>
      </w:r>
    </w:p>
    <w:p w:rsidR="003501A1" w:rsidRPr="00DE5294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Základné údaje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8D26FA">
            <w:pPr>
              <w:pStyle w:val="Odsekzoznamu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Názov materiálu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</w:tcPr>
          <w:p w:rsidR="003501A1" w:rsidRPr="00DE5294" w:rsidRDefault="00046D10" w:rsidP="00EA793D">
            <w:pPr>
              <w:jc w:val="both"/>
            </w:pPr>
            <w:r w:rsidRPr="00DE5294">
              <w:t xml:space="preserve">Návrh nariadenia vlády Slovenskej republiky, ktorým sa mení </w:t>
            </w:r>
            <w:r w:rsidR="00E350DC" w:rsidRPr="00DE5294">
              <w:t xml:space="preserve">a dopĺňa </w:t>
            </w:r>
            <w:r w:rsidRPr="00DE5294">
              <w:t xml:space="preserve">nariadenie vlády Slovenskej republiky </w:t>
            </w:r>
            <w:r w:rsidRPr="00DE5294">
              <w:rPr>
                <w:bCs/>
              </w:rPr>
              <w:t>č. 83/2013 Z. z. o ochrane zdravia zamestnancov pred rizikami súvisiacimi s expozíciou biologickým faktorom pri práci</w:t>
            </w:r>
            <w:r w:rsidR="008839E1" w:rsidRPr="00DE5294">
              <w:t xml:space="preserve"> (ďalej</w:t>
            </w:r>
            <w:r w:rsidR="003A070D" w:rsidRPr="00DE5294">
              <w:t xml:space="preserve"> len</w:t>
            </w:r>
            <w:r w:rsidR="008839E1" w:rsidRPr="00DE5294">
              <w:t xml:space="preserve"> „návrh nariadenia vlády“)</w:t>
            </w:r>
            <w:r w:rsidR="00475178" w:rsidRPr="00DE5294">
              <w:t>.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8D26FA">
            <w:pPr>
              <w:pStyle w:val="Odsekzoznamu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Predkladateľ (a spolupredkladateľ)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A47572" w:rsidRPr="00DE5294" w:rsidRDefault="00A47572" w:rsidP="00A47572">
            <w:r w:rsidRPr="00DE5294">
              <w:t>Ministerstvo zdravotníctva Slovenskej republiky</w:t>
            </w:r>
          </w:p>
          <w:p w:rsidR="003501A1" w:rsidRPr="00DE5294" w:rsidRDefault="00A47572" w:rsidP="00A47572">
            <w:r w:rsidRPr="00DE5294">
              <w:t>(Úrad verejného zdravotníctva Slovenskej republiky)</w:t>
            </w:r>
          </w:p>
        </w:tc>
      </w:tr>
      <w:tr w:rsidR="003501A1" w:rsidRPr="00DE5294" w:rsidTr="004F6F1F">
        <w:tc>
          <w:tcPr>
            <w:tcW w:w="4212" w:type="dxa"/>
            <w:gridSpan w:val="2"/>
            <w:vMerge w:val="restart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DE5294" w:rsidRDefault="003501A1" w:rsidP="008D26FA">
            <w:pPr>
              <w:pStyle w:val="Odsekzoznamu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DE5294" w:rsidRDefault="009B4609" w:rsidP="008D26FA">
            <w:pPr>
              <w:jc w:val="center"/>
            </w:pPr>
            <w:r w:rsidRPr="00DE5294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DE5294" w:rsidRDefault="003501A1" w:rsidP="008D26FA">
            <w:r w:rsidRPr="00DE5294">
              <w:t>Materiál nelegislatívnej povahy</w:t>
            </w:r>
          </w:p>
        </w:tc>
      </w:tr>
      <w:tr w:rsidR="003501A1" w:rsidRPr="00DE5294" w:rsidTr="004F6F1F">
        <w:tc>
          <w:tcPr>
            <w:tcW w:w="4212" w:type="dxa"/>
            <w:gridSpan w:val="2"/>
            <w:vMerge/>
            <w:tcBorders>
              <w:top w:val="nil"/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8D26FA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DE5294" w:rsidRDefault="009B4609" w:rsidP="008D26FA">
            <w:pPr>
              <w:jc w:val="center"/>
            </w:pPr>
            <w:r w:rsidRPr="00DE5294">
              <w:rPr>
                <w:rFonts w:ascii="MS Gothic" w:eastAsia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DE5294" w:rsidRDefault="003501A1" w:rsidP="008D26FA">
            <w:pPr>
              <w:ind w:left="175" w:hanging="175"/>
            </w:pPr>
            <w:r w:rsidRPr="00DE5294">
              <w:t>Materiál legislatívnej povahy</w:t>
            </w:r>
            <w:r w:rsidR="00FB7C9F" w:rsidRPr="00DE5294">
              <w:t xml:space="preserve"> </w:t>
            </w:r>
          </w:p>
        </w:tc>
      </w:tr>
      <w:tr w:rsidR="003501A1" w:rsidRPr="00DE5294" w:rsidTr="004F6F1F">
        <w:tc>
          <w:tcPr>
            <w:tcW w:w="4212" w:type="dxa"/>
            <w:gridSpan w:val="2"/>
            <w:vMerge/>
            <w:tcBorders>
              <w:top w:val="nil"/>
            </w:tcBorders>
            <w:shd w:val="clear" w:color="auto" w:fill="E2E2E2"/>
          </w:tcPr>
          <w:p w:rsidR="003501A1" w:rsidRPr="00DE5294" w:rsidRDefault="003501A1" w:rsidP="008D26FA"/>
        </w:tc>
        <w:tc>
          <w:tcPr>
            <w:tcW w:w="70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3501A1" w:rsidRPr="00DE5294" w:rsidRDefault="004E01A2" w:rsidP="008D26FA">
            <w:pPr>
              <w:jc w:val="center"/>
            </w:pPr>
            <w:r w:rsidRPr="00DE5294">
              <w:rPr>
                <w:rFonts w:ascii="MS Gothic" w:eastAsia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left w:val="nil"/>
            </w:tcBorders>
            <w:shd w:val="clear" w:color="auto" w:fill="FFFFFF" w:themeFill="background1"/>
          </w:tcPr>
          <w:p w:rsidR="003501A1" w:rsidRPr="00DE5294" w:rsidRDefault="003501A1" w:rsidP="008D26FA">
            <w:r w:rsidRPr="00DE5294">
              <w:t>Transpozícia práva EÚ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DE5294" w:rsidRDefault="003501A1" w:rsidP="008D26FA">
            <w:pPr>
              <w:rPr>
                <w:i/>
              </w:rPr>
            </w:pPr>
            <w:r w:rsidRPr="00DE5294">
              <w:rPr>
                <w:i/>
              </w:rPr>
              <w:t>V prípade transpozície uveďte zoznam transponovaných predpisov:</w:t>
            </w:r>
          </w:p>
          <w:p w:rsidR="004E01A2" w:rsidRPr="00DE5294" w:rsidRDefault="004E01A2" w:rsidP="008A4082">
            <w:pPr>
              <w:jc w:val="both"/>
            </w:pPr>
          </w:p>
          <w:p w:rsidR="004E01A2" w:rsidRPr="00DE5294" w:rsidRDefault="004E01A2" w:rsidP="008A4082">
            <w:pPr>
              <w:jc w:val="both"/>
            </w:pPr>
            <w:r w:rsidRPr="00DE5294">
              <w:t>- smernica  Komisie (EÚ) 2019/1833 z 24. októbra 2019, ktorou sa menia prílohy I, III, V a VI k smernici Európskeho parlamentu a Rady 2000/54/ES, pokiaľ ide o výlučne technické úpravy</w:t>
            </w:r>
            <w:r w:rsidR="003712C2">
              <w:t xml:space="preserve"> </w:t>
            </w:r>
            <w:r w:rsidR="003712C2">
              <w:t>v platnom znení</w:t>
            </w:r>
            <w:bookmarkStart w:id="0" w:name="_GoBack"/>
            <w:bookmarkEnd w:id="0"/>
            <w:r w:rsidRPr="00DE5294">
              <w:t xml:space="preserve"> (ďalej len „smernica  Komisie (EÚ) 2019/1833“)  </w:t>
            </w:r>
          </w:p>
          <w:p w:rsidR="004E01A2" w:rsidRPr="00DE5294" w:rsidRDefault="004E01A2" w:rsidP="008A4082">
            <w:pPr>
              <w:jc w:val="both"/>
            </w:pPr>
          </w:p>
          <w:p w:rsidR="004E01A2" w:rsidRPr="00DE5294" w:rsidRDefault="004E01A2" w:rsidP="004E01A2">
            <w:pPr>
              <w:jc w:val="both"/>
            </w:pPr>
            <w:r w:rsidRPr="00DE5294">
              <w:t>- smernica Komisie (EÚ) 2020/739 z 3. júna 2020, ktorou sa mení príloha  III k smernici Európskeho parlamentu a Rady 2000/54/ES, pokiaľ ide o zaradenie vírusu SARS-CoV-2 do zoznamu biologických činiteľov, o ktorých sa vie, že spôsobujú infekciu u ľudí, a ktorou sa mení smernica  Komisie (EÚ) 2019/1833 (ďalej len „smernica  Komisie (EÚ) 2020/739“)</w:t>
            </w:r>
          </w:p>
        </w:tc>
      </w:tr>
      <w:tr w:rsidR="003501A1" w:rsidRPr="00DE5294" w:rsidTr="004F6F1F">
        <w:tc>
          <w:tcPr>
            <w:tcW w:w="5634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8D26FA">
            <w:pPr>
              <w:pStyle w:val="Odsekzoznamu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</w:tcBorders>
          </w:tcPr>
          <w:p w:rsidR="00355A5C" w:rsidRPr="00DE5294" w:rsidRDefault="004E01A2" w:rsidP="00545605">
            <w:r w:rsidRPr="00DE5294">
              <w:t>august 2020</w:t>
            </w:r>
          </w:p>
        </w:tc>
      </w:tr>
      <w:tr w:rsidR="003501A1" w:rsidRPr="00DE5294" w:rsidTr="009C3CB7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8D26FA">
            <w:pPr>
              <w:pStyle w:val="Odsekzoznamu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Predpokladaný termín predloženia na MPK</w:t>
            </w:r>
          </w:p>
        </w:tc>
        <w:tc>
          <w:tcPr>
            <w:tcW w:w="3546" w:type="dxa"/>
            <w:gridSpan w:val="5"/>
          </w:tcPr>
          <w:p w:rsidR="003501A1" w:rsidRPr="00DE5294" w:rsidRDefault="001E1197" w:rsidP="004E01A2">
            <w:r w:rsidRPr="00DE5294">
              <w:t xml:space="preserve"> </w:t>
            </w:r>
            <w:r w:rsidR="004E01A2" w:rsidRPr="00DE5294">
              <w:t xml:space="preserve">september </w:t>
            </w:r>
            <w:r w:rsidRPr="00DE5294">
              <w:t>20</w:t>
            </w:r>
            <w:r w:rsidR="007C37AE" w:rsidRPr="00DE5294">
              <w:t>20</w:t>
            </w:r>
          </w:p>
        </w:tc>
      </w:tr>
      <w:tr w:rsidR="003501A1" w:rsidRPr="00DE5294" w:rsidTr="004F6F1F">
        <w:tc>
          <w:tcPr>
            <w:tcW w:w="5634" w:type="dxa"/>
            <w:gridSpan w:val="5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7C37AE">
            <w:pPr>
              <w:pStyle w:val="Odsekzoznamu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 xml:space="preserve">Predpokladaný termín predloženia na </w:t>
            </w:r>
            <w:r w:rsidR="007C37AE" w:rsidRPr="00DE5294">
              <w:rPr>
                <w:rFonts w:ascii="Times New Roman" w:hAnsi="Times New Roman"/>
                <w:b/>
                <w:sz w:val="20"/>
                <w:szCs w:val="20"/>
              </w:rPr>
              <w:t>r</w:t>
            </w: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okovanie vlády SR</w:t>
            </w:r>
          </w:p>
        </w:tc>
        <w:tc>
          <w:tcPr>
            <w:tcW w:w="3546" w:type="dxa"/>
            <w:gridSpan w:val="5"/>
          </w:tcPr>
          <w:p w:rsidR="004903F8" w:rsidRPr="00DE5294" w:rsidRDefault="008839E1" w:rsidP="00147CF3">
            <w:r w:rsidRPr="00DE5294">
              <w:t>október 20</w:t>
            </w:r>
            <w:r w:rsidR="007C37AE" w:rsidRPr="00DE5294">
              <w:t>20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3501A1" w:rsidRPr="00DE5294" w:rsidRDefault="003501A1" w:rsidP="008D26FA"/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Definícia problému</w:t>
            </w:r>
          </w:p>
        </w:tc>
      </w:tr>
      <w:tr w:rsidR="003501A1" w:rsidRPr="00DE5294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F2B5D" w:rsidRPr="00DE5294" w:rsidRDefault="00D06348" w:rsidP="003F2B5D">
            <w:pPr>
              <w:pStyle w:val="Default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>Návrhom nariadenia vlády sa do právneho poriadku Slovenskej republiky preberajú dve smernice Komisie (EÚ), a to smernica Komisie (EÚ) 2019/1833 a smernica Komisie (EÚ) 2020/739</w:t>
            </w:r>
            <w:r w:rsidR="003F2B5D" w:rsidRPr="00DE5294">
              <w:rPr>
                <w:sz w:val="20"/>
                <w:szCs w:val="20"/>
              </w:rPr>
              <w:t>.</w:t>
            </w:r>
            <w:r w:rsidRPr="00DE5294">
              <w:rPr>
                <w:sz w:val="20"/>
                <w:szCs w:val="20"/>
              </w:rPr>
              <w:t xml:space="preserve"> Zmeny vychádzajú z požiadaviek Komisie EÚ na modernizáciu právnych predpisov EÚ v oblasti bezpečnosti a ochrany zdravia pri práci.</w:t>
            </w:r>
          </w:p>
          <w:p w:rsidR="00D06348" w:rsidRPr="00DE5294" w:rsidRDefault="00D06348" w:rsidP="003F2B5D">
            <w:pPr>
              <w:pStyle w:val="Default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 xml:space="preserve">Cieľom je zabezpečenie lepšej a účinnejšej ochrany zdravia zamestnancov pri práci s biologickými faktormi najmä tým, že </w:t>
            </w:r>
            <w:r w:rsidR="003F2B5D" w:rsidRPr="00DE5294">
              <w:rPr>
                <w:sz w:val="20"/>
                <w:szCs w:val="20"/>
              </w:rPr>
              <w:t xml:space="preserve">sa </w:t>
            </w:r>
            <w:r w:rsidRPr="00DE5294">
              <w:rPr>
                <w:sz w:val="20"/>
                <w:szCs w:val="20"/>
              </w:rPr>
              <w:t>aktualizuj</w:t>
            </w:r>
            <w:r w:rsidR="003F2B5D" w:rsidRPr="00DE5294">
              <w:rPr>
                <w:sz w:val="20"/>
                <w:szCs w:val="20"/>
              </w:rPr>
              <w:t>e</w:t>
            </w:r>
            <w:r w:rsidRPr="00DE5294">
              <w:rPr>
                <w:sz w:val="20"/>
                <w:szCs w:val="20"/>
              </w:rPr>
              <w:t xml:space="preserve"> zoznam biologických faktorov klasifikovaných do skupín podľa úrovne rizika infekcie u ľudí,  ako aj  ochranné opatrenia pri práci, pričom </w:t>
            </w:r>
            <w:r w:rsidR="003F2B5D" w:rsidRPr="00DE5294">
              <w:rPr>
                <w:sz w:val="20"/>
                <w:szCs w:val="20"/>
              </w:rPr>
              <w:t xml:space="preserve">je </w:t>
            </w:r>
            <w:r w:rsidRPr="00DE5294">
              <w:rPr>
                <w:sz w:val="20"/>
                <w:szCs w:val="20"/>
              </w:rPr>
              <w:t>zohľad</w:t>
            </w:r>
            <w:r w:rsidR="003F2B5D" w:rsidRPr="00DE5294">
              <w:rPr>
                <w:sz w:val="20"/>
                <w:szCs w:val="20"/>
              </w:rPr>
              <w:t>nený</w:t>
            </w:r>
            <w:r w:rsidRPr="00DE5294">
              <w:rPr>
                <w:sz w:val="20"/>
                <w:szCs w:val="20"/>
              </w:rPr>
              <w:t xml:space="preserve"> najnovší stav vedomostí, pokiaľ ide o vedecký vývoj v tejto oblasti. </w:t>
            </w:r>
          </w:p>
          <w:p w:rsidR="00D06348" w:rsidRPr="00DE5294" w:rsidRDefault="00D06348" w:rsidP="00AA1913">
            <w:pPr>
              <w:autoSpaceDE w:val="0"/>
              <w:autoSpaceDN w:val="0"/>
              <w:jc w:val="both"/>
            </w:pPr>
          </w:p>
          <w:p w:rsidR="00AA1913" w:rsidRPr="00DE5294" w:rsidRDefault="0057662C" w:rsidP="00AA1913">
            <w:pPr>
              <w:autoSpaceDE w:val="0"/>
              <w:autoSpaceDN w:val="0"/>
              <w:jc w:val="both"/>
            </w:pPr>
            <w:r w:rsidRPr="00DE5294">
              <w:t xml:space="preserve">Zároveň </w:t>
            </w:r>
            <w:r w:rsidR="00AA1913" w:rsidRPr="00DE5294">
              <w:t xml:space="preserve">sa návrhom nariadenia vlády </w:t>
            </w:r>
            <w:r w:rsidRPr="00DE5294">
              <w:t xml:space="preserve">zosúlaďuje </w:t>
            </w:r>
            <w:r w:rsidR="00AA1913" w:rsidRPr="00DE5294">
              <w:t xml:space="preserve">jeho znenie so zmenami vyplývajúcimi zo zákona č. 355/2007 Z. z. o ochrane, podpore a rozvoji verejného zdravia a o zmene a doplnení niektorých zákonov v znení zákona č. 198/2020 Z. z., ktorý nadobudol účinnosť 21. júla 2020. Táto zmena sa týka vypustenia posudkovej činnosti orgánov verejného zdravotníctva pri schvaľovaní prevádzkových poriadkov pre pracovné činnosti s expozíciou biologickým faktorom, ktorá je súčasťou reformy posudkovej činnosti orgánov verejného zdravotníctva (vychádza z národného projektu „Optimalizácia procesov verejného zdravotníctva“) a súčasťou opatrení na zlepšenie podnikateľského prostredia upravených zákonom č. 198/2020 Z. z., ktorým sa menia a dopĺňajú niektoré zákony v súvislosti so zlepšovaním podnikateľského prostredia zasiahnutým opatreniami na zamedzenie šírenia nebezpečnej nákazlivej ľudskej choroby COVID-19. </w:t>
            </w:r>
          </w:p>
          <w:p w:rsidR="00AA1913" w:rsidRPr="00DE5294" w:rsidRDefault="00AA1913" w:rsidP="003F2B5D">
            <w:pPr>
              <w:autoSpaceDE w:val="0"/>
              <w:autoSpaceDN w:val="0"/>
              <w:jc w:val="both"/>
            </w:pP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DE5294" w:rsidRDefault="00923547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Ciele a výsledný stav</w:t>
            </w:r>
          </w:p>
        </w:tc>
      </w:tr>
      <w:tr w:rsidR="003501A1" w:rsidRPr="00DE5294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F2B5D" w:rsidRPr="00DE5294" w:rsidRDefault="003F2B5D" w:rsidP="0006329F">
            <w:pPr>
              <w:pStyle w:val="Normlnywebov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 xml:space="preserve">Návrhom nariadenia vlády sa aktualizuje zoznam biologických faktorov (baktérií, vírusov, </w:t>
            </w:r>
            <w:proofErr w:type="spellStart"/>
            <w:r w:rsidRPr="00DE5294">
              <w:rPr>
                <w:sz w:val="20"/>
                <w:szCs w:val="20"/>
              </w:rPr>
              <w:t>priónov</w:t>
            </w:r>
            <w:proofErr w:type="spellEnd"/>
            <w:r w:rsidRPr="00DE5294">
              <w:rPr>
                <w:sz w:val="20"/>
                <w:szCs w:val="20"/>
              </w:rPr>
              <w:t xml:space="preserve">, parazitov a húb) klasifikovaných podľa úrovne rizika infekcie u ľudí do skupín 2. 3. a 4. Aktualizujú sa aj ochranné opatrenia na úrovni ochrany 2., 3. a 4. stupňa na zníženie rizika nákazy pri práci v zdravotníckych zariadeniach, zariadeniach veterinárnej starostlivosti, laboratóriách, miestnostiach pre pokusné zvieratá a pri priemyselných procesoch, pri ktorých sa používajú biologické faktory. Aktualizovaný zoznam biologických faktorov a ochranné </w:t>
            </w:r>
            <w:r w:rsidRPr="00DE5294">
              <w:rPr>
                <w:sz w:val="20"/>
                <w:szCs w:val="20"/>
              </w:rPr>
              <w:lastRenderedPageBreak/>
              <w:t>opatrenia pri práci zabezpečia lepšiu a účinnejšiu ochranu zdravia zamestnancov pri práci s biologickými faktormi vzhľadom na skutočnosť, že zohľadňujú najnovší stav vedomostí a vedecký vývoj v tejto oblasti.</w:t>
            </w:r>
          </w:p>
          <w:p w:rsidR="003F2B5D" w:rsidRPr="00DE5294" w:rsidRDefault="008839E1" w:rsidP="003F2B5D">
            <w:pPr>
              <w:pStyle w:val="Normlnywebov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 xml:space="preserve">Návrhom nariadenia vlády sa ruší predkladanie prevádzkového poriadku pre pracovné činnosti </w:t>
            </w:r>
            <w:r w:rsidR="00046D10" w:rsidRPr="00DE5294">
              <w:rPr>
                <w:sz w:val="20"/>
                <w:szCs w:val="20"/>
              </w:rPr>
              <w:t>s biologickými faktormi</w:t>
            </w:r>
            <w:r w:rsidRPr="00DE5294">
              <w:rPr>
                <w:sz w:val="20"/>
                <w:szCs w:val="20"/>
              </w:rPr>
              <w:t xml:space="preserve"> zamestnávateľom na posúdenie príslušnému orgánu verejného zdravotníctva podľa osobitného predpisu, ktorým je § 52 ods. 1 písm. b) v spojení s § 13 ods. 4 písm. b) zákona č. 355/2007 Z. z. Uvedenou zmenou nedôjde k zníženiu ochrany zdravia zamestnancov pri práci, keďže povinnosťou zamestnávateľov naďalej zostane vypracovať prevádzkový poriadok pre pracovné činnosti </w:t>
            </w:r>
            <w:r w:rsidR="00046D10" w:rsidRPr="00DE5294">
              <w:rPr>
                <w:sz w:val="20"/>
                <w:szCs w:val="20"/>
              </w:rPr>
              <w:t>s biologickými faktormi</w:t>
            </w:r>
            <w:r w:rsidRPr="00DE5294">
              <w:rPr>
                <w:sz w:val="20"/>
                <w:szCs w:val="20"/>
              </w:rPr>
              <w:t>, ktorého súčasťou sú najmä opatrenia na ochranu zdravia zamestnancov. Tento písomný dokument zamestnávatelia nebudú predkladať na posúdenie príslušnému orgánu verejného zdravotníctva</w:t>
            </w:r>
            <w:r w:rsidR="00B4581F" w:rsidRPr="00DE5294">
              <w:rPr>
                <w:sz w:val="20"/>
                <w:szCs w:val="20"/>
              </w:rPr>
              <w:t>, ale p</w:t>
            </w:r>
            <w:r w:rsidRPr="00DE5294">
              <w:rPr>
                <w:sz w:val="20"/>
                <w:szCs w:val="20"/>
              </w:rPr>
              <w:t xml:space="preserve">revádzkový poriadok pre pracovné činnosti </w:t>
            </w:r>
            <w:r w:rsidR="00046D10" w:rsidRPr="00DE5294">
              <w:rPr>
                <w:sz w:val="20"/>
                <w:szCs w:val="20"/>
              </w:rPr>
              <w:t xml:space="preserve">s biologickými faktormi </w:t>
            </w:r>
            <w:r w:rsidRPr="00DE5294">
              <w:rPr>
                <w:sz w:val="20"/>
                <w:szCs w:val="20"/>
              </w:rPr>
              <w:t>zamestnávatelia predložia</w:t>
            </w:r>
            <w:r w:rsidR="00A60BF7" w:rsidRPr="00DE5294">
              <w:rPr>
                <w:sz w:val="20"/>
                <w:szCs w:val="20"/>
              </w:rPr>
              <w:t xml:space="preserve"> </w:t>
            </w:r>
            <w:r w:rsidRPr="00DE5294">
              <w:rPr>
                <w:sz w:val="20"/>
                <w:szCs w:val="20"/>
              </w:rPr>
              <w:t>príslušnému orgánu verejného zdravotníctva pri výkone štátneho zdravotného dozoru na pracovisku.</w:t>
            </w:r>
          </w:p>
          <w:p w:rsidR="00577883" w:rsidRPr="00DE5294" w:rsidRDefault="00577883" w:rsidP="003F2B5D">
            <w:pPr>
              <w:pStyle w:val="Normlnywebov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>Výsledkom bude, že zamestnávateľ nebude predkladať na schválenie prevádzkový poriadok a nebude uhrádzať správny poplatok s tým spojený.</w:t>
            </w:r>
          </w:p>
          <w:p w:rsidR="004E01A2" w:rsidRPr="00DE5294" w:rsidRDefault="004E01A2" w:rsidP="003F2B5D">
            <w:pPr>
              <w:pStyle w:val="Normlnywebov"/>
              <w:jc w:val="both"/>
              <w:rPr>
                <w:sz w:val="20"/>
                <w:szCs w:val="20"/>
              </w:rPr>
            </w:pP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Dotknuté subjekty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DF16CA" w:rsidRPr="00DE5294" w:rsidRDefault="008839E1" w:rsidP="00E64E97">
            <w:pPr>
              <w:jc w:val="both"/>
            </w:pPr>
            <w:r w:rsidRPr="00DE5294">
              <w:t>Predpokladá sa pozitívny vplyv na podnikateľské prostredie</w:t>
            </w:r>
            <w:r w:rsidR="00E06736" w:rsidRPr="00DE5294">
              <w:t xml:space="preserve"> a s tým súvisiaci negatívny vplyv na rozpočet verejnej správy</w:t>
            </w:r>
            <w:r w:rsidR="00967149" w:rsidRPr="00DE5294">
              <w:t xml:space="preserve">. </w:t>
            </w:r>
            <w:r w:rsidR="00B4581F" w:rsidRPr="00DE5294">
              <w:t>Zároveň sa predpokladá aj negatívny vplyv na podnikateľské prostredie.</w:t>
            </w:r>
          </w:p>
          <w:p w:rsidR="000C67CE" w:rsidRPr="00DE5294" w:rsidRDefault="000C67CE" w:rsidP="00E64E97">
            <w:pPr>
              <w:jc w:val="both"/>
            </w:pPr>
          </w:p>
          <w:p w:rsidR="00DF6980" w:rsidRPr="00DE5294" w:rsidRDefault="00967149" w:rsidP="00E64E97">
            <w:pPr>
              <w:jc w:val="both"/>
            </w:pPr>
            <w:r w:rsidRPr="00DE5294">
              <w:t>Pozitívny vplyv na podnikateľské prostredie súvisí so</w:t>
            </w:r>
            <w:r w:rsidR="008839E1" w:rsidRPr="00DE5294">
              <w:t xml:space="preserve"> zrušením posudzovania prevádzkového poriadku orgánom verejného zdravotníctva</w:t>
            </w:r>
            <w:r w:rsidR="000C67CE" w:rsidRPr="00DE5294">
              <w:t>. Z</w:t>
            </w:r>
            <w:r w:rsidR="008839E1" w:rsidRPr="00DE5294">
              <w:t xml:space="preserve">amestnávateľ nebude musieť </w:t>
            </w:r>
            <w:r w:rsidR="000C67CE" w:rsidRPr="00DE5294">
              <w:t xml:space="preserve">predkladať návrh prevádzkového poriadku </w:t>
            </w:r>
            <w:r w:rsidR="00545605" w:rsidRPr="00DE5294">
              <w:t xml:space="preserve">pre pracovné činnosti s biologickými faktormi </w:t>
            </w:r>
            <w:r w:rsidR="000C67CE" w:rsidRPr="00DE5294">
              <w:t xml:space="preserve">na posúdenie orgánu verejného zdravotníctva, čím sa zníži jeho administratívne zaťaženie a nebude musieť </w:t>
            </w:r>
            <w:r w:rsidR="008839E1" w:rsidRPr="00DE5294">
              <w:t>uhrádzať správny poplatok za posudkovú činnosť</w:t>
            </w:r>
            <w:r w:rsidR="000C67CE" w:rsidRPr="00DE5294">
              <w:t>, čím sa zníži</w:t>
            </w:r>
            <w:r w:rsidR="00E06736" w:rsidRPr="00DE5294">
              <w:t>a</w:t>
            </w:r>
            <w:r w:rsidR="000C67CE" w:rsidRPr="00DE5294">
              <w:t xml:space="preserve"> aj jeho finančné </w:t>
            </w:r>
            <w:r w:rsidR="00E06736" w:rsidRPr="00DE5294">
              <w:t>náklady</w:t>
            </w:r>
            <w:r w:rsidR="008839E1" w:rsidRPr="00DE5294">
              <w:t>. T</w:t>
            </w:r>
            <w:r w:rsidR="00E06736" w:rsidRPr="00DE5294">
              <w:t>áto skutočnosť</w:t>
            </w:r>
            <w:r w:rsidR="008839E1" w:rsidRPr="00DE5294">
              <w:t xml:space="preserve"> zároveň predstavuje negatívny vplyv na rozpočet verejnej správy</w:t>
            </w:r>
            <w:r w:rsidR="00A60BF7" w:rsidRPr="00DE5294">
              <w:t>; správne poplatky sú príjmom štátneho rozpočtu</w:t>
            </w:r>
            <w:r w:rsidR="008839E1" w:rsidRPr="00DE5294">
              <w:t>.</w:t>
            </w:r>
          </w:p>
          <w:p w:rsidR="001C3397" w:rsidRPr="00DE5294" w:rsidRDefault="001C3397" w:rsidP="00E64E97">
            <w:pPr>
              <w:jc w:val="both"/>
            </w:pPr>
            <w:r w:rsidRPr="00DE5294">
              <w:t>Dotknutými subjektmi pre pozitívny vplyv na podnikateľské prostredie sú podnikateľské subjekty, ktoré nebudú musieť predložiť orgánu verejného zdravotníctva na schválenie prevádzkový poriadok</w:t>
            </w:r>
            <w:r w:rsidR="00925ED5" w:rsidRPr="00DE5294">
              <w:t xml:space="preserve"> </w:t>
            </w:r>
            <w:r w:rsidRPr="00DE5294">
              <w:t xml:space="preserve">pre pracovné činnosti </w:t>
            </w:r>
            <w:r w:rsidR="00046D10" w:rsidRPr="00DE5294">
              <w:t>s biologickými faktormi</w:t>
            </w:r>
            <w:r w:rsidRPr="00DE5294">
              <w:t>. Odhadom sa predpokladá, že ročne predložia podnikateľské subjekty na schválenie orgánom verejného zdravotníctva</w:t>
            </w:r>
            <w:r w:rsidR="001968EA" w:rsidRPr="00DE5294">
              <w:t xml:space="preserve"> v</w:t>
            </w:r>
            <w:r w:rsidR="00545605" w:rsidRPr="00DE5294">
              <w:t> </w:t>
            </w:r>
            <w:r w:rsidR="001968EA" w:rsidRPr="00DE5294">
              <w:t>S</w:t>
            </w:r>
            <w:r w:rsidR="00545605" w:rsidRPr="00DE5294">
              <w:t>lovenskej republike</w:t>
            </w:r>
            <w:r w:rsidRPr="00DE5294">
              <w:t xml:space="preserve"> cca 20</w:t>
            </w:r>
            <w:r w:rsidR="00E06736" w:rsidRPr="00DE5294">
              <w:t xml:space="preserve"> </w:t>
            </w:r>
            <w:r w:rsidRPr="00DE5294">
              <w:t xml:space="preserve">prevádzkových poriadkov pre pracovné činnosti </w:t>
            </w:r>
            <w:r w:rsidR="00046D10" w:rsidRPr="00DE5294">
              <w:t>s biologickými faktormi</w:t>
            </w:r>
            <w:r w:rsidRPr="00DE5294">
              <w:t xml:space="preserve">. </w:t>
            </w:r>
          </w:p>
          <w:p w:rsidR="00A41E6A" w:rsidRPr="00DE5294" w:rsidRDefault="00A41E6A" w:rsidP="00E64E97">
            <w:pPr>
              <w:jc w:val="both"/>
            </w:pPr>
          </w:p>
          <w:p w:rsidR="000C67CE" w:rsidRPr="00DE5294" w:rsidRDefault="00A9380A" w:rsidP="0006329F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>Predpokladaný</w:t>
            </w:r>
            <w:r w:rsidR="000C67CE" w:rsidRPr="00DE5294">
              <w:rPr>
                <w:sz w:val="20"/>
                <w:szCs w:val="20"/>
              </w:rPr>
              <w:t xml:space="preserve"> negatívny vplyv na podnikateľské prostredie súvisí s revidovaním </w:t>
            </w:r>
            <w:r w:rsidR="00E06736" w:rsidRPr="00DE5294">
              <w:rPr>
                <w:sz w:val="20"/>
                <w:szCs w:val="20"/>
              </w:rPr>
              <w:t xml:space="preserve">(prehodnotením) </w:t>
            </w:r>
            <w:r w:rsidR="000C67CE" w:rsidRPr="00DE5294">
              <w:rPr>
                <w:sz w:val="20"/>
                <w:szCs w:val="20"/>
              </w:rPr>
              <w:t>existujúcich ochranných opatrení na zníženie rizika nákazy pri práci v zmysle príloh č. 5 a 6 návrhu nariadenia vlády v zdravotníckych zariadeniach, zariadeniach veterinárnej starostlivosti, laboratóriách, miestnostiach pre pokusné zvieratá a pri priemyselných procesoch, pri ktorých sa používajú biologické faktory</w:t>
            </w:r>
            <w:r w:rsidRPr="00DE5294">
              <w:rPr>
                <w:sz w:val="20"/>
                <w:szCs w:val="20"/>
              </w:rPr>
              <w:t>.</w:t>
            </w:r>
            <w:r w:rsidR="000C67CE" w:rsidRPr="00DE5294">
              <w:rPr>
                <w:sz w:val="20"/>
                <w:szCs w:val="20"/>
              </w:rPr>
              <w:t xml:space="preserve"> </w:t>
            </w:r>
            <w:r w:rsidRPr="00DE5294">
              <w:rPr>
                <w:sz w:val="20"/>
                <w:szCs w:val="20"/>
              </w:rPr>
              <w:t>P</w:t>
            </w:r>
            <w:r w:rsidR="000C67CE" w:rsidRPr="00DE5294">
              <w:rPr>
                <w:sz w:val="20"/>
                <w:szCs w:val="20"/>
              </w:rPr>
              <w:t xml:space="preserve">odľa výsledku revízie </w:t>
            </w:r>
            <w:r w:rsidRPr="00DE5294">
              <w:rPr>
                <w:sz w:val="20"/>
                <w:szCs w:val="20"/>
              </w:rPr>
              <w:t xml:space="preserve">existujúcich </w:t>
            </w:r>
            <w:r w:rsidR="000C67CE" w:rsidRPr="00DE5294">
              <w:rPr>
                <w:sz w:val="20"/>
                <w:szCs w:val="20"/>
              </w:rPr>
              <w:t xml:space="preserve">ochranných opatrení </w:t>
            </w:r>
            <w:r w:rsidRPr="00DE5294">
              <w:rPr>
                <w:sz w:val="20"/>
                <w:szCs w:val="20"/>
              </w:rPr>
              <w:t xml:space="preserve">na uvedených pracoviskách, zamestnávatelia </w:t>
            </w:r>
            <w:r w:rsidR="000C67CE" w:rsidRPr="00DE5294">
              <w:rPr>
                <w:sz w:val="20"/>
                <w:szCs w:val="20"/>
              </w:rPr>
              <w:t xml:space="preserve"> doplnen</w:t>
            </w:r>
            <w:r w:rsidRPr="00DE5294">
              <w:rPr>
                <w:sz w:val="20"/>
                <w:szCs w:val="20"/>
              </w:rPr>
              <w:t>ia</w:t>
            </w:r>
            <w:r w:rsidR="000C67CE" w:rsidRPr="00DE5294">
              <w:rPr>
                <w:sz w:val="20"/>
                <w:szCs w:val="20"/>
              </w:rPr>
              <w:t xml:space="preserve"> potrebn</w:t>
            </w:r>
            <w:r w:rsidRPr="00DE5294">
              <w:rPr>
                <w:sz w:val="20"/>
                <w:szCs w:val="20"/>
              </w:rPr>
              <w:t>é</w:t>
            </w:r>
            <w:r w:rsidR="000C67CE" w:rsidRPr="00DE5294">
              <w:rPr>
                <w:sz w:val="20"/>
                <w:szCs w:val="20"/>
              </w:rPr>
              <w:t xml:space="preserve"> ochrann</w:t>
            </w:r>
            <w:r w:rsidRPr="00DE5294">
              <w:rPr>
                <w:sz w:val="20"/>
                <w:szCs w:val="20"/>
              </w:rPr>
              <w:t>é</w:t>
            </w:r>
            <w:r w:rsidR="000C67CE" w:rsidRPr="00DE5294">
              <w:rPr>
                <w:sz w:val="20"/>
                <w:szCs w:val="20"/>
              </w:rPr>
              <w:t xml:space="preserve"> opatren</w:t>
            </w:r>
            <w:r w:rsidRPr="00DE5294">
              <w:rPr>
                <w:sz w:val="20"/>
                <w:szCs w:val="20"/>
              </w:rPr>
              <w:t>ia</w:t>
            </w:r>
            <w:r w:rsidR="000C67CE" w:rsidRPr="00DE5294">
              <w:rPr>
                <w:sz w:val="20"/>
                <w:szCs w:val="20"/>
              </w:rPr>
              <w:t xml:space="preserve">, ktoré súvisia s úrovňami ochrany 2., 3. alebo 4. stupňa  pri práci s biologickými faktormi, </w:t>
            </w:r>
            <w:r w:rsidRPr="00DE5294">
              <w:rPr>
                <w:sz w:val="20"/>
                <w:szCs w:val="20"/>
              </w:rPr>
              <w:t>čím sa môž</w:t>
            </w:r>
            <w:r w:rsidR="00E06736" w:rsidRPr="00DE5294">
              <w:rPr>
                <w:sz w:val="20"/>
                <w:szCs w:val="20"/>
              </w:rPr>
              <w:t>u</w:t>
            </w:r>
            <w:r w:rsidRPr="00DE5294">
              <w:rPr>
                <w:sz w:val="20"/>
                <w:szCs w:val="20"/>
              </w:rPr>
              <w:t xml:space="preserve"> zvýšiť </w:t>
            </w:r>
            <w:r w:rsidR="0006329F" w:rsidRPr="00DE5294">
              <w:rPr>
                <w:sz w:val="20"/>
                <w:szCs w:val="20"/>
              </w:rPr>
              <w:t xml:space="preserve">ich </w:t>
            </w:r>
            <w:r w:rsidRPr="00DE5294">
              <w:rPr>
                <w:sz w:val="20"/>
                <w:szCs w:val="20"/>
              </w:rPr>
              <w:t xml:space="preserve">finančné </w:t>
            </w:r>
            <w:r w:rsidR="00E06736" w:rsidRPr="00DE5294">
              <w:rPr>
                <w:sz w:val="20"/>
                <w:szCs w:val="20"/>
              </w:rPr>
              <w:t>náklady</w:t>
            </w:r>
            <w:r w:rsidR="000C67CE" w:rsidRPr="00DE5294">
              <w:rPr>
                <w:sz w:val="20"/>
                <w:szCs w:val="20"/>
              </w:rPr>
              <w:t xml:space="preserve">. </w:t>
            </w:r>
          </w:p>
          <w:p w:rsidR="00A9380A" w:rsidRPr="00DE5294" w:rsidRDefault="00A9380A" w:rsidP="00E64E97">
            <w:pPr>
              <w:jc w:val="both"/>
            </w:pPr>
            <w:r w:rsidRPr="00DE5294">
              <w:t>Dotknutými subjektmi pre negatívny vplyv na podnikateľské prostredie sú podnikateľské subjekty, ktoré budú musieť doplniť potrebné ochranné opatrenia súvisiace s úrovňami ochrany 2., 3. alebo 4. stupňa pri práci s biologickými faktormi na pracoviskách, na ktorých sa pri práci používajú biologické faktory</w:t>
            </w:r>
            <w:r w:rsidR="0006329F" w:rsidRPr="00DE5294">
              <w:t>, a to podľa príloh č. 5 a 6 návrhu nariadenia vlády</w:t>
            </w:r>
            <w:r w:rsidRPr="00DE5294">
              <w:t>.</w:t>
            </w:r>
          </w:p>
          <w:p w:rsidR="00221EE9" w:rsidRPr="00DE5294" w:rsidRDefault="00221EE9" w:rsidP="00E64E97">
            <w:pPr>
              <w:jc w:val="both"/>
            </w:pPr>
            <w:r w:rsidRPr="00DE5294">
              <w:t>Počet podnikateľských subjektov, ktorým vzniknú finančné náklady v súvislosti s revidovaním (prehodnotením) existujúcich ochranných opatrení na zníženie rizika nákazy pri práci v zmysle príloh č. 5 a 6 návrhu nariadenia vlády a s tým súvisiacim doplnením ochranných opatrení na pracoviskách v zdravotníckych zariadeniach, zariadeniach veterinárnej starostlivosti, laboratóriách, miestnostiach pre pokusné zvieratá a pri priemyselných procesoch, pri ktorých sa používajú biologické faktory, nie je možné odhadnúť.</w:t>
            </w:r>
          </w:p>
          <w:p w:rsidR="009061F3" w:rsidRPr="00DE5294" w:rsidRDefault="009061F3" w:rsidP="00E64E97">
            <w:pPr>
              <w:jc w:val="both"/>
            </w:pPr>
          </w:p>
          <w:p w:rsidR="009061F3" w:rsidRPr="00DE5294" w:rsidRDefault="00E06736" w:rsidP="0094107F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 xml:space="preserve">Návrh nariadenia vlády </w:t>
            </w:r>
            <w:r w:rsidR="009061F3" w:rsidRPr="00DE5294">
              <w:rPr>
                <w:sz w:val="20"/>
                <w:szCs w:val="20"/>
              </w:rPr>
              <w:t>súvis</w:t>
            </w:r>
            <w:r w:rsidR="00423ABF" w:rsidRPr="00DE5294">
              <w:rPr>
                <w:sz w:val="20"/>
                <w:szCs w:val="20"/>
              </w:rPr>
              <w:t>í</w:t>
            </w:r>
            <w:r w:rsidR="009061F3" w:rsidRPr="00DE5294">
              <w:rPr>
                <w:sz w:val="20"/>
                <w:szCs w:val="20"/>
              </w:rPr>
              <w:t xml:space="preserve"> so zabezpečením lepšej a účinnejšej ochrany zdravia zamestnancov pri práci s biologickými faktormi najmä tým, že sa aktualizuje zoznam biologických faktorov klasifikovaných do skupín podľa úrovne rizika infekcie u ľudí a aktualizujú sa aj ochranné opatrenia pri práci, pričom </w:t>
            </w:r>
            <w:r w:rsidR="00B4581F" w:rsidRPr="00DE5294">
              <w:rPr>
                <w:sz w:val="20"/>
                <w:szCs w:val="20"/>
              </w:rPr>
              <w:t xml:space="preserve">sa </w:t>
            </w:r>
            <w:r w:rsidR="009061F3" w:rsidRPr="00DE5294">
              <w:rPr>
                <w:sz w:val="20"/>
                <w:szCs w:val="20"/>
              </w:rPr>
              <w:t>zohľadňuj</w:t>
            </w:r>
            <w:r w:rsidR="00B4581F" w:rsidRPr="00DE5294">
              <w:rPr>
                <w:sz w:val="20"/>
                <w:szCs w:val="20"/>
              </w:rPr>
              <w:t>e</w:t>
            </w:r>
            <w:r w:rsidR="009061F3" w:rsidRPr="00DE5294">
              <w:rPr>
                <w:sz w:val="20"/>
                <w:szCs w:val="20"/>
              </w:rPr>
              <w:t xml:space="preserve"> najnovší stav vedomostí </w:t>
            </w:r>
            <w:r w:rsidRPr="00DE5294">
              <w:rPr>
                <w:sz w:val="20"/>
                <w:szCs w:val="20"/>
              </w:rPr>
              <w:t>a</w:t>
            </w:r>
            <w:r w:rsidR="009061F3" w:rsidRPr="00DE5294">
              <w:rPr>
                <w:sz w:val="20"/>
                <w:szCs w:val="20"/>
              </w:rPr>
              <w:t xml:space="preserve"> vedecký vývoj v tejto oblasti. </w:t>
            </w:r>
          </w:p>
          <w:p w:rsidR="006C44ED" w:rsidRPr="00DE5294" w:rsidRDefault="006C44ED" w:rsidP="00E64E97">
            <w:pPr>
              <w:jc w:val="both"/>
            </w:pP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nil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Alternatívne riešenia</w:t>
            </w:r>
          </w:p>
        </w:tc>
      </w:tr>
      <w:tr w:rsidR="003501A1" w:rsidRPr="00DE5294" w:rsidTr="00D13B6F">
        <w:trPr>
          <w:trHeight w:val="709"/>
        </w:trPr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8839E1" w:rsidRPr="00DE5294" w:rsidRDefault="008839E1" w:rsidP="009F4ECC">
            <w:pPr>
              <w:jc w:val="both"/>
            </w:pPr>
            <w:r w:rsidRPr="00DE5294">
              <w:t>Predkladateľ nepozná alternatívne riešenia.</w:t>
            </w:r>
          </w:p>
          <w:p w:rsidR="00383748" w:rsidRPr="00DE5294" w:rsidRDefault="008839E1" w:rsidP="00383748">
            <w:pPr>
              <w:jc w:val="both"/>
            </w:pPr>
            <w:r w:rsidRPr="00DE5294">
              <w:t xml:space="preserve">Pri nulovom variante, teda ponechaní súčasného stavu, by nastal nesúlad </w:t>
            </w:r>
            <w:r w:rsidR="00E06736" w:rsidRPr="00DE5294">
              <w:t xml:space="preserve">s požiadavkami smerníc </w:t>
            </w:r>
            <w:r w:rsidR="00B4581F" w:rsidRPr="00DE5294">
              <w:t>Komisie (</w:t>
            </w:r>
            <w:r w:rsidR="00E06736" w:rsidRPr="00DE5294">
              <w:t>EÚ</w:t>
            </w:r>
            <w:r w:rsidR="00B4581F" w:rsidRPr="00DE5294">
              <w:t>)</w:t>
            </w:r>
            <w:r w:rsidR="009C5A6C" w:rsidRPr="00DE5294">
              <w:t>, týkajúcimi sa ochrany zdravia zamestnancov pri práci s expozíciou biologickým faktorom. Ďalej by nastal</w:t>
            </w:r>
            <w:r w:rsidR="00E06736" w:rsidRPr="00DE5294">
              <w:t> nesúlad so súvisiacimi právnymi predpismi (zákon č. 355/2007 Z. z. a osobitn</w:t>
            </w:r>
            <w:r w:rsidR="00B4581F" w:rsidRPr="00DE5294">
              <w:t>é</w:t>
            </w:r>
            <w:r w:rsidR="00E06736" w:rsidRPr="00DE5294">
              <w:t xml:space="preserve"> predpis</w:t>
            </w:r>
            <w:r w:rsidR="00B4581F" w:rsidRPr="00DE5294">
              <w:t>y</w:t>
            </w:r>
            <w:r w:rsidR="00E06736" w:rsidRPr="00DE5294">
              <w:t xml:space="preserve">, ktoré upravujú </w:t>
            </w:r>
            <w:r w:rsidR="00E06736" w:rsidRPr="00DE5294">
              <w:lastRenderedPageBreak/>
              <w:t xml:space="preserve">ochranu zdravia zamestnancov pri expozícii rôznym </w:t>
            </w:r>
            <w:r w:rsidR="00B4581F" w:rsidRPr="00DE5294">
              <w:t xml:space="preserve">zdraviu škodlivým </w:t>
            </w:r>
            <w:r w:rsidR="00E06736" w:rsidRPr="00DE5294">
              <w:t>faktorom práce a pracov</w:t>
            </w:r>
            <w:r w:rsidR="00383748" w:rsidRPr="00DE5294">
              <w:t xml:space="preserve">ného prostredia) z dôvodu, že </w:t>
            </w:r>
            <w:r w:rsidRPr="00DE5294">
              <w:t>zamestnávateľ</w:t>
            </w:r>
            <w:r w:rsidR="00383748" w:rsidRPr="00DE5294">
              <w:t xml:space="preserve"> by bol povinný naďalej</w:t>
            </w:r>
            <w:r w:rsidRPr="00DE5294">
              <w:t xml:space="preserve"> </w:t>
            </w:r>
            <w:r w:rsidR="00C02EA9" w:rsidRPr="00DE5294">
              <w:t xml:space="preserve">predkladať </w:t>
            </w:r>
            <w:r w:rsidR="00545605" w:rsidRPr="00DE5294">
              <w:t xml:space="preserve">orgánu verejného zdravotníctva </w:t>
            </w:r>
            <w:r w:rsidR="00C02EA9" w:rsidRPr="00DE5294">
              <w:t xml:space="preserve">na posúdenie prevádzkový poriadok </w:t>
            </w:r>
            <w:r w:rsidR="00383748" w:rsidRPr="00DE5294">
              <w:t xml:space="preserve">len na pracoviskách, na ktorých sú zamestnanci exponovaní biologickým faktorom, pričom </w:t>
            </w:r>
            <w:r w:rsidR="00C02EA9" w:rsidRPr="00DE5294">
              <w:t>na</w:t>
            </w:r>
            <w:r w:rsidR="00383748" w:rsidRPr="00DE5294">
              <w:t xml:space="preserve"> </w:t>
            </w:r>
            <w:r w:rsidR="00C02EA9" w:rsidRPr="00DE5294">
              <w:t xml:space="preserve">pracoviskách, na ktorých sú zamestnanci exponovaní </w:t>
            </w:r>
            <w:r w:rsidR="00383748" w:rsidRPr="00DE5294">
              <w:t>iným</w:t>
            </w:r>
            <w:r w:rsidR="00C02EA9" w:rsidRPr="00DE5294">
              <w:t xml:space="preserve"> faktorom práce a pracovného prostredia</w:t>
            </w:r>
            <w:r w:rsidR="00383748" w:rsidRPr="00DE5294">
              <w:t xml:space="preserve"> (napr. hluku, vibráciám, umelému optickému žiareniu, nebezpečným chemickým faktorom, záťaži teplom alebo chladom</w:t>
            </w:r>
            <w:r w:rsidR="00545605" w:rsidRPr="00DE5294">
              <w:t xml:space="preserve"> a iným faktorom</w:t>
            </w:r>
            <w:r w:rsidR="00383748" w:rsidRPr="00DE5294">
              <w:t>)  zamestnávateľ takúto povinnosť</w:t>
            </w:r>
            <w:r w:rsidR="009C5A6C" w:rsidRPr="00DE5294">
              <w:t xml:space="preserve"> </w:t>
            </w:r>
            <w:r w:rsidR="00383748" w:rsidRPr="00DE5294">
              <w:t>nemá.</w:t>
            </w:r>
            <w:r w:rsidR="00C02EA9" w:rsidRPr="00DE5294">
              <w:t xml:space="preserve"> </w:t>
            </w:r>
          </w:p>
          <w:p w:rsidR="00383748" w:rsidRPr="00DE5294" w:rsidRDefault="00383748" w:rsidP="00383748">
            <w:pPr>
              <w:jc w:val="both"/>
            </w:pPr>
          </w:p>
          <w:p w:rsidR="006447E2" w:rsidRPr="00DE5294" w:rsidRDefault="00967149" w:rsidP="00383748">
            <w:pPr>
              <w:jc w:val="both"/>
              <w:rPr>
                <w:bCs/>
              </w:rPr>
            </w:pPr>
            <w:r w:rsidRPr="00DE5294">
              <w:rPr>
                <w:bCs/>
              </w:rPr>
              <w:t xml:space="preserve">Cieľom je, aby prevádzkové poriadky z hľadiska ochrany a podpory zdravia zamestnancov, ktorých vypracovanie </w:t>
            </w:r>
            <w:r w:rsidR="009C5A6C" w:rsidRPr="00DE5294">
              <w:rPr>
                <w:bCs/>
              </w:rPr>
              <w:t xml:space="preserve">ako povinnosť zamestnávateľa </w:t>
            </w:r>
            <w:r w:rsidRPr="00DE5294">
              <w:rPr>
                <w:bCs/>
              </w:rPr>
              <w:t xml:space="preserve">upravuje </w:t>
            </w:r>
            <w:r w:rsidR="009C5A6C" w:rsidRPr="00DE5294">
              <w:rPr>
                <w:bCs/>
              </w:rPr>
              <w:t xml:space="preserve">v § 30 ods. 1 písm. i) zákon </w:t>
            </w:r>
            <w:r w:rsidRPr="00DE5294">
              <w:rPr>
                <w:bCs/>
              </w:rPr>
              <w:t>č. 355/2007 Z. z. alebo osobitné predpisy</w:t>
            </w:r>
            <w:r w:rsidR="009C5A6C" w:rsidRPr="00DE5294">
              <w:rPr>
                <w:bCs/>
              </w:rPr>
              <w:t>,</w:t>
            </w:r>
            <w:r w:rsidRPr="00DE5294">
              <w:rPr>
                <w:bCs/>
              </w:rPr>
              <w:t xml:space="preserve"> nepodliehali posúdeniu  </w:t>
            </w:r>
            <w:r w:rsidRPr="00DE5294">
              <w:t xml:space="preserve">orgánom verejného zdravotníctva podľa </w:t>
            </w:r>
            <w:r w:rsidRPr="00DE5294">
              <w:rPr>
                <w:bCs/>
              </w:rPr>
              <w:t>zákona č. 355/2007 Z. z.</w:t>
            </w:r>
            <w:r w:rsidR="00383748" w:rsidRPr="00DE5294">
              <w:rPr>
                <w:bCs/>
              </w:rPr>
              <w:t xml:space="preserve"> na všetkých pracoviskách.</w:t>
            </w:r>
          </w:p>
          <w:p w:rsidR="009C5A6C" w:rsidRPr="00DE5294" w:rsidRDefault="009C5A6C" w:rsidP="00383748">
            <w:pPr>
              <w:jc w:val="both"/>
            </w:pP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Vykonávacie predpisy</w:t>
            </w:r>
          </w:p>
        </w:tc>
      </w:tr>
      <w:tr w:rsidR="003501A1" w:rsidRPr="00DE5294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FFFFFF" w:themeFill="background1"/>
          </w:tcPr>
          <w:p w:rsidR="003501A1" w:rsidRPr="00DE5294" w:rsidRDefault="003501A1" w:rsidP="008D26FA">
            <w:pPr>
              <w:rPr>
                <w:i/>
              </w:rPr>
            </w:pPr>
            <w:r w:rsidRPr="00DE5294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DE5294" w:rsidRDefault="00D13B6F" w:rsidP="008D26FA">
            <w:pPr>
              <w:jc w:val="center"/>
            </w:pPr>
            <w:r w:rsidRPr="00DE5294">
              <w:rPr>
                <w:rFonts w:ascii="MS Gothic" w:eastAsia="MS Gothic" w:hAnsi="MS Gothic" w:hint="eastAsia"/>
              </w:rPr>
              <w:t>☐</w:t>
            </w:r>
            <w:r w:rsidR="003501A1" w:rsidRPr="00DE5294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:rsidR="003501A1" w:rsidRPr="00DE5294" w:rsidRDefault="00F972A5" w:rsidP="008D26FA">
            <w:pPr>
              <w:jc w:val="center"/>
            </w:pPr>
            <w:r w:rsidRPr="00DE5294">
              <w:rPr>
                <w:rFonts w:ascii="MS Gothic" w:eastAsia="MS Gothic" w:hint="eastAsia"/>
              </w:rPr>
              <w:t>☒</w:t>
            </w:r>
            <w:r w:rsidR="003501A1" w:rsidRPr="00DE5294">
              <w:t xml:space="preserve">  Nie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top w:val="nil"/>
            </w:tcBorders>
            <w:shd w:val="clear" w:color="auto" w:fill="FFFFFF" w:themeFill="background1"/>
          </w:tcPr>
          <w:p w:rsidR="003501A1" w:rsidRPr="00DE5294" w:rsidRDefault="003501A1" w:rsidP="008D26FA">
            <w:pPr>
              <w:rPr>
                <w:i/>
              </w:rPr>
            </w:pPr>
            <w:r w:rsidRPr="00DE5294">
              <w:rPr>
                <w:i/>
              </w:rPr>
              <w:t>Ak áno, uveďte ktoré oblasti budú nimi upravené, resp. ktorých vykonávací</w:t>
            </w:r>
            <w:r w:rsidR="00495292" w:rsidRPr="00DE5294">
              <w:rPr>
                <w:i/>
              </w:rPr>
              <w:t>ch predpisov sa zmena dotkne:</w:t>
            </w:r>
          </w:p>
          <w:p w:rsidR="006C44ED" w:rsidRPr="00DE5294" w:rsidRDefault="006C44ED" w:rsidP="008D26FA">
            <w:pPr>
              <w:rPr>
                <w:i/>
              </w:rPr>
            </w:pP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 xml:space="preserve">Transpozícia práva EÚ </w:t>
            </w:r>
          </w:p>
        </w:tc>
      </w:tr>
      <w:tr w:rsidR="003501A1" w:rsidRPr="00DE5294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:rsidR="00967149" w:rsidRPr="00DE5294" w:rsidRDefault="00967149" w:rsidP="00967149">
            <w:pPr>
              <w:pStyle w:val="Default"/>
              <w:ind w:firstLine="720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 xml:space="preserve">Návrhom nariadenia vlády sa do právneho poriadku Slovenskej republiky preberajú dve smernice Komisie (EÚ), a to smernica  Komisie (EÚ) 2019/1833 z 24. októbra 2019, ktorou sa menia prílohy I, III, V a VI k smernici Európskeho parlamentu a Rady 2000/54/ES, pokiaľ ide o výlučne technické úpravy a smernica Komisie (EÚ) 2020/739 z 3. júna 2020, ktorou sa mení príloha  III k smernici Európskeho parlamentu a Rady 2000/54/ES, pokiaľ ide o zaradenie vírusu SARS-CoV-2 do zoznamu biologických činiteľov, o ktorých sa vie, že spôsobujú infekciu u ľudí, a ktorou sa mení smernica  Komisie (EÚ) 2019/1833. </w:t>
            </w:r>
          </w:p>
          <w:p w:rsidR="003744C1" w:rsidRPr="00DE5294" w:rsidRDefault="003744C1" w:rsidP="00967149">
            <w:pPr>
              <w:pStyle w:val="Default"/>
              <w:ind w:firstLine="720"/>
              <w:jc w:val="both"/>
              <w:rPr>
                <w:sz w:val="20"/>
                <w:szCs w:val="20"/>
              </w:rPr>
            </w:pPr>
            <w:r w:rsidRPr="00DE5294">
              <w:rPr>
                <w:sz w:val="20"/>
                <w:szCs w:val="20"/>
              </w:rPr>
              <w:t xml:space="preserve">Návrh nariadenia vlády nejde nad rámec minimálnej transpozičnej povinnosti vyplývajúcej z prebratia uvedených smerníc Komisie (EÚ) do právneho predpisu Slovenskej republiky; efekt </w:t>
            </w:r>
            <w:proofErr w:type="spellStart"/>
            <w:r w:rsidRPr="00DE5294">
              <w:rPr>
                <w:sz w:val="20"/>
                <w:szCs w:val="20"/>
              </w:rPr>
              <w:t>gold-platingu</w:t>
            </w:r>
            <w:proofErr w:type="spellEnd"/>
            <w:r w:rsidRPr="00DE5294">
              <w:rPr>
                <w:sz w:val="20"/>
                <w:szCs w:val="20"/>
              </w:rPr>
              <w:t xml:space="preserve"> sa neuplatňuje. </w:t>
            </w:r>
          </w:p>
          <w:p w:rsidR="00967149" w:rsidRPr="00DE5294" w:rsidRDefault="00967149" w:rsidP="00830260">
            <w:pPr>
              <w:jc w:val="both"/>
            </w:pP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Preskúmanie účelnosti</w:t>
            </w:r>
            <w:r w:rsidR="00F62771" w:rsidRPr="00DE5294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</w:tr>
      <w:tr w:rsidR="003501A1" w:rsidRPr="00DE5294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DE5294" w:rsidRDefault="003501A1" w:rsidP="00F972A5">
            <w:pPr>
              <w:rPr>
                <w:i/>
              </w:rPr>
            </w:pPr>
          </w:p>
        </w:tc>
      </w:tr>
      <w:tr w:rsidR="003501A1" w:rsidRPr="00DE5294" w:rsidTr="004C60B8">
        <w:trPr>
          <w:trHeight w:val="715"/>
        </w:trPr>
        <w:tc>
          <w:tcPr>
            <w:tcW w:w="9180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F62771" w:rsidRPr="00DE5294" w:rsidRDefault="00F62771" w:rsidP="004C60B8">
            <w:pPr>
              <w:ind w:left="142" w:hanging="142"/>
            </w:pPr>
            <w:r w:rsidRPr="00DE5294">
              <w:t xml:space="preserve">* </w:t>
            </w:r>
            <w:r w:rsidR="004C60B8" w:rsidRPr="00DE5294">
              <w:t>vyplniť iba v prípade, ak</w:t>
            </w:r>
            <w:r w:rsidRPr="00DE5294">
              <w:t xml:space="preserve"> </w:t>
            </w:r>
            <w:r w:rsidR="004C60B8" w:rsidRPr="00DE5294">
              <w:t xml:space="preserve">materiál </w:t>
            </w:r>
            <w:r w:rsidRPr="00DE5294">
              <w:t xml:space="preserve">nie je </w:t>
            </w:r>
            <w:r w:rsidR="004C60B8" w:rsidRPr="00DE5294">
              <w:t>zahrnutý do Plánu práce vlády Slovenskej republiky alebo Plánu        legislatívnych úloh vlády Slovenskej republiky.</w:t>
            </w:r>
            <w:r w:rsidRPr="00DE5294">
              <w:t xml:space="preserve"> </w:t>
            </w:r>
          </w:p>
          <w:p w:rsidR="003501A1" w:rsidRPr="00DE5294" w:rsidRDefault="00F62771" w:rsidP="00F22831">
            <w:r w:rsidRPr="00DE5294">
              <w:t>*</w:t>
            </w:r>
            <w:r w:rsidR="00F22831" w:rsidRPr="00DE5294">
              <w:t>* nepovinné</w:t>
            </w:r>
          </w:p>
        </w:tc>
      </w:tr>
      <w:tr w:rsidR="003501A1" w:rsidRPr="00DE5294" w:rsidTr="004F6F1F">
        <w:tc>
          <w:tcPr>
            <w:tcW w:w="9180" w:type="dxa"/>
            <w:gridSpan w:val="1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501A1" w:rsidRPr="00DE5294" w:rsidRDefault="003501A1" w:rsidP="003501A1">
            <w:pPr>
              <w:rPr>
                <w:b/>
              </w:rPr>
            </w:pPr>
          </w:p>
        </w:tc>
      </w:tr>
      <w:tr w:rsidR="003501A1" w:rsidRPr="00DE5294" w:rsidTr="004F6F1F">
        <w:trPr>
          <w:trHeight w:val="577"/>
        </w:trPr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DE5294">
              <w:rPr>
                <w:rFonts w:ascii="Times New Roman" w:hAnsi="Times New Roman"/>
                <w:b/>
                <w:sz w:val="20"/>
                <w:szCs w:val="20"/>
              </w:rPr>
              <w:t>Vplyvy navrhovaného materiálu</w:t>
            </w:r>
          </w:p>
        </w:tc>
      </w:tr>
      <w:tr w:rsidR="003501A1" w:rsidRPr="00DE5294" w:rsidTr="004F6F1F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DE5294" w:rsidRDefault="00B252A6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830260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830260" w:rsidP="008D26FA">
            <w:pPr>
              <w:ind w:left="-107" w:right="-108"/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3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3501A1" w:rsidRPr="00DE5294" w:rsidTr="004F6F1F">
        <w:tc>
          <w:tcPr>
            <w:tcW w:w="3812" w:type="dxa"/>
            <w:tcBorders>
              <w:top w:val="nil"/>
              <w:bottom w:val="single" w:sz="4" w:space="0" w:color="000000" w:themeColor="text1"/>
            </w:tcBorders>
            <w:shd w:val="clear" w:color="auto" w:fill="E2E2E2"/>
          </w:tcPr>
          <w:p w:rsidR="003501A1" w:rsidRPr="00DE5294" w:rsidRDefault="003501A1" w:rsidP="008D26FA">
            <w:r w:rsidRPr="00DE5294"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DE5294" w:rsidRDefault="005D5EB1" w:rsidP="008D26FA">
            <w:pPr>
              <w:jc w:val="center"/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r w:rsidRPr="00DE5294">
              <w:t>Áno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B637D7" w:rsidP="008D26FA">
            <w:pPr>
              <w:jc w:val="center"/>
            </w:pPr>
            <w:r w:rsidRPr="00DE5294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r w:rsidRPr="00DE5294">
              <w:t>Nie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5D5EB1" w:rsidP="008D26FA">
            <w:pPr>
              <w:ind w:left="-107" w:right="-108"/>
              <w:jc w:val="center"/>
            </w:pPr>
            <w:r w:rsidRPr="00DE5294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34"/>
            </w:pPr>
            <w:r w:rsidRPr="00DE5294">
              <w:t>Čiastočne</w:t>
            </w:r>
          </w:p>
        </w:tc>
      </w:tr>
      <w:tr w:rsidR="003501A1" w:rsidRPr="00DE5294" w:rsidTr="004F6F1F">
        <w:tc>
          <w:tcPr>
            <w:tcW w:w="3812" w:type="dxa"/>
            <w:tcBorders>
              <w:top w:val="single" w:sz="4" w:space="0" w:color="000000" w:themeColor="text1"/>
              <w:bottom w:val="nil"/>
            </w:tcBorders>
            <w:shd w:val="clear" w:color="auto" w:fill="E2E2E2"/>
          </w:tcPr>
          <w:p w:rsidR="003501A1" w:rsidRPr="00DE5294" w:rsidRDefault="003501A1" w:rsidP="004C794A">
            <w:pPr>
              <w:rPr>
                <w:b/>
              </w:rPr>
            </w:pPr>
            <w:r w:rsidRPr="00DE5294">
              <w:rPr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DE5294" w:rsidRDefault="00830260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273926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383748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3501A1" w:rsidRPr="00DE5294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DE5294" w:rsidRDefault="003501A1" w:rsidP="008D26FA">
            <w:r w:rsidRPr="00DE5294"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left w:val="single" w:sz="4" w:space="0" w:color="000000" w:themeColor="text1"/>
              <w:right w:val="nil"/>
            </w:tcBorders>
          </w:tcPr>
          <w:p w:rsidR="003501A1" w:rsidRPr="00DE5294" w:rsidRDefault="00830260" w:rsidP="008D26FA">
            <w:pPr>
              <w:jc w:val="center"/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ind w:right="-108"/>
            </w:pPr>
            <w:r w:rsidRPr="00DE5294"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830260" w:rsidP="008D26FA">
            <w:pPr>
              <w:jc w:val="center"/>
            </w:pPr>
            <w:r w:rsidRPr="00DE529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r w:rsidRPr="00DE5294"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3336EE" w:rsidP="008D26FA">
            <w:pPr>
              <w:jc w:val="center"/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54"/>
            </w:pPr>
            <w:r w:rsidRPr="00DE5294">
              <w:t>Negatívne</w:t>
            </w:r>
          </w:p>
        </w:tc>
      </w:tr>
      <w:tr w:rsidR="003501A1" w:rsidRPr="00DE5294" w:rsidTr="004F6F1F">
        <w:tc>
          <w:tcPr>
            <w:tcW w:w="3812" w:type="dxa"/>
            <w:tcBorders>
              <w:top w:val="single" w:sz="4" w:space="0" w:color="000000" w:themeColor="text1"/>
            </w:tcBorders>
            <w:shd w:val="clear" w:color="auto" w:fill="E2E2E2"/>
          </w:tcPr>
          <w:p w:rsidR="003501A1" w:rsidRPr="00DE5294" w:rsidRDefault="003501A1" w:rsidP="004C794A">
            <w:pPr>
              <w:rPr>
                <w:b/>
              </w:rPr>
            </w:pPr>
            <w:r w:rsidRPr="00DE5294">
              <w:rPr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DE5294" w:rsidRDefault="00423ABF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423ABF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A13D26" w:rsidP="008D26FA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3501A1" w:rsidRPr="00DE5294" w:rsidTr="004F6F1F">
        <w:tc>
          <w:tcPr>
            <w:tcW w:w="3812" w:type="dxa"/>
            <w:shd w:val="clear" w:color="auto" w:fill="E2E2E2"/>
          </w:tcPr>
          <w:p w:rsidR="003501A1" w:rsidRPr="00DE5294" w:rsidRDefault="003501A1" w:rsidP="004C794A">
            <w:pPr>
              <w:rPr>
                <w:b/>
              </w:rPr>
            </w:pPr>
            <w:r w:rsidRPr="00DE5294">
              <w:rPr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DE5294" w:rsidRDefault="003501A1" w:rsidP="008D26FA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68775B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3501A1" w:rsidRPr="00DE5294" w:rsidTr="00713823">
        <w:tc>
          <w:tcPr>
            <w:tcW w:w="3812" w:type="dxa"/>
            <w:shd w:val="clear" w:color="auto" w:fill="E2E2E2"/>
          </w:tcPr>
          <w:p w:rsidR="003501A1" w:rsidRPr="00DE5294" w:rsidRDefault="003501A1" w:rsidP="004C794A">
            <w:pPr>
              <w:rPr>
                <w:b/>
              </w:rPr>
            </w:pPr>
            <w:r w:rsidRPr="00DE5294">
              <w:rPr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3501A1" w:rsidRPr="00DE5294" w:rsidRDefault="003501A1" w:rsidP="008D26FA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501A1" w:rsidRPr="00DE5294" w:rsidRDefault="00E64E97" w:rsidP="008D26FA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3501A1" w:rsidRPr="00DE5294" w:rsidRDefault="003501A1" w:rsidP="008D26FA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3501A1" w:rsidRPr="00DE5294" w:rsidRDefault="003501A1" w:rsidP="008D26FA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713823" w:rsidRPr="00DE5294" w:rsidTr="00713823">
        <w:tc>
          <w:tcPr>
            <w:tcW w:w="3812" w:type="dxa"/>
            <w:tcBorders>
              <w:bottom w:val="nil"/>
            </w:tcBorders>
            <w:shd w:val="clear" w:color="auto" w:fill="E2E2E2"/>
          </w:tcPr>
          <w:p w:rsidR="00713823" w:rsidRPr="00DE5294" w:rsidRDefault="00713823" w:rsidP="008D4FC5">
            <w:pPr>
              <w:rPr>
                <w:b/>
              </w:rPr>
            </w:pPr>
            <w:r w:rsidRPr="00DE5294">
              <w:rPr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gridSpan w:val="2"/>
            <w:tcBorders>
              <w:bottom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rPr>
                <w:b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left w:val="nil"/>
              <w:bottom w:val="nil"/>
            </w:tcBorders>
          </w:tcPr>
          <w:p w:rsidR="00713823" w:rsidRPr="00DE5294" w:rsidRDefault="00713823" w:rsidP="008D4FC5">
            <w:pPr>
              <w:ind w:left="54"/>
              <w:rPr>
                <w:b/>
              </w:rPr>
            </w:pPr>
          </w:p>
        </w:tc>
      </w:tr>
      <w:tr w:rsidR="00713823" w:rsidRPr="00DE5294" w:rsidTr="00713823">
        <w:tc>
          <w:tcPr>
            <w:tcW w:w="3812" w:type="dxa"/>
            <w:tcBorders>
              <w:top w:val="nil"/>
              <w:bottom w:val="nil"/>
            </w:tcBorders>
            <w:shd w:val="clear" w:color="auto" w:fill="E2E2E2"/>
          </w:tcPr>
          <w:p w:rsidR="00713823" w:rsidRPr="00DE5294" w:rsidRDefault="00713823" w:rsidP="008D4FC5">
            <w:pPr>
              <w:ind w:left="196" w:hanging="196"/>
              <w:rPr>
                <w:b/>
                <w:lang w:eastAsia="en-US"/>
              </w:rPr>
            </w:pPr>
            <w:r w:rsidRPr="00DE5294">
              <w:rPr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gridSpan w:val="2"/>
            <w:tcBorders>
              <w:top w:val="nil"/>
              <w:bottom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713823" w:rsidRPr="00DE5294" w:rsidRDefault="0068775B" w:rsidP="008D4FC5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</w:tcBorders>
          </w:tcPr>
          <w:p w:rsidR="00713823" w:rsidRPr="00DE5294" w:rsidRDefault="00713823" w:rsidP="008D4FC5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713823" w:rsidRPr="00DE5294" w:rsidTr="00B54D8D">
        <w:tc>
          <w:tcPr>
            <w:tcW w:w="3812" w:type="dxa"/>
            <w:tcBorders>
              <w:top w:val="nil"/>
            </w:tcBorders>
            <w:shd w:val="clear" w:color="auto" w:fill="E2E2E2"/>
          </w:tcPr>
          <w:p w:rsidR="00713823" w:rsidRPr="00DE5294" w:rsidRDefault="00713823" w:rsidP="008D4FC5">
            <w:pPr>
              <w:ind w:left="168" w:hanging="168"/>
              <w:rPr>
                <w:b/>
                <w:lang w:eastAsia="en-US"/>
              </w:rPr>
            </w:pPr>
            <w:r w:rsidRPr="00DE5294">
              <w:rPr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gridSpan w:val="2"/>
            <w:tcBorders>
              <w:top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right w:val="nil"/>
            </w:tcBorders>
          </w:tcPr>
          <w:p w:rsidR="00713823" w:rsidRPr="00DE5294" w:rsidRDefault="00713823" w:rsidP="008D4FC5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right w:val="nil"/>
            </w:tcBorders>
          </w:tcPr>
          <w:p w:rsidR="00713823" w:rsidRPr="00DE5294" w:rsidRDefault="0068775B" w:rsidP="008D4FC5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:rsidR="00713823" w:rsidRPr="00DE5294" w:rsidRDefault="00713823" w:rsidP="008D4FC5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right w:val="nil"/>
            </w:tcBorders>
          </w:tcPr>
          <w:p w:rsidR="00713823" w:rsidRPr="00DE5294" w:rsidRDefault="00713823" w:rsidP="008D4FC5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</w:tcBorders>
          </w:tcPr>
          <w:p w:rsidR="00713823" w:rsidRPr="00DE5294" w:rsidRDefault="00713823" w:rsidP="008D4FC5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  <w:tr w:rsidR="00B54D8D" w:rsidRPr="00DE5294" w:rsidTr="00B54D8D">
        <w:tc>
          <w:tcPr>
            <w:tcW w:w="3812" w:type="dxa"/>
            <w:shd w:val="clear" w:color="auto" w:fill="E2E2E2"/>
          </w:tcPr>
          <w:p w:rsidR="00B54D8D" w:rsidRPr="00DE5294" w:rsidRDefault="00B54D8D" w:rsidP="00B54D8D">
            <w:pPr>
              <w:ind w:left="168" w:hanging="168"/>
              <w:rPr>
                <w:b/>
                <w:lang w:eastAsia="en-US"/>
              </w:rPr>
            </w:pPr>
            <w:r w:rsidRPr="00DE5294">
              <w:rPr>
                <w:b/>
                <w:lang w:eastAsia="en-US"/>
              </w:rPr>
              <w:t>Vplyvy na manželstvo, rodičovstvo a rodinu</w:t>
            </w:r>
          </w:p>
        </w:tc>
        <w:tc>
          <w:tcPr>
            <w:tcW w:w="541" w:type="dxa"/>
            <w:gridSpan w:val="2"/>
            <w:tcBorders>
              <w:right w:val="nil"/>
            </w:tcBorders>
          </w:tcPr>
          <w:p w:rsidR="00B54D8D" w:rsidRPr="00DE5294" w:rsidRDefault="00B54D8D" w:rsidP="00B54D8D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left w:val="nil"/>
              <w:right w:val="nil"/>
            </w:tcBorders>
          </w:tcPr>
          <w:p w:rsidR="00B54D8D" w:rsidRPr="00DE5294" w:rsidRDefault="00B54D8D" w:rsidP="00B54D8D">
            <w:pPr>
              <w:ind w:right="-108"/>
              <w:rPr>
                <w:b/>
              </w:rPr>
            </w:pPr>
            <w:r w:rsidRPr="00DE5294">
              <w:rPr>
                <w:b/>
              </w:rPr>
              <w:t>Pozitívne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B54D8D" w:rsidRPr="00DE5294" w:rsidRDefault="00B54D8D" w:rsidP="00B54D8D">
            <w:pPr>
              <w:jc w:val="center"/>
              <w:rPr>
                <w:b/>
              </w:rPr>
            </w:pPr>
            <w:r w:rsidRPr="00DE5294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B54D8D" w:rsidRPr="00DE5294" w:rsidRDefault="00B54D8D" w:rsidP="00B54D8D">
            <w:pPr>
              <w:rPr>
                <w:b/>
              </w:rPr>
            </w:pPr>
            <w:r w:rsidRPr="00DE5294">
              <w:rPr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</w:tcPr>
          <w:p w:rsidR="00B54D8D" w:rsidRPr="00DE5294" w:rsidRDefault="00B54D8D" w:rsidP="00B54D8D">
            <w:pPr>
              <w:jc w:val="center"/>
              <w:rPr>
                <w:b/>
              </w:rPr>
            </w:pPr>
            <w:r w:rsidRPr="00DE5294">
              <w:rPr>
                <w:rFonts w:ascii="Segoe UI Symbol" w:eastAsia="MS Mincho" w:hAnsi="Segoe UI Symbol" w:cs="Segoe UI Symbol"/>
                <w:b/>
              </w:rPr>
              <w:t>☐</w:t>
            </w:r>
          </w:p>
        </w:tc>
        <w:tc>
          <w:tcPr>
            <w:tcW w:w="1297" w:type="dxa"/>
            <w:tcBorders>
              <w:left w:val="nil"/>
            </w:tcBorders>
          </w:tcPr>
          <w:p w:rsidR="00B54D8D" w:rsidRPr="00DE5294" w:rsidRDefault="00B54D8D" w:rsidP="00B54D8D">
            <w:pPr>
              <w:ind w:left="54"/>
              <w:rPr>
                <w:b/>
              </w:rPr>
            </w:pPr>
            <w:r w:rsidRPr="00DE5294">
              <w:rPr>
                <w:b/>
              </w:rPr>
              <w:t>Negatívne</w:t>
            </w:r>
          </w:p>
        </w:tc>
      </w:tr>
    </w:tbl>
    <w:p w:rsidR="003501A1" w:rsidRPr="00DE5294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DE5294" w:rsidTr="004F6F1F">
        <w:tc>
          <w:tcPr>
            <w:tcW w:w="9176" w:type="dxa"/>
            <w:tcBorders>
              <w:bottom w:val="nil"/>
            </w:tcBorders>
            <w:shd w:val="clear" w:color="auto" w:fill="E2E2E2"/>
          </w:tcPr>
          <w:p w:rsidR="004F6F1F" w:rsidRPr="00DE5294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E5294">
              <w:rPr>
                <w:rFonts w:ascii="Times New Roman" w:hAnsi="Times New Roman"/>
                <w:b/>
              </w:rPr>
              <w:t>Poznámky</w:t>
            </w:r>
          </w:p>
        </w:tc>
      </w:tr>
      <w:tr w:rsidR="004F6F1F" w:rsidRPr="00DE5294" w:rsidTr="00851DE6">
        <w:trPr>
          <w:trHeight w:val="713"/>
        </w:trPr>
        <w:tc>
          <w:tcPr>
            <w:tcW w:w="9176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:rsidR="001C3397" w:rsidRPr="00DE5294" w:rsidRDefault="001C3397" w:rsidP="00326717">
            <w:pPr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Odhadom sa predpokladá, že ročne predložia podnikateľské subjekty na schválenie orgánom verejného zdravotníctva v</w:t>
            </w:r>
            <w:r w:rsidR="00383748" w:rsidRPr="00DE5294">
              <w:rPr>
                <w:sz w:val="22"/>
                <w:szCs w:val="22"/>
              </w:rPr>
              <w:t> </w:t>
            </w:r>
            <w:r w:rsidRPr="00DE5294">
              <w:rPr>
                <w:sz w:val="22"/>
                <w:szCs w:val="22"/>
              </w:rPr>
              <w:t>S</w:t>
            </w:r>
            <w:r w:rsidR="00383748" w:rsidRPr="00DE5294">
              <w:rPr>
                <w:sz w:val="22"/>
                <w:szCs w:val="22"/>
              </w:rPr>
              <w:t xml:space="preserve">lovenskej republike </w:t>
            </w:r>
            <w:r w:rsidRPr="00DE5294">
              <w:rPr>
                <w:sz w:val="22"/>
                <w:szCs w:val="22"/>
              </w:rPr>
              <w:t>cca 20</w:t>
            </w:r>
            <w:r w:rsidR="00383748" w:rsidRPr="00DE5294">
              <w:rPr>
                <w:sz w:val="22"/>
                <w:szCs w:val="22"/>
              </w:rPr>
              <w:t xml:space="preserve"> </w:t>
            </w:r>
            <w:r w:rsidRPr="00DE5294">
              <w:rPr>
                <w:sz w:val="22"/>
                <w:szCs w:val="22"/>
              </w:rPr>
              <w:t xml:space="preserve">prevádzkových poriadkov pre pracovné činnosti </w:t>
            </w:r>
            <w:r w:rsidR="00046D10" w:rsidRPr="00DE5294">
              <w:rPr>
                <w:sz w:val="22"/>
                <w:szCs w:val="22"/>
              </w:rPr>
              <w:t>s biologickými faktormi</w:t>
            </w:r>
            <w:r w:rsidRPr="00DE5294">
              <w:rPr>
                <w:sz w:val="22"/>
                <w:szCs w:val="22"/>
              </w:rPr>
              <w:t>. Správny poplatok za posudzovaciu činnosť orgánu verejného zdravotníctva je 50 eur za posúdenie prevádzkového poriadku</w:t>
            </w:r>
            <w:r w:rsidR="00A60BF7" w:rsidRPr="00DE5294">
              <w:rPr>
                <w:sz w:val="22"/>
                <w:szCs w:val="22"/>
              </w:rPr>
              <w:t xml:space="preserve"> (</w:t>
            </w:r>
            <w:r w:rsidR="00CB7BEA" w:rsidRPr="00DE5294">
              <w:rPr>
                <w:sz w:val="22"/>
                <w:szCs w:val="22"/>
              </w:rPr>
              <w:t>položka 150 písm. f) zákona č. 145/1995 Z. z. o správnych poplatkoch v znení neskorších predpisov</w:t>
            </w:r>
            <w:r w:rsidR="00A60BF7" w:rsidRPr="00DE5294">
              <w:rPr>
                <w:sz w:val="22"/>
                <w:szCs w:val="22"/>
              </w:rPr>
              <w:t>)</w:t>
            </w:r>
            <w:r w:rsidR="00171C03" w:rsidRPr="00DE5294">
              <w:rPr>
                <w:sz w:val="22"/>
                <w:szCs w:val="22"/>
              </w:rPr>
              <w:t>;</w:t>
            </w:r>
            <w:r w:rsidRPr="00DE5294">
              <w:rPr>
                <w:sz w:val="22"/>
                <w:szCs w:val="22"/>
              </w:rPr>
              <w:t xml:space="preserve"> teda ušetrené </w:t>
            </w:r>
            <w:r w:rsidR="009C5A6C" w:rsidRPr="00DE5294">
              <w:rPr>
                <w:sz w:val="22"/>
                <w:szCs w:val="22"/>
              </w:rPr>
              <w:t xml:space="preserve">finančné </w:t>
            </w:r>
            <w:r w:rsidRPr="00DE5294">
              <w:rPr>
                <w:sz w:val="22"/>
                <w:szCs w:val="22"/>
              </w:rPr>
              <w:t xml:space="preserve">náklady podnikateľov na </w:t>
            </w:r>
            <w:r w:rsidRPr="00DE5294">
              <w:rPr>
                <w:sz w:val="22"/>
                <w:szCs w:val="22"/>
              </w:rPr>
              <w:lastRenderedPageBreak/>
              <w:t>správnych poplatkoch predstavujú cca 1</w:t>
            </w:r>
            <w:r w:rsidR="00046D10" w:rsidRPr="00DE5294">
              <w:rPr>
                <w:sz w:val="22"/>
                <w:szCs w:val="22"/>
              </w:rPr>
              <w:t xml:space="preserve"> </w:t>
            </w:r>
            <w:r w:rsidRPr="00DE5294">
              <w:rPr>
                <w:sz w:val="22"/>
                <w:szCs w:val="22"/>
              </w:rPr>
              <w:t>000 eur</w:t>
            </w:r>
            <w:r w:rsidR="001968EA" w:rsidRPr="00DE5294">
              <w:rPr>
                <w:sz w:val="22"/>
                <w:szCs w:val="22"/>
              </w:rPr>
              <w:t>. To súčasne predstavuje úbytok príjmov v štátnom rozpočte.</w:t>
            </w:r>
          </w:p>
          <w:p w:rsidR="001C3397" w:rsidRPr="00DE5294" w:rsidRDefault="001C3397" w:rsidP="00326717">
            <w:pPr>
              <w:jc w:val="both"/>
              <w:rPr>
                <w:bCs/>
                <w:sz w:val="22"/>
                <w:szCs w:val="22"/>
              </w:rPr>
            </w:pPr>
          </w:p>
          <w:p w:rsidR="00BB3571" w:rsidRPr="00DE5294" w:rsidRDefault="00326717" w:rsidP="00171C03">
            <w:pPr>
              <w:jc w:val="both"/>
              <w:rPr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>Negatívne vplyvy na rozpočet verejnej správy, vyplývajúce z realizácie návrhu nariadenia vlády, budú zabezpečené v rámci schválených limitov dotknutých subjektov verejnej správy, bez dodatočných požiadaviek na štátny rozpočet. Ú</w:t>
            </w:r>
            <w:r w:rsidRPr="00DE5294">
              <w:rPr>
                <w:sz w:val="22"/>
                <w:szCs w:val="22"/>
              </w:rPr>
              <w:t>bytok na strane správnych poplatkov neovplyvní limit príjmov Ú</w:t>
            </w:r>
            <w:r w:rsidR="00171C03" w:rsidRPr="00DE5294">
              <w:rPr>
                <w:sz w:val="22"/>
                <w:szCs w:val="22"/>
              </w:rPr>
              <w:t>radu verejného zdravotníctva Slovenskej republiky</w:t>
            </w:r>
            <w:r w:rsidRPr="00DE5294">
              <w:rPr>
                <w:sz w:val="22"/>
                <w:szCs w:val="22"/>
              </w:rPr>
              <w:t xml:space="preserve"> a</w:t>
            </w:r>
            <w:r w:rsidR="00171C03" w:rsidRPr="00DE5294">
              <w:rPr>
                <w:sz w:val="22"/>
                <w:szCs w:val="22"/>
              </w:rPr>
              <w:t xml:space="preserve"> regionálnych úradov verejného zdravotníctva, </w:t>
            </w:r>
            <w:r w:rsidRPr="00DE5294">
              <w:rPr>
                <w:sz w:val="22"/>
                <w:szCs w:val="22"/>
              </w:rPr>
              <w:t>nakoľko modul správnych poplatkov odvádza správne poplatky priamo M</w:t>
            </w:r>
            <w:r w:rsidR="00171C03" w:rsidRPr="00DE5294">
              <w:rPr>
                <w:sz w:val="22"/>
                <w:szCs w:val="22"/>
              </w:rPr>
              <w:t>inisterstvu financií Slovenskej republiky.</w:t>
            </w:r>
          </w:p>
          <w:p w:rsidR="00171C03" w:rsidRPr="00DE5294" w:rsidRDefault="00171C03" w:rsidP="00171C03">
            <w:pPr>
              <w:jc w:val="both"/>
              <w:rPr>
                <w:sz w:val="22"/>
                <w:szCs w:val="22"/>
              </w:rPr>
            </w:pPr>
          </w:p>
          <w:p w:rsidR="00171C03" w:rsidRPr="00DE5294" w:rsidRDefault="00171C03" w:rsidP="00171C03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Počet podnikateľských subjektov, ktorým vzniknú finančné náklady v súvislosti s revidovaním (prehodnotením) existujúcich ochranných opatrení na zníženie rizika nákazy pri práci v zmysle príloh č. 5 a 6 návrhu nariadenia vlády a s tým súvisiacim doplnením ochranných opatrení na pracoviskách v zdravotníckych zariadeniach, zariadeniach veterinárnej starostlivosti, laboratóriách, miestnostiach pre pokusné zvieratá a pri priemyselných procesoch, pri ktorých sa používajú biologické faktory</w:t>
            </w:r>
            <w:r w:rsidR="002918E2" w:rsidRPr="00DE5294">
              <w:rPr>
                <w:sz w:val="22"/>
                <w:szCs w:val="22"/>
              </w:rPr>
              <w:t>,</w:t>
            </w:r>
            <w:r w:rsidRPr="00DE5294">
              <w:rPr>
                <w:sz w:val="22"/>
                <w:szCs w:val="22"/>
              </w:rPr>
              <w:t xml:space="preserve"> nie je možné odhadnúť. </w:t>
            </w:r>
          </w:p>
          <w:p w:rsidR="00171C03" w:rsidRPr="00DE5294" w:rsidRDefault="00171C03" w:rsidP="00171C03">
            <w:pPr>
              <w:jc w:val="both"/>
              <w:rPr>
                <w:sz w:val="22"/>
                <w:szCs w:val="22"/>
              </w:rPr>
            </w:pPr>
          </w:p>
          <w:p w:rsidR="00171C03" w:rsidRPr="00DE5294" w:rsidRDefault="00171C03" w:rsidP="00171C03">
            <w:pPr>
              <w:jc w:val="both"/>
              <w:rPr>
                <w:sz w:val="22"/>
                <w:szCs w:val="22"/>
              </w:rPr>
            </w:pPr>
          </w:p>
        </w:tc>
      </w:tr>
      <w:tr w:rsidR="003501A1" w:rsidRPr="00DE5294" w:rsidTr="008D26FA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E5294">
              <w:rPr>
                <w:rFonts w:ascii="Times New Roman" w:hAnsi="Times New Roman"/>
                <w:b/>
              </w:rPr>
              <w:lastRenderedPageBreak/>
              <w:t>Kontakt na spracovateľa</w:t>
            </w:r>
          </w:p>
        </w:tc>
      </w:tr>
      <w:tr w:rsidR="003501A1" w:rsidRPr="00DE5294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582BEE" w:rsidRPr="00DE5294" w:rsidRDefault="00582BEE" w:rsidP="00582BEE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Úrad verejného zdravotníctva SR, </w:t>
            </w:r>
            <w:r w:rsidR="00171C03" w:rsidRPr="00DE5294">
              <w:rPr>
                <w:sz w:val="22"/>
                <w:szCs w:val="22"/>
              </w:rPr>
              <w:t>o</w:t>
            </w:r>
            <w:r w:rsidRPr="00DE5294">
              <w:rPr>
                <w:sz w:val="22"/>
                <w:szCs w:val="22"/>
              </w:rPr>
              <w:t xml:space="preserve">dbor preventívneho pracovného lekárstva, </w:t>
            </w:r>
          </w:p>
          <w:p w:rsidR="003501A1" w:rsidRPr="00DE5294" w:rsidRDefault="00830260" w:rsidP="00830260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PhDr. Monika Zámečníková;</w:t>
            </w:r>
            <w:r w:rsidR="00582BEE" w:rsidRPr="00DE5294">
              <w:rPr>
                <w:sz w:val="22"/>
                <w:szCs w:val="22"/>
              </w:rPr>
              <w:t xml:space="preserve"> </w:t>
            </w:r>
            <w:r w:rsidRPr="00DE5294">
              <w:rPr>
                <w:sz w:val="22"/>
                <w:szCs w:val="22"/>
              </w:rPr>
              <w:t xml:space="preserve">MUDr. Ľudmila Ondrejková, MPH; </w:t>
            </w:r>
            <w:r w:rsidR="00FD5C05" w:rsidRPr="00DE5294">
              <w:rPr>
                <w:sz w:val="22"/>
                <w:szCs w:val="22"/>
              </w:rPr>
              <w:t>ppl@uvzsr.sk</w:t>
            </w:r>
          </w:p>
        </w:tc>
      </w:tr>
      <w:tr w:rsidR="003501A1" w:rsidRPr="00DE5294" w:rsidTr="008D26FA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E5294">
              <w:rPr>
                <w:rFonts w:ascii="Times New Roman" w:hAnsi="Times New Roman"/>
                <w:b/>
              </w:rPr>
              <w:t>Zdroje</w:t>
            </w:r>
          </w:p>
        </w:tc>
      </w:tr>
      <w:tr w:rsidR="003501A1" w:rsidRPr="00DE5294" w:rsidTr="008D26FA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3501A1" w:rsidRPr="00DE5294" w:rsidRDefault="00F049F3" w:rsidP="008D26F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- </w:t>
            </w:r>
            <w:r w:rsidR="0068775B" w:rsidRPr="00DE5294">
              <w:rPr>
                <w:sz w:val="22"/>
                <w:szCs w:val="22"/>
              </w:rPr>
              <w:t>právne predpisy SR, Slov-Lex</w:t>
            </w:r>
          </w:p>
          <w:p w:rsidR="003501A1" w:rsidRPr="00DE5294" w:rsidRDefault="003501A1" w:rsidP="008D26FA">
            <w:pPr>
              <w:rPr>
                <w:sz w:val="22"/>
                <w:szCs w:val="22"/>
              </w:rPr>
            </w:pPr>
          </w:p>
        </w:tc>
      </w:tr>
      <w:tr w:rsidR="003501A1" w:rsidRPr="00DE5294" w:rsidTr="008D26FA">
        <w:tc>
          <w:tcPr>
            <w:tcW w:w="9176" w:type="dxa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DE5294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/>
                <w:b/>
              </w:rPr>
            </w:pPr>
            <w:r w:rsidRPr="00DE5294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 w:rsidR="003501A1" w:rsidRPr="00DE5294" w:rsidTr="008D26FA">
        <w:tc>
          <w:tcPr>
            <w:tcW w:w="9176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830260" w:rsidRPr="00DE5294" w:rsidRDefault="00830260" w:rsidP="002918E2"/>
          <w:tbl>
            <w:tblPr>
              <w:tblW w:w="0" w:type="auto"/>
              <w:tblInd w:w="109" w:type="dxa"/>
              <w:tblLayout w:type="fixed"/>
              <w:tblLook w:val="0000" w:firstRow="0" w:lastRow="0" w:firstColumn="0" w:lastColumn="0" w:noHBand="0" w:noVBand="0"/>
            </w:tblPr>
            <w:tblGrid>
              <w:gridCol w:w="4252"/>
              <w:gridCol w:w="5244"/>
            </w:tblGrid>
            <w:tr w:rsidR="00DA645B" w:rsidRPr="00DE5294" w:rsidTr="003744C1">
              <w:tc>
                <w:tcPr>
                  <w:tcW w:w="4252" w:type="dxa"/>
                  <w:shd w:val="clear" w:color="auto" w:fill="FFFFFF"/>
                </w:tcPr>
                <w:p w:rsidR="00DA645B" w:rsidRPr="00DE5294" w:rsidRDefault="00DA645B" w:rsidP="00DA645B">
                  <w:pPr>
                    <w:snapToGrid w:val="0"/>
                    <w:jc w:val="both"/>
                    <w:rPr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shd w:val="clear" w:color="auto" w:fill="FFFFFF"/>
                </w:tcPr>
                <w:p w:rsidR="00DA645B" w:rsidRPr="00DE5294" w:rsidRDefault="00DA645B" w:rsidP="00DA645B">
                  <w:pPr>
                    <w:rPr>
                      <w:smallCaps/>
                      <w:sz w:val="22"/>
                      <w:szCs w:val="22"/>
                    </w:rPr>
                  </w:pPr>
                  <w:r w:rsidRPr="00DE5294">
                    <w:rPr>
                      <w:smallCaps/>
                      <w:sz w:val="22"/>
                      <w:szCs w:val="22"/>
                    </w:rPr>
                    <w:t xml:space="preserve">                     Bratislava: 21.08.2020</w:t>
                  </w:r>
                </w:p>
                <w:p w:rsidR="00DA645B" w:rsidRPr="00DE5294" w:rsidRDefault="00DA645B" w:rsidP="00DA645B">
                  <w:pPr>
                    <w:rPr>
                      <w:smallCaps/>
                      <w:sz w:val="22"/>
                      <w:szCs w:val="22"/>
                    </w:rPr>
                  </w:pPr>
                  <w:r w:rsidRPr="00DE5294">
                    <w:rPr>
                      <w:smallCaps/>
                      <w:sz w:val="22"/>
                      <w:szCs w:val="22"/>
                    </w:rPr>
                    <w:t xml:space="preserve">                     Číslo: 095/2020</w:t>
                  </w:r>
                </w:p>
                <w:p w:rsidR="00DA645B" w:rsidRPr="00DE5294" w:rsidRDefault="00DA645B" w:rsidP="00DA645B">
                  <w:pPr>
                    <w:ind w:right="425"/>
                    <w:rPr>
                      <w:sz w:val="22"/>
                      <w:szCs w:val="22"/>
                    </w:rPr>
                  </w:pPr>
                  <w:r w:rsidRPr="00DE5294">
                    <w:rPr>
                      <w:smallCaps/>
                      <w:sz w:val="22"/>
                      <w:szCs w:val="22"/>
                    </w:rPr>
                    <w:t xml:space="preserve">                     Vybavuje: Ing. </w:t>
                  </w:r>
                  <w:proofErr w:type="spellStart"/>
                  <w:r w:rsidRPr="00DE5294">
                    <w:rPr>
                      <w:smallCaps/>
                      <w:sz w:val="22"/>
                      <w:szCs w:val="22"/>
                    </w:rPr>
                    <w:t>Drieniková</w:t>
                  </w:r>
                  <w:proofErr w:type="spellEnd"/>
                  <w:r w:rsidRPr="00DE5294">
                    <w:rPr>
                      <w:smallCaps/>
                      <w:sz w:val="22"/>
                      <w:szCs w:val="22"/>
                    </w:rPr>
                    <w:t>, PhD.</w:t>
                  </w:r>
                </w:p>
              </w:tc>
            </w:tr>
            <w:tr w:rsidR="00DA645B" w:rsidRPr="00DE5294" w:rsidTr="003744C1">
              <w:tc>
                <w:tcPr>
                  <w:tcW w:w="4252" w:type="dxa"/>
                  <w:shd w:val="clear" w:color="auto" w:fill="FFFFFF"/>
                </w:tcPr>
                <w:p w:rsidR="00DA645B" w:rsidRPr="00DE5294" w:rsidRDefault="00DA645B" w:rsidP="00DA645B">
                  <w:pPr>
                    <w:snapToGrid w:val="0"/>
                    <w:jc w:val="both"/>
                    <w:rPr>
                      <w:smallCaps/>
                      <w:sz w:val="22"/>
                      <w:szCs w:val="22"/>
                    </w:rPr>
                  </w:pPr>
                </w:p>
              </w:tc>
              <w:tc>
                <w:tcPr>
                  <w:tcW w:w="5244" w:type="dxa"/>
                  <w:shd w:val="clear" w:color="auto" w:fill="FFFFFF"/>
                </w:tcPr>
                <w:p w:rsidR="00DA645B" w:rsidRPr="00DE5294" w:rsidRDefault="00DA645B" w:rsidP="00DA645B">
                  <w:pPr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:rsidR="00DA645B" w:rsidRPr="00DE5294" w:rsidRDefault="00DA645B" w:rsidP="00DA645B">
            <w:pPr>
              <w:ind w:right="-2"/>
              <w:jc w:val="center"/>
              <w:rPr>
                <w:sz w:val="22"/>
                <w:szCs w:val="22"/>
              </w:rPr>
            </w:pPr>
          </w:p>
          <w:p w:rsidR="00DA645B" w:rsidRPr="00DE5294" w:rsidRDefault="00DA645B" w:rsidP="00DA645B">
            <w:pPr>
              <w:ind w:right="-2"/>
              <w:jc w:val="center"/>
              <w:rPr>
                <w:sz w:val="22"/>
                <w:szCs w:val="22"/>
              </w:rPr>
            </w:pPr>
          </w:p>
          <w:p w:rsidR="00DA645B" w:rsidRPr="00DE5294" w:rsidRDefault="00DA645B" w:rsidP="00DA645B">
            <w:pPr>
              <w:pStyle w:val="Nadpis4"/>
              <w:jc w:val="center"/>
              <w:outlineLvl w:val="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E5294">
              <w:rPr>
                <w:rFonts w:ascii="Times New Roman" w:hAnsi="Times New Roman" w:cs="Times New Roman"/>
                <w:color w:val="auto"/>
                <w:spacing w:val="20"/>
                <w:sz w:val="22"/>
                <w:szCs w:val="22"/>
              </w:rPr>
              <w:t>Stanovisko komisie</w:t>
            </w:r>
          </w:p>
          <w:p w:rsidR="00DA645B" w:rsidRPr="00DE5294" w:rsidRDefault="00DA645B" w:rsidP="00DA645B">
            <w:pPr>
              <w:ind w:right="-2"/>
              <w:jc w:val="center"/>
              <w:rPr>
                <w:b/>
                <w:smallCaps/>
                <w:sz w:val="22"/>
                <w:szCs w:val="22"/>
              </w:rPr>
            </w:pPr>
          </w:p>
          <w:p w:rsidR="00DA645B" w:rsidRPr="00DE5294" w:rsidRDefault="00DA645B" w:rsidP="00DA645B">
            <w:pPr>
              <w:ind w:right="-2"/>
              <w:jc w:val="center"/>
              <w:rPr>
                <w:b/>
                <w:smallCaps/>
                <w:sz w:val="22"/>
                <w:szCs w:val="22"/>
              </w:rPr>
            </w:pPr>
            <w:r w:rsidRPr="00DE5294">
              <w:rPr>
                <w:b/>
                <w:smallCaps/>
                <w:sz w:val="22"/>
                <w:szCs w:val="22"/>
              </w:rPr>
              <w:t>(Predbežné Pripomienkové Konanie)</w:t>
            </w:r>
          </w:p>
          <w:p w:rsidR="00DA645B" w:rsidRPr="00DE5294" w:rsidRDefault="00DA645B" w:rsidP="00DA645B">
            <w:pPr>
              <w:ind w:right="-2"/>
              <w:jc w:val="center"/>
              <w:rPr>
                <w:b/>
                <w:smallCaps/>
                <w:sz w:val="22"/>
                <w:szCs w:val="22"/>
              </w:rPr>
            </w:pPr>
          </w:p>
          <w:p w:rsidR="00DA645B" w:rsidRPr="00DE5294" w:rsidRDefault="00DA645B" w:rsidP="00DA645B">
            <w:pPr>
              <w:shd w:val="clear" w:color="auto" w:fill="FFFFFF"/>
              <w:ind w:right="-2"/>
              <w:jc w:val="center"/>
              <w:rPr>
                <w:b/>
                <w:smallCaps/>
                <w:sz w:val="22"/>
                <w:szCs w:val="22"/>
              </w:rPr>
            </w:pPr>
            <w:r w:rsidRPr="00DE5294">
              <w:rPr>
                <w:b/>
                <w:smallCaps/>
                <w:sz w:val="22"/>
                <w:szCs w:val="22"/>
              </w:rPr>
              <w:t>k materiálu</w:t>
            </w:r>
          </w:p>
          <w:p w:rsidR="00DA645B" w:rsidRPr="00DE5294" w:rsidRDefault="00DA645B" w:rsidP="00DA645B">
            <w:pPr>
              <w:pBdr>
                <w:bottom w:val="single" w:sz="4" w:space="1" w:color="000000"/>
              </w:pBdr>
              <w:shd w:val="clear" w:color="auto" w:fill="FFFFFF"/>
              <w:ind w:right="-2"/>
              <w:jc w:val="center"/>
              <w:rPr>
                <w:b/>
                <w:smallCaps/>
                <w:sz w:val="22"/>
                <w:szCs w:val="22"/>
              </w:rPr>
            </w:pPr>
            <w:r w:rsidRPr="00DE5294">
              <w:rPr>
                <w:b/>
                <w:smallCaps/>
                <w:sz w:val="22"/>
                <w:szCs w:val="22"/>
              </w:rPr>
              <w:t xml:space="preserve">Návrh nariadenia vlády Slovenskej republiky, ktorým sa mení a dopĺňa nariadenie vlády Slovenskej republiky č. 83/2013 Z. z. o ochrane zdravia zamestnancov pred rizikami súvisiacimi s expozíciou biologickým faktorom pri práci </w:t>
            </w:r>
          </w:p>
          <w:p w:rsidR="00DA645B" w:rsidRPr="00DE5294" w:rsidRDefault="00DA645B" w:rsidP="00DA645B">
            <w:pPr>
              <w:tabs>
                <w:tab w:val="center" w:pos="6379"/>
              </w:tabs>
              <w:ind w:right="-2"/>
              <w:rPr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  <w:shd w:val="clear" w:color="auto" w:fill="FFFFFF"/>
              </w:rPr>
              <w:t xml:space="preserve">I. Úvod: </w:t>
            </w:r>
            <w:r w:rsidRPr="00DE5294">
              <w:rPr>
                <w:bCs/>
                <w:sz w:val="22"/>
                <w:szCs w:val="22"/>
                <w:shd w:val="clear" w:color="auto" w:fill="FFFFFF"/>
              </w:rPr>
              <w:t xml:space="preserve">Ministerstvo obrany SR predložilo dňa 17. </w:t>
            </w:r>
            <w:r w:rsidRPr="00DE5294">
              <w:rPr>
                <w:bCs/>
                <w:sz w:val="22"/>
                <w:szCs w:val="22"/>
              </w:rPr>
              <w:t>augusta 2020 Stálej pracovnej komisii na posudzovanie vybraných vplyvov (ďalej len „Komisia“) na predbežné pripomienkové konanie materiál:</w:t>
            </w:r>
            <w:r w:rsidRPr="00DE5294">
              <w:rPr>
                <w:bCs/>
                <w:i/>
                <w:sz w:val="22"/>
                <w:szCs w:val="22"/>
              </w:rPr>
              <w:t xml:space="preserve"> Návrh nariadenia vlády Slovenskej republiky, ktorým sa mení a dopĺňa nariadenie vlády Slovenskej republiky č. 83/2013 Z. z. o ochrane zdravia zamestnancov pred rizikami súvisiacimi s expozíciou biologickým faktorom pri práci“.</w:t>
            </w:r>
            <w:r w:rsidRPr="00DE5294">
              <w:rPr>
                <w:bCs/>
                <w:i/>
                <w:sz w:val="22"/>
                <w:szCs w:val="22"/>
                <w:shd w:val="clear" w:color="auto" w:fill="FFFFFF"/>
              </w:rPr>
              <w:t xml:space="preserve"> </w:t>
            </w:r>
            <w:r w:rsidRPr="00DE5294">
              <w:rPr>
                <w:bCs/>
                <w:sz w:val="22"/>
                <w:szCs w:val="22"/>
              </w:rPr>
              <w:t>Materiál predpokladá negatívny vplyv na rozpočet verejnej správy, ktoré je rozpočtovo zabezpečený, pozitívne a negatívne vplyvy na podnikateľské prostredie vrátane pozitívnych a negatívnych vplyvov na malé a stredné podniky.</w:t>
            </w:r>
          </w:p>
          <w:p w:rsidR="00DA645B" w:rsidRPr="00DE5294" w:rsidRDefault="00DA645B" w:rsidP="00DA645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II. P</w:t>
            </w:r>
            <w:r w:rsidRPr="00DE5294">
              <w:rPr>
                <w:b/>
                <w:sz w:val="22"/>
                <w:szCs w:val="22"/>
              </w:rPr>
              <w:t>r</w:t>
            </w:r>
            <w:r w:rsidRPr="00DE5294">
              <w:rPr>
                <w:b/>
                <w:bCs/>
                <w:sz w:val="22"/>
                <w:szCs w:val="22"/>
              </w:rPr>
              <w:t>ipomienky a návrhy zm</w:t>
            </w:r>
            <w:r w:rsidRPr="00DE5294">
              <w:rPr>
                <w:b/>
                <w:sz w:val="22"/>
                <w:szCs w:val="22"/>
              </w:rPr>
              <w:t>ie</w:t>
            </w:r>
            <w:r w:rsidRPr="00DE5294">
              <w:rPr>
                <w:b/>
                <w:bCs/>
                <w:sz w:val="22"/>
                <w:szCs w:val="22"/>
              </w:rPr>
              <w:t xml:space="preserve">n: </w:t>
            </w:r>
            <w:r w:rsidRPr="00DE5294">
              <w:rPr>
                <w:bCs/>
                <w:sz w:val="22"/>
                <w:szCs w:val="22"/>
              </w:rPr>
              <w:t>Komisia uplatňuje k materiálu zásadné pripomienky a odporúčania:</w:t>
            </w:r>
          </w:p>
          <w:p w:rsidR="00DA645B" w:rsidRPr="00DE5294" w:rsidRDefault="00DA645B" w:rsidP="00DA645B">
            <w:pPr>
              <w:jc w:val="both"/>
              <w:rPr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K doložke vybraných vplyvov </w:t>
            </w:r>
          </w:p>
          <w:p w:rsidR="00DA645B" w:rsidRPr="00DE5294" w:rsidRDefault="00DA645B" w:rsidP="00DA645B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DE5294">
              <w:rPr>
                <w:bCs/>
                <w:sz w:val="22"/>
                <w:szCs w:val="22"/>
              </w:rPr>
              <w:t xml:space="preserve">Komisia žiada predkladateľa, aby okrem rozpisu transponovaných smerníc uviedol v časti 7. Transpozícia práva EÚ aj skutočnosť, či návrh nejde nad rámec minimálnej transpozičnej povinnosti - </w:t>
            </w:r>
            <w:r w:rsidRPr="00DE5294">
              <w:rPr>
                <w:bCs/>
                <w:sz w:val="22"/>
                <w:szCs w:val="22"/>
              </w:rPr>
              <w:lastRenderedPageBreak/>
              <w:t xml:space="preserve">tzv. </w:t>
            </w:r>
            <w:r w:rsidRPr="00DE5294">
              <w:rPr>
                <w:bCs/>
                <w:i/>
                <w:sz w:val="22"/>
                <w:szCs w:val="22"/>
              </w:rPr>
              <w:t xml:space="preserve">identifikácia efektu </w:t>
            </w:r>
            <w:proofErr w:type="spellStart"/>
            <w:r w:rsidRPr="00DE5294">
              <w:rPr>
                <w:bCs/>
                <w:i/>
                <w:sz w:val="22"/>
                <w:szCs w:val="22"/>
              </w:rPr>
              <w:t>gold-platingu</w:t>
            </w:r>
            <w:proofErr w:type="spellEnd"/>
            <w:r w:rsidRPr="00DE5294">
              <w:rPr>
                <w:bCs/>
                <w:sz w:val="22"/>
                <w:szCs w:val="22"/>
              </w:rPr>
              <w:t xml:space="preserve">, a to najmä z hľadiska odôvodnenosti, resp. neodôvodnenosti jeho existencie v prípade jeho identifikácie; za týmto účelom SBA žiada predkladateľa o priloženie </w:t>
            </w:r>
            <w:r w:rsidRPr="00DE5294">
              <w:rPr>
                <w:bCs/>
                <w:sz w:val="22"/>
                <w:szCs w:val="22"/>
                <w:u w:val="single"/>
              </w:rPr>
              <w:t>Tabuľky zhody návrhu právneho predpisu s právom Európskej únie.</w:t>
            </w:r>
          </w:p>
          <w:p w:rsidR="00577883" w:rsidRPr="00DE5294" w:rsidRDefault="00577883" w:rsidP="00DA645B">
            <w:pPr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Vyjadrenie predkladateľa:</w:t>
            </w:r>
            <w:r w:rsidRPr="00DE5294">
              <w:rPr>
                <w:bCs/>
                <w:sz w:val="22"/>
                <w:szCs w:val="22"/>
              </w:rPr>
              <w:t xml:space="preserve"> Pripomienka akceptovaná. Tabuľku  zhody návrhu právneho predpisu s právom Európskej únie prikladáme.</w:t>
            </w:r>
          </w:p>
          <w:p w:rsidR="00577883" w:rsidRPr="00DE5294" w:rsidRDefault="00577883" w:rsidP="00DA645B">
            <w:pPr>
              <w:jc w:val="both"/>
              <w:rPr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sz w:val="22"/>
                <w:szCs w:val="22"/>
              </w:rPr>
            </w:pPr>
            <w:r w:rsidRPr="00DE5294">
              <w:rPr>
                <w:bCs/>
                <w:i/>
                <w:sz w:val="22"/>
                <w:szCs w:val="22"/>
              </w:rPr>
              <w:t>Z</w:t>
            </w:r>
            <w:r w:rsidRPr="00DE5294">
              <w:rPr>
                <w:bCs/>
                <w:sz w:val="22"/>
                <w:szCs w:val="22"/>
              </w:rPr>
              <w:t xml:space="preserve">ároveň predkladateľovi </w:t>
            </w:r>
            <w:r w:rsidRPr="00DE5294">
              <w:rPr>
                <w:bCs/>
                <w:i/>
                <w:sz w:val="22"/>
                <w:szCs w:val="22"/>
              </w:rPr>
              <w:t>odporúčame prepracovať časti 2. definícia problému a 3. ciele a výsledný stav v súlade s Jednotnou metodikou na posudzovanie vybraných vplyvov.</w:t>
            </w:r>
            <w:r w:rsidRPr="00DE5294">
              <w:rPr>
                <w:sz w:val="22"/>
                <w:szCs w:val="22"/>
              </w:rPr>
              <w:t xml:space="preserve"> Predkladateľ v častiach 2. a 3. zhrnul technické riešenie, ktoré návrh nariadenia zavádza. Časť 2. však má pomenúvať základné problémy, na ktoré návrh reaguje a popísať príčiny problému a prípadne aj kvantifikovať jeho rozsah. V časti 3. má byť zase jasne a zrozumiteľne zadefinovaný cieľový stav, ktorý sa má dosiahnuť prijatím materiálu, ktorý by mal byť charakterizovaný kvalitatívne a kvantitatívne za uplatnenia metódy SMART.</w:t>
            </w:r>
          </w:p>
          <w:p w:rsidR="00577883" w:rsidRPr="00DE5294" w:rsidRDefault="00577883" w:rsidP="00577883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Vyjadrenie predkladateľa: </w:t>
            </w:r>
          </w:p>
          <w:p w:rsidR="00577883" w:rsidRPr="00DE5294" w:rsidRDefault="00577883" w:rsidP="00577883">
            <w:pPr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Pripomienky sú akceptované čiastočne. Definícia návrhu a jeho ciele musia byť v logickej súvislosti s predkladacou a dôvodovou správou, nevytvárame nové konštrukty. V definícii je jasne uvedené, že návrh sa týka aktualizácie zoznamu biologických faktorov klasifikovaných do skupín podľa úrovne rizika infekcie u ľudí,  ako aj  ochranných opatrení pri práci, pričom je zohľadnený najnovší stav vedomostí, pokiaľ ide o vedecký vývoj v oblasti mikrobiológie. Návrh sa týka aj zrušenia povinnosti predkladať na schvaľovanie prevádzkový poriadok. </w:t>
            </w:r>
          </w:p>
          <w:p w:rsidR="00577883" w:rsidRPr="00DE5294" w:rsidRDefault="00577883" w:rsidP="00577883">
            <w:pPr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Do cieľov sme doplnili výsledný stav, kedy zamestnávateľ nebude predkladať na schválenie prevádzkový poriadok a nebude uhrádzať správny poplatok s tým spojený. </w:t>
            </w:r>
          </w:p>
          <w:p w:rsidR="00577883" w:rsidRPr="00DE5294" w:rsidRDefault="00577883" w:rsidP="00577883">
            <w:pPr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Metódu SMART sme nepoužili, pretože nedisponujeme analytickou jednotkou. Kvalitatívne a kvantitatívne vyjadrenia sú v ďalších častiach doložky a v analýzach vplyvov.</w:t>
            </w:r>
          </w:p>
          <w:p w:rsidR="00577883" w:rsidRPr="00DE5294" w:rsidRDefault="00577883" w:rsidP="00DA645B">
            <w:pPr>
              <w:jc w:val="both"/>
              <w:rPr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Cs/>
                <w:sz w:val="22"/>
                <w:szCs w:val="22"/>
                <w:u w:val="single"/>
              </w:rPr>
            </w:pPr>
          </w:p>
          <w:p w:rsidR="00DA645B" w:rsidRPr="00DE5294" w:rsidRDefault="00DA645B" w:rsidP="00DA645B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K doložke a k analýze vplyvov na rozpočet verejnej správy</w:t>
            </w:r>
          </w:p>
          <w:p w:rsidR="00DA645B" w:rsidRPr="00DE5294" w:rsidRDefault="00DA645B" w:rsidP="00DA64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V predkladacej a dôvodovej správe je uvedené, že predložený návrh má negatívny vplyv na rozpočet verejnej správy. V doložke vybraných vplyvov je označený negatívny, rozpočtovo zabezpečený vplyv na rozpočet verejnej správy. V analýze vplyvov je však okrem úbytku príjmov v sume 1 000 eur kvantifikovaný aj nárast príjmov z ostatnej činnosti v sume 1 000 eur. Z tohto dôvodu žiadame upraviť konštatovanie v predkladacej a dôvodovej správe a označenie v doložke vybraných vplyvov tak, že z predloženého návrhu vyplýva pozitívny aj negatívny vplyv. Ďalej podotýkame, že v analýze vplyvov v časti 2.2.4. Výpočty vplyvov na verejné financie a v príjmovej tabuľke na str. 6 je uvedený len úbytok príjmov v sume 1 000 eur. Žiadame doplniť aj nárast príjmov z ostatnej činnosti v rovnakej sume.</w:t>
            </w:r>
          </w:p>
          <w:p w:rsidR="00221EE9" w:rsidRPr="00DE5294" w:rsidRDefault="00221EE9" w:rsidP="00221EE9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Vyjadrenie predkladateľa: </w:t>
            </w:r>
          </w:p>
          <w:p w:rsidR="00221EE9" w:rsidRPr="00DE5294" w:rsidRDefault="00221EE9" w:rsidP="00221EE9">
            <w:pPr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>Pripomienky akceptované a zapracované aj do predkladacej správy a dôvodovej správy.</w:t>
            </w:r>
          </w:p>
          <w:p w:rsidR="00DA645B" w:rsidRPr="00DE5294" w:rsidRDefault="00DA645B" w:rsidP="00DA645B">
            <w:pPr>
              <w:jc w:val="both"/>
              <w:rPr>
                <w:bCs/>
                <w:sz w:val="22"/>
                <w:szCs w:val="22"/>
              </w:rPr>
            </w:pPr>
          </w:p>
          <w:p w:rsidR="00221EE9" w:rsidRPr="00DE5294" w:rsidRDefault="00221EE9" w:rsidP="00DA645B">
            <w:pPr>
              <w:jc w:val="both"/>
              <w:rPr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K analýze vplyvov na podnikateľské prostredie</w:t>
            </w:r>
          </w:p>
          <w:p w:rsidR="00DA645B" w:rsidRPr="00DE5294" w:rsidRDefault="00DA645B" w:rsidP="00DA645B">
            <w:pPr>
              <w:jc w:val="both"/>
              <w:rPr>
                <w:bCs/>
                <w:i/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 xml:space="preserve">Komisia žiada predkladateľa o </w:t>
            </w:r>
            <w:r w:rsidRPr="00DE5294">
              <w:rPr>
                <w:bCs/>
                <w:i/>
                <w:sz w:val="22"/>
                <w:szCs w:val="22"/>
              </w:rPr>
              <w:t xml:space="preserve">kvantifikáciu odhadovaných nákladov/úspor regulácie </w:t>
            </w:r>
            <w:r w:rsidRPr="00DE5294">
              <w:rPr>
                <w:bCs/>
                <w:sz w:val="22"/>
                <w:szCs w:val="22"/>
              </w:rPr>
              <w:t xml:space="preserve">nielen v prípade pozitívneho, ale aj v prípade </w:t>
            </w:r>
            <w:r w:rsidRPr="00DE5294">
              <w:rPr>
                <w:bCs/>
                <w:i/>
                <w:sz w:val="22"/>
                <w:szCs w:val="22"/>
              </w:rPr>
              <w:t>negatívneho vplyvu na podnikateľské prostredie</w:t>
            </w:r>
            <w:r w:rsidRPr="00DE5294">
              <w:rPr>
                <w:bCs/>
                <w:sz w:val="22"/>
                <w:szCs w:val="22"/>
              </w:rPr>
              <w:t xml:space="preserve"> v Analýze vplyvov na podnikateľské prostredie, a to v každom prípade, v ktorom je takáto kvantifikácia možná, pričom odporúčaným riešením je najmä využitie </w:t>
            </w:r>
            <w:r w:rsidRPr="00DE5294">
              <w:rPr>
                <w:bCs/>
                <w:i/>
                <w:sz w:val="22"/>
                <w:szCs w:val="22"/>
              </w:rPr>
              <w:t>modelového výpočtu na jeden dotknutý podnikateľský subjekt.</w:t>
            </w:r>
          </w:p>
          <w:p w:rsidR="00221EE9" w:rsidRPr="00DE5294" w:rsidRDefault="00221EE9" w:rsidP="00221EE9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Vyjadrenie predkladateľa: </w:t>
            </w:r>
          </w:p>
          <w:p w:rsidR="00DA645B" w:rsidRPr="00DE5294" w:rsidRDefault="00221EE9" w:rsidP="00DA645B">
            <w:pPr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>Pripomienka nie je zohľadnená, nakoľko počet podnikateľských subjektov, ktorým vzniknú finančné náklady v súvislosti s revidovaním (prehodnotením) existujúcich ochranných opatrení na zníženie rizika nákazy pri práci v zmysle príloh č. 5 a 6 návrhu nariadenia vlády a s tým súvisiacim doplnením ochranných opatrení na pracoviskách v zdravotníckych zariadeniach, zariadeniach veterinárnej starostlivosti, laboratóriách, miestnostiach pre pokusné zvieratá a pri priemyselných procesoch, pri ktorých sa používajú biologické faktory, nie je možné odhadnúť.</w:t>
            </w:r>
            <w:r w:rsidR="007E2DBB" w:rsidRPr="00DE5294">
              <w:rPr>
                <w:bCs/>
                <w:sz w:val="22"/>
                <w:szCs w:val="22"/>
              </w:rPr>
              <w:t xml:space="preserve"> Uvedené odôvodnenie sme doplnili do bodu 4.</w:t>
            </w:r>
          </w:p>
          <w:p w:rsidR="00221EE9" w:rsidRPr="00DE5294" w:rsidRDefault="00221EE9" w:rsidP="00DA645B">
            <w:pPr>
              <w:jc w:val="both"/>
              <w:rPr>
                <w:bCs/>
                <w:sz w:val="22"/>
                <w:szCs w:val="22"/>
              </w:rPr>
            </w:pPr>
          </w:p>
          <w:p w:rsidR="00221EE9" w:rsidRPr="00DE5294" w:rsidRDefault="00221EE9" w:rsidP="00DA645B">
            <w:pPr>
              <w:jc w:val="both"/>
              <w:rPr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III. Záver: </w:t>
            </w:r>
            <w:r w:rsidRPr="00DE5294">
              <w:rPr>
                <w:bCs/>
                <w:sz w:val="22"/>
                <w:szCs w:val="22"/>
              </w:rPr>
              <w:t xml:space="preserve">Stála pracovná komisia na posudzovanie vybraných vplyvov vyjadruje </w:t>
            </w:r>
          </w:p>
          <w:p w:rsidR="00DA645B" w:rsidRPr="00DE5294" w:rsidRDefault="00DA645B" w:rsidP="00DA645B">
            <w:pPr>
              <w:tabs>
                <w:tab w:val="center" w:pos="6379"/>
              </w:tabs>
              <w:ind w:right="-2"/>
              <w:jc w:val="both"/>
              <w:rPr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tabs>
                <w:tab w:val="center" w:pos="6379"/>
              </w:tabs>
              <w:jc w:val="center"/>
              <w:rPr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nesúhlasné stanovisko</w:t>
            </w:r>
          </w:p>
          <w:p w:rsidR="00DA645B" w:rsidRPr="00DE5294" w:rsidRDefault="00DA645B" w:rsidP="00DA645B">
            <w:pPr>
              <w:tabs>
                <w:tab w:val="center" w:pos="6379"/>
              </w:tabs>
              <w:jc w:val="both"/>
              <w:rPr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tabs>
                <w:tab w:val="center" w:pos="6379"/>
              </w:tabs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>s materiálom predloženým na predbežné pripomienkové konanie.</w:t>
            </w:r>
          </w:p>
          <w:p w:rsidR="00DA645B" w:rsidRPr="00DE5294" w:rsidRDefault="00DA645B" w:rsidP="00DA645B">
            <w:pPr>
              <w:tabs>
                <w:tab w:val="center" w:pos="6379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IV. Poznámka:</w:t>
            </w:r>
            <w:r w:rsidRPr="00DE5294">
              <w:rPr>
                <w:iCs/>
                <w:sz w:val="22"/>
                <w:szCs w:val="22"/>
              </w:rPr>
              <w:t xml:space="preserve"> Predkladateľ zapracuje pripomienky a odporúčania na úpravu uvedené v bode II a uvedie stanovisko Komisie do doložky vybraných vplyvov spolu s vyhodnotením pripomienok.</w:t>
            </w:r>
          </w:p>
          <w:p w:rsidR="00DA645B" w:rsidRPr="00DE5294" w:rsidRDefault="00DA645B" w:rsidP="00DA645B">
            <w:pPr>
              <w:jc w:val="both"/>
              <w:rPr>
                <w:i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iCs/>
                <w:sz w:val="22"/>
                <w:szCs w:val="22"/>
              </w:rPr>
            </w:pPr>
          </w:p>
          <w:p w:rsidR="00DA645B" w:rsidRPr="00DE5294" w:rsidRDefault="00DA645B" w:rsidP="00DA645B">
            <w:pPr>
              <w:jc w:val="both"/>
              <w:rPr>
                <w:b/>
                <w:bCs/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Nesúhlasné stanovisko Komisie neznamená 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 na opätovné schválenie Komisie, ktorá môže následne zmeniť svoje stanovisko.</w:t>
            </w:r>
          </w:p>
          <w:p w:rsidR="00DA645B" w:rsidRPr="00DE5294" w:rsidRDefault="00DA645B" w:rsidP="00DA645B">
            <w:pPr>
              <w:tabs>
                <w:tab w:val="center" w:pos="6379"/>
              </w:tabs>
              <w:ind w:left="4536" w:right="-2"/>
              <w:jc w:val="center"/>
              <w:rPr>
                <w:b/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tabs>
                <w:tab w:val="center" w:pos="6379"/>
              </w:tabs>
              <w:ind w:left="4536" w:right="-2"/>
              <w:jc w:val="center"/>
              <w:rPr>
                <w:b/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tabs>
                <w:tab w:val="center" w:pos="6379"/>
              </w:tabs>
              <w:ind w:left="4536" w:right="-2"/>
              <w:jc w:val="center"/>
              <w:rPr>
                <w:b/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tabs>
                <w:tab w:val="center" w:pos="6379"/>
              </w:tabs>
              <w:ind w:left="4536" w:right="-2"/>
              <w:jc w:val="center"/>
              <w:rPr>
                <w:b/>
                <w:bCs/>
                <w:sz w:val="22"/>
                <w:szCs w:val="22"/>
              </w:rPr>
            </w:pPr>
          </w:p>
          <w:p w:rsidR="00DA645B" w:rsidRPr="00DE5294" w:rsidRDefault="00DA645B" w:rsidP="00DA645B">
            <w:pPr>
              <w:tabs>
                <w:tab w:val="center" w:pos="6379"/>
              </w:tabs>
              <w:ind w:left="4536" w:right="-2"/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Ing. PhDr. Ján Oravec, CSc.</w:t>
            </w:r>
          </w:p>
          <w:p w:rsidR="00DA645B" w:rsidRPr="00DE5294" w:rsidRDefault="00DA645B" w:rsidP="00221EE9">
            <w:pPr>
              <w:tabs>
                <w:tab w:val="center" w:pos="6379"/>
              </w:tabs>
              <w:ind w:left="4536" w:right="-2"/>
              <w:jc w:val="center"/>
              <w:rPr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>predseda Komisie</w:t>
            </w:r>
          </w:p>
          <w:p w:rsidR="00DA645B" w:rsidRPr="00DE5294" w:rsidRDefault="00DA645B" w:rsidP="002918E2"/>
          <w:p w:rsidR="00DA645B" w:rsidRPr="00DE5294" w:rsidRDefault="00DA645B" w:rsidP="002918E2"/>
          <w:p w:rsidR="00DA645B" w:rsidRPr="00DE5294" w:rsidRDefault="00DA645B" w:rsidP="002918E2"/>
          <w:p w:rsidR="005073D5" w:rsidRPr="00DE5294" w:rsidRDefault="005073D5" w:rsidP="002918E2"/>
          <w:p w:rsidR="005073D5" w:rsidRPr="00DE5294" w:rsidRDefault="005073D5" w:rsidP="002918E2"/>
        </w:tc>
      </w:tr>
    </w:tbl>
    <w:p w:rsidR="002918E2" w:rsidRPr="00DE5294" w:rsidRDefault="002918E2" w:rsidP="00A65A55">
      <w:pPr>
        <w:jc w:val="both"/>
      </w:pPr>
    </w:p>
    <w:p w:rsidR="00326717" w:rsidRPr="00DE5294" w:rsidRDefault="00326717" w:rsidP="00A65A55">
      <w:pPr>
        <w:jc w:val="both"/>
      </w:pPr>
    </w:p>
    <w:p w:rsidR="00DA645B" w:rsidRPr="00DE5294" w:rsidRDefault="00DA645B" w:rsidP="00326717">
      <w:pPr>
        <w:jc w:val="center"/>
        <w:rPr>
          <w:b/>
          <w:bCs/>
          <w:sz w:val="28"/>
          <w:szCs w:val="28"/>
        </w:rPr>
      </w:pPr>
    </w:p>
    <w:p w:rsidR="00DA645B" w:rsidRPr="00DE5294" w:rsidRDefault="00DA645B" w:rsidP="00326717">
      <w:pPr>
        <w:jc w:val="center"/>
        <w:rPr>
          <w:b/>
          <w:bCs/>
          <w:sz w:val="28"/>
          <w:szCs w:val="28"/>
        </w:rPr>
      </w:pPr>
    </w:p>
    <w:p w:rsidR="00DA645B" w:rsidRPr="00DE5294" w:rsidRDefault="00DA645B" w:rsidP="00326717">
      <w:pPr>
        <w:jc w:val="center"/>
        <w:rPr>
          <w:b/>
          <w:bCs/>
          <w:sz w:val="28"/>
          <w:szCs w:val="28"/>
        </w:rPr>
      </w:pPr>
    </w:p>
    <w:p w:rsidR="00DA645B" w:rsidRPr="00DE5294" w:rsidRDefault="00DA645B" w:rsidP="00326717">
      <w:pPr>
        <w:jc w:val="center"/>
        <w:rPr>
          <w:b/>
          <w:bCs/>
          <w:sz w:val="28"/>
          <w:szCs w:val="28"/>
        </w:rPr>
      </w:pPr>
    </w:p>
    <w:p w:rsidR="00326717" w:rsidRPr="00DE5294" w:rsidRDefault="00326717" w:rsidP="00326717">
      <w:pPr>
        <w:jc w:val="center"/>
        <w:rPr>
          <w:b/>
          <w:bCs/>
          <w:sz w:val="28"/>
          <w:szCs w:val="28"/>
        </w:rPr>
      </w:pPr>
      <w:r w:rsidRPr="00DE5294">
        <w:rPr>
          <w:b/>
          <w:bCs/>
          <w:sz w:val="28"/>
          <w:szCs w:val="28"/>
        </w:rPr>
        <w:t>Analýza vplyvov na rozpočet verejnej správy,</w:t>
      </w:r>
    </w:p>
    <w:p w:rsidR="00326717" w:rsidRPr="00DE5294" w:rsidRDefault="00326717" w:rsidP="00326717">
      <w:pPr>
        <w:jc w:val="center"/>
        <w:rPr>
          <w:b/>
          <w:bCs/>
          <w:sz w:val="28"/>
          <w:szCs w:val="28"/>
        </w:rPr>
      </w:pPr>
      <w:r w:rsidRPr="00DE5294">
        <w:rPr>
          <w:b/>
          <w:bCs/>
          <w:sz w:val="28"/>
          <w:szCs w:val="28"/>
        </w:rPr>
        <w:t>na zamestnanosť vo verejnej správe a financovanie návrhu</w:t>
      </w:r>
    </w:p>
    <w:p w:rsidR="005D5EB1" w:rsidRPr="00DE5294" w:rsidRDefault="005D5EB1" w:rsidP="00326717">
      <w:pPr>
        <w:rPr>
          <w:b/>
          <w:bCs/>
          <w:sz w:val="24"/>
          <w:szCs w:val="24"/>
        </w:rPr>
      </w:pPr>
    </w:p>
    <w:p w:rsidR="00326717" w:rsidRPr="00DE5294" w:rsidRDefault="00326717" w:rsidP="00326717">
      <w:pPr>
        <w:rPr>
          <w:b/>
          <w:bCs/>
          <w:sz w:val="24"/>
          <w:szCs w:val="24"/>
        </w:rPr>
      </w:pPr>
      <w:r w:rsidRPr="00DE5294">
        <w:rPr>
          <w:b/>
          <w:bCs/>
          <w:sz w:val="24"/>
          <w:szCs w:val="24"/>
        </w:rPr>
        <w:t>2.1 Zhrnutie vplyvov na rozpočet verejnej správy v návrhu</w:t>
      </w:r>
    </w:p>
    <w:p w:rsidR="00326717" w:rsidRPr="00DE5294" w:rsidRDefault="00326717" w:rsidP="00326717"/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05"/>
        <w:gridCol w:w="1329"/>
        <w:gridCol w:w="1267"/>
      </w:tblGrid>
      <w:tr w:rsidR="00326717" w:rsidRPr="00DE5294" w:rsidTr="00326717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OLE_LINK1"/>
            <w:r w:rsidRPr="00DE5294">
              <w:rPr>
                <w:b/>
                <w:bCs/>
                <w:sz w:val="22"/>
                <w:szCs w:val="22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Vplyv na rozpočet verejnej správy (v eurách)</w:t>
            </w:r>
          </w:p>
        </w:tc>
      </w:tr>
      <w:tr w:rsidR="00326717" w:rsidRPr="00DE5294" w:rsidTr="00326717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05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329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326717" w:rsidRPr="00DE5294" w:rsidTr="0032671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326717" w:rsidRPr="00DE5294" w:rsidRDefault="00326717" w:rsidP="0032671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C0C0C0"/>
            <w:vAlign w:val="center"/>
          </w:tcPr>
          <w:p w:rsidR="00326717" w:rsidRPr="00DE5294" w:rsidRDefault="00A629CC" w:rsidP="007E4E5C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C0C0C0"/>
            <w:vAlign w:val="center"/>
          </w:tcPr>
          <w:p w:rsidR="00326717" w:rsidRPr="00DE5294" w:rsidRDefault="00A629CC" w:rsidP="007E4E5C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326717" w:rsidRPr="00DE5294" w:rsidRDefault="00A629CC" w:rsidP="007E4E5C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26717" w:rsidRPr="00DE5294" w:rsidTr="00326717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</w:tr>
      <w:tr w:rsidR="0032671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326717" w:rsidRPr="00DE5294" w:rsidRDefault="00326717" w:rsidP="0032671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29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:rsidR="00326717" w:rsidRPr="00DE5294" w:rsidRDefault="00326717" w:rsidP="0032671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t>kapitola Všeobecná pokladničná správa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-1 000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-1 000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-1 000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t>kapitola MZ SR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1 000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1 000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1 000</w:t>
            </w:r>
          </w:p>
        </w:tc>
      </w:tr>
      <w:tr w:rsidR="001E1197" w:rsidRPr="00DE5294" w:rsidTr="00165F7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165F79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ind w:left="259"/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ind w:left="259"/>
              <w:rPr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0   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E1197" w:rsidRPr="00DE5294" w:rsidTr="00A97F4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A97F40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ind w:left="259"/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lastRenderedPageBreak/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</w:tcPr>
          <w:p w:rsidR="001E1197" w:rsidRPr="00DE5294" w:rsidRDefault="001E1197" w:rsidP="001E1197">
            <w:pPr>
              <w:jc w:val="right"/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Cs/>
                <w:i/>
                <w:iCs/>
                <w:sz w:val="22"/>
                <w:szCs w:val="22"/>
              </w:rPr>
            </w:pPr>
            <w:r w:rsidRPr="00DE5294">
              <w:rPr>
                <w:bCs/>
                <w:i/>
                <w:iCs/>
                <w:sz w:val="22"/>
                <w:szCs w:val="22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rPr>
                <w:b/>
                <w:sz w:val="22"/>
                <w:szCs w:val="22"/>
              </w:rPr>
            </w:pPr>
            <w:r w:rsidRPr="00DE5294">
              <w:rPr>
                <w:b/>
                <w:sz w:val="22"/>
                <w:szCs w:val="22"/>
              </w:rPr>
              <w:t>Vplyv na mzdové výdavky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sz w:val="22"/>
                <w:szCs w:val="22"/>
              </w:rPr>
            </w:pPr>
            <w:r w:rsidRPr="00DE529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sz w:val="22"/>
                <w:szCs w:val="22"/>
              </w:rPr>
            </w:pPr>
            <w:r w:rsidRPr="00DE529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sz w:val="22"/>
                <w:szCs w:val="22"/>
              </w:rPr>
            </w:pPr>
            <w:r w:rsidRPr="00DE529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sz w:val="22"/>
                <w:szCs w:val="22"/>
              </w:rPr>
            </w:pPr>
            <w:r w:rsidRPr="00DE5294">
              <w:rPr>
                <w:b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i/>
                <w:iCs/>
                <w:sz w:val="22"/>
                <w:szCs w:val="22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iCs/>
                <w:sz w:val="22"/>
                <w:szCs w:val="22"/>
              </w:rPr>
            </w:pPr>
            <w:r w:rsidRPr="00DE5294"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1E1197" w:rsidRPr="00DE5294" w:rsidRDefault="001E1197" w:rsidP="001E119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329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rPr>
                <w:b/>
                <w:sz w:val="22"/>
                <w:szCs w:val="22"/>
              </w:rPr>
            </w:pPr>
            <w:r w:rsidRPr="00DE5294">
              <w:rPr>
                <w:b/>
                <w:sz w:val="22"/>
                <w:szCs w:val="22"/>
              </w:rPr>
              <w:t>Iné ako rozpočtové zdroje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BFBFBF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E1197" w:rsidRPr="00DE5294" w:rsidTr="00326717">
        <w:trPr>
          <w:trHeight w:val="70"/>
          <w:jc w:val="center"/>
        </w:trPr>
        <w:tc>
          <w:tcPr>
            <w:tcW w:w="4661" w:type="dxa"/>
            <w:shd w:val="clear" w:color="auto" w:fill="A6A6A6"/>
            <w:noWrap/>
            <w:vAlign w:val="center"/>
          </w:tcPr>
          <w:p w:rsidR="001E1197" w:rsidRPr="00DE5294" w:rsidRDefault="001E1197" w:rsidP="001E119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5" w:type="dxa"/>
            <w:shd w:val="clear" w:color="auto" w:fill="A6A6A6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A6A6A6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shd w:val="clear" w:color="auto" w:fill="A6A6A6"/>
            <w:noWrap/>
            <w:vAlign w:val="center"/>
          </w:tcPr>
          <w:p w:rsidR="001E1197" w:rsidRPr="00DE5294" w:rsidRDefault="001E1197" w:rsidP="001E1197">
            <w:pPr>
              <w:jc w:val="right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</w:tr>
      <w:bookmarkEnd w:id="1"/>
    </w:tbl>
    <w:p w:rsidR="001E1197" w:rsidRPr="00DE5294" w:rsidRDefault="001E1197" w:rsidP="00074F71">
      <w:pPr>
        <w:jc w:val="both"/>
        <w:rPr>
          <w:b/>
          <w:bCs/>
          <w:sz w:val="24"/>
          <w:szCs w:val="24"/>
        </w:rPr>
      </w:pPr>
    </w:p>
    <w:p w:rsidR="002918E2" w:rsidRPr="00DE5294" w:rsidRDefault="002918E2" w:rsidP="00074F71">
      <w:pPr>
        <w:jc w:val="both"/>
        <w:rPr>
          <w:b/>
          <w:bCs/>
          <w:sz w:val="24"/>
          <w:szCs w:val="24"/>
        </w:rPr>
      </w:pPr>
    </w:p>
    <w:p w:rsidR="00DA645B" w:rsidRPr="00DE5294" w:rsidRDefault="00DA645B" w:rsidP="00074F71">
      <w:pPr>
        <w:jc w:val="both"/>
        <w:rPr>
          <w:b/>
          <w:bCs/>
          <w:sz w:val="24"/>
          <w:szCs w:val="24"/>
        </w:rPr>
      </w:pPr>
    </w:p>
    <w:p w:rsidR="00DA645B" w:rsidRPr="00DE5294" w:rsidRDefault="00DA645B" w:rsidP="00074F71">
      <w:pPr>
        <w:jc w:val="both"/>
        <w:rPr>
          <w:b/>
          <w:bCs/>
          <w:sz w:val="24"/>
          <w:szCs w:val="24"/>
        </w:rPr>
      </w:pPr>
    </w:p>
    <w:p w:rsidR="00DA645B" w:rsidRPr="00DE5294" w:rsidRDefault="00DA645B" w:rsidP="00074F71">
      <w:pPr>
        <w:jc w:val="both"/>
        <w:rPr>
          <w:b/>
          <w:bCs/>
          <w:sz w:val="24"/>
          <w:szCs w:val="24"/>
        </w:rPr>
      </w:pPr>
    </w:p>
    <w:p w:rsidR="00DA645B" w:rsidRPr="00DE5294" w:rsidRDefault="00DA645B" w:rsidP="00074F71">
      <w:pPr>
        <w:jc w:val="both"/>
        <w:rPr>
          <w:b/>
          <w:bCs/>
          <w:sz w:val="24"/>
          <w:szCs w:val="24"/>
        </w:rPr>
      </w:pPr>
    </w:p>
    <w:p w:rsidR="00326717" w:rsidRPr="00DE5294" w:rsidRDefault="00326717" w:rsidP="00074F71">
      <w:pPr>
        <w:jc w:val="both"/>
        <w:rPr>
          <w:b/>
          <w:bCs/>
          <w:sz w:val="24"/>
          <w:szCs w:val="24"/>
        </w:rPr>
      </w:pPr>
      <w:r w:rsidRPr="00DE5294">
        <w:rPr>
          <w:b/>
          <w:bCs/>
          <w:sz w:val="24"/>
          <w:szCs w:val="24"/>
        </w:rPr>
        <w:t>2.1.1. Financovanie návrhu - Návrh na riešenie úbytku príjmov alebo zvýšených výdavkov podľa § 33 ods. 1 zákona č. 523/2004 Z. z. o rozpočtových pravidlách verejnej správy:</w:t>
      </w:r>
    </w:p>
    <w:p w:rsidR="008D00DB" w:rsidRPr="00DE5294" w:rsidRDefault="00326717" w:rsidP="003267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  <w:r w:rsidRPr="00DE5294">
        <w:rPr>
          <w:bCs/>
          <w:sz w:val="22"/>
          <w:szCs w:val="22"/>
        </w:rPr>
        <w:t xml:space="preserve">Všetky negatívne vplyvy vyplývajúce z realizácie návrhu </w:t>
      </w:r>
      <w:r w:rsidR="00C467A0" w:rsidRPr="00DE5294">
        <w:rPr>
          <w:bCs/>
          <w:sz w:val="22"/>
          <w:szCs w:val="22"/>
        </w:rPr>
        <w:t>nariadenia vlády</w:t>
      </w:r>
      <w:r w:rsidRPr="00DE5294">
        <w:rPr>
          <w:bCs/>
          <w:sz w:val="22"/>
          <w:szCs w:val="22"/>
        </w:rPr>
        <w:t xml:space="preserve"> budú zabezpečené v rámci schválených limitov dotknutých subjektov verejnej správy, bez dodatočných požiadaviek na štátny rozpočet. Ú</w:t>
      </w:r>
      <w:r w:rsidRPr="00DE5294">
        <w:rPr>
          <w:sz w:val="22"/>
          <w:szCs w:val="22"/>
        </w:rPr>
        <w:t xml:space="preserve">bytok na strane správnych poplatkov neovplyvní limit príjmov </w:t>
      </w:r>
      <w:r w:rsidR="00282D83" w:rsidRPr="00DE5294">
        <w:rPr>
          <w:sz w:val="22"/>
          <w:szCs w:val="22"/>
        </w:rPr>
        <w:t>Úradu verejného zdravotníctva Slovenskej republiky a regionálnych úradov verejného zdravotníctva</w:t>
      </w:r>
      <w:r w:rsidR="008D00DB" w:rsidRPr="00DE5294">
        <w:rPr>
          <w:sz w:val="22"/>
          <w:szCs w:val="22"/>
        </w:rPr>
        <w:t>,</w:t>
      </w:r>
      <w:r w:rsidRPr="00DE5294">
        <w:rPr>
          <w:sz w:val="22"/>
          <w:szCs w:val="22"/>
        </w:rPr>
        <w:t xml:space="preserve"> nakoľko modul správnych poplatkov odvádza správne poplatky priamo M</w:t>
      </w:r>
      <w:r w:rsidR="00282D83" w:rsidRPr="00DE5294">
        <w:rPr>
          <w:sz w:val="22"/>
          <w:szCs w:val="22"/>
        </w:rPr>
        <w:t>inisterstvu financií Slovenskej republiky</w:t>
      </w:r>
      <w:r w:rsidR="008D00DB" w:rsidRPr="00DE5294">
        <w:rPr>
          <w:sz w:val="22"/>
          <w:szCs w:val="22"/>
        </w:rPr>
        <w:t>.</w:t>
      </w:r>
    </w:p>
    <w:p w:rsidR="00326717" w:rsidRPr="00DE5294" w:rsidRDefault="008D00DB" w:rsidP="0032671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sz w:val="22"/>
          <w:szCs w:val="22"/>
        </w:rPr>
      </w:pPr>
      <w:r w:rsidRPr="00DE5294">
        <w:rPr>
          <w:sz w:val="22"/>
          <w:szCs w:val="22"/>
        </w:rPr>
        <w:t>Predpokladá sa, že ú</w:t>
      </w:r>
      <w:r w:rsidR="00326717" w:rsidRPr="00DE5294">
        <w:rPr>
          <w:sz w:val="22"/>
          <w:szCs w:val="22"/>
        </w:rPr>
        <w:t>bytok príjmov</w:t>
      </w:r>
      <w:r w:rsidRPr="00DE5294">
        <w:rPr>
          <w:sz w:val="22"/>
          <w:szCs w:val="22"/>
        </w:rPr>
        <w:t xml:space="preserve"> v štátnom rozpočte</w:t>
      </w:r>
      <w:r w:rsidR="00326717" w:rsidRPr="00DE5294">
        <w:rPr>
          <w:sz w:val="22"/>
          <w:szCs w:val="22"/>
        </w:rPr>
        <w:t xml:space="preserve"> bude vykrytý nárastom príjmov z ostatnej činnosti </w:t>
      </w:r>
      <w:r w:rsidR="00282D83" w:rsidRPr="00DE5294">
        <w:rPr>
          <w:sz w:val="22"/>
          <w:szCs w:val="22"/>
        </w:rPr>
        <w:t>Úradu verejného zdravotníctva Slovenskej republiky a regionálnych úradov verejného zdravotníctva</w:t>
      </w:r>
      <w:r w:rsidR="00326717" w:rsidRPr="00DE5294">
        <w:rPr>
          <w:sz w:val="22"/>
          <w:szCs w:val="22"/>
        </w:rPr>
        <w:t>.</w:t>
      </w:r>
    </w:p>
    <w:p w:rsidR="00326717" w:rsidRPr="00DE5294" w:rsidRDefault="00326717" w:rsidP="00326717">
      <w:pPr>
        <w:rPr>
          <w:b/>
          <w:bCs/>
          <w:sz w:val="24"/>
          <w:szCs w:val="24"/>
        </w:rPr>
      </w:pPr>
    </w:p>
    <w:p w:rsidR="00326717" w:rsidRPr="00DE5294" w:rsidRDefault="00326717" w:rsidP="00326717">
      <w:pPr>
        <w:rPr>
          <w:b/>
          <w:bCs/>
          <w:sz w:val="24"/>
          <w:szCs w:val="24"/>
        </w:rPr>
      </w:pPr>
      <w:r w:rsidRPr="00DE5294">
        <w:rPr>
          <w:b/>
          <w:bCs/>
          <w:sz w:val="24"/>
          <w:szCs w:val="24"/>
        </w:rPr>
        <w:t>2.2. Popis a charakteristika návrhu</w:t>
      </w:r>
    </w:p>
    <w:p w:rsidR="00326717" w:rsidRPr="00DE5294" w:rsidRDefault="00326717" w:rsidP="00326717">
      <w:pPr>
        <w:jc w:val="both"/>
        <w:rPr>
          <w:b/>
          <w:bCs/>
          <w:sz w:val="24"/>
          <w:szCs w:val="24"/>
        </w:rPr>
      </w:pPr>
      <w:r w:rsidRPr="00DE5294">
        <w:rPr>
          <w:b/>
          <w:bCs/>
          <w:sz w:val="24"/>
          <w:szCs w:val="24"/>
        </w:rPr>
        <w:t>2.2.1. Popis návrhu:</w:t>
      </w:r>
    </w:p>
    <w:p w:rsidR="00A629CC" w:rsidRPr="00DE5294" w:rsidRDefault="00A629CC" w:rsidP="00A629CC">
      <w:pPr>
        <w:jc w:val="both"/>
        <w:rPr>
          <w:bCs/>
          <w:sz w:val="22"/>
          <w:szCs w:val="22"/>
        </w:rPr>
      </w:pPr>
      <w:r w:rsidRPr="00DE5294">
        <w:rPr>
          <w:sz w:val="22"/>
          <w:szCs w:val="22"/>
        </w:rPr>
        <w:t>Odhadom sa predpokladá, že ročne predložia podnikateľské subjekty na schválenie orgánom verejného zdravotníctva v </w:t>
      </w:r>
      <w:r w:rsidR="00282D83" w:rsidRPr="00DE5294">
        <w:rPr>
          <w:sz w:val="22"/>
          <w:szCs w:val="22"/>
        </w:rPr>
        <w:t xml:space="preserve">Slovenskej republike </w:t>
      </w:r>
      <w:r w:rsidRPr="00DE5294">
        <w:rPr>
          <w:sz w:val="22"/>
          <w:szCs w:val="22"/>
        </w:rPr>
        <w:t xml:space="preserve">cca 20 prevádzkových poriadkov pre pracovné činnosti </w:t>
      </w:r>
      <w:r w:rsidR="00046D10" w:rsidRPr="00DE5294">
        <w:rPr>
          <w:sz w:val="22"/>
          <w:szCs w:val="22"/>
        </w:rPr>
        <w:t>s biologickými faktormi</w:t>
      </w:r>
      <w:r w:rsidRPr="00DE5294">
        <w:rPr>
          <w:sz w:val="22"/>
          <w:szCs w:val="22"/>
        </w:rPr>
        <w:t xml:space="preserve">. Správny poplatok za posudzovaciu činnosť orgánu verejného zdravotníctva je 50 eur za posúdenie prevádzkového poriadku, teda ušetrené </w:t>
      </w:r>
      <w:r w:rsidR="00CE42A4" w:rsidRPr="00DE5294">
        <w:rPr>
          <w:sz w:val="22"/>
          <w:szCs w:val="22"/>
        </w:rPr>
        <w:t xml:space="preserve">finančné </w:t>
      </w:r>
      <w:r w:rsidRPr="00DE5294">
        <w:rPr>
          <w:sz w:val="22"/>
          <w:szCs w:val="22"/>
        </w:rPr>
        <w:t>náklady podnikateľov na správnych poplatkoch predstavujú cca 1</w:t>
      </w:r>
      <w:r w:rsidR="00C5547C" w:rsidRPr="00DE5294">
        <w:rPr>
          <w:sz w:val="22"/>
          <w:szCs w:val="22"/>
        </w:rPr>
        <w:t xml:space="preserve"> </w:t>
      </w:r>
      <w:r w:rsidRPr="00DE5294">
        <w:rPr>
          <w:sz w:val="22"/>
          <w:szCs w:val="22"/>
        </w:rPr>
        <w:t>000 eur. To súčasne predstavuje úbytok príjmov v štátnom rozpočte.</w:t>
      </w:r>
    </w:p>
    <w:p w:rsidR="00326717" w:rsidRPr="00DE5294" w:rsidRDefault="00326717" w:rsidP="00326717">
      <w:pPr>
        <w:rPr>
          <w:sz w:val="22"/>
          <w:szCs w:val="22"/>
        </w:rPr>
      </w:pPr>
    </w:p>
    <w:p w:rsidR="00326717" w:rsidRPr="00DE5294" w:rsidRDefault="00326717" w:rsidP="00326717">
      <w:pPr>
        <w:rPr>
          <w:b/>
          <w:bCs/>
          <w:sz w:val="24"/>
          <w:szCs w:val="24"/>
        </w:rPr>
      </w:pPr>
      <w:r w:rsidRPr="00DE5294">
        <w:rPr>
          <w:b/>
          <w:bCs/>
          <w:sz w:val="24"/>
          <w:szCs w:val="24"/>
        </w:rPr>
        <w:t>2.2.2. Charakteristika návrhu:</w:t>
      </w:r>
    </w:p>
    <w:p w:rsidR="00326717" w:rsidRPr="00DE5294" w:rsidRDefault="00326717" w:rsidP="00326717">
      <w:pPr>
        <w:rPr>
          <w:sz w:val="24"/>
          <w:szCs w:val="24"/>
        </w:rPr>
      </w:pPr>
    </w:p>
    <w:p w:rsidR="00326717" w:rsidRPr="00DE5294" w:rsidRDefault="00326717" w:rsidP="00A629CC">
      <w:pPr>
        <w:ind w:left="142"/>
        <w:rPr>
          <w:sz w:val="22"/>
          <w:szCs w:val="22"/>
        </w:rPr>
      </w:pPr>
      <w:r w:rsidRPr="00DE5294">
        <w:rPr>
          <w:sz w:val="22"/>
          <w:szCs w:val="22"/>
        </w:rPr>
        <w:t>zmena sadzby</w:t>
      </w:r>
    </w:p>
    <w:p w:rsidR="00326717" w:rsidRPr="00DE5294" w:rsidRDefault="00326717" w:rsidP="00A629CC">
      <w:pPr>
        <w:ind w:left="142"/>
        <w:rPr>
          <w:sz w:val="22"/>
          <w:szCs w:val="22"/>
        </w:rPr>
      </w:pPr>
      <w:r w:rsidRPr="00DE5294">
        <w:rPr>
          <w:sz w:val="22"/>
          <w:szCs w:val="22"/>
        </w:rPr>
        <w:t>zmena v nároku</w:t>
      </w:r>
    </w:p>
    <w:p w:rsidR="00326717" w:rsidRPr="00DE5294" w:rsidRDefault="00326717" w:rsidP="00A629CC">
      <w:pPr>
        <w:ind w:left="142"/>
        <w:rPr>
          <w:sz w:val="22"/>
          <w:szCs w:val="22"/>
        </w:rPr>
      </w:pPr>
      <w:r w:rsidRPr="00DE5294">
        <w:rPr>
          <w:sz w:val="22"/>
          <w:szCs w:val="22"/>
        </w:rPr>
        <w:t>nová služba alebo nariadenie (alebo ich zrušenie)</w:t>
      </w:r>
    </w:p>
    <w:p w:rsidR="00326717" w:rsidRPr="00DE5294" w:rsidRDefault="00326717" w:rsidP="00A629CC">
      <w:pPr>
        <w:ind w:left="142"/>
        <w:rPr>
          <w:sz w:val="22"/>
          <w:szCs w:val="22"/>
        </w:rPr>
      </w:pPr>
      <w:r w:rsidRPr="00DE5294">
        <w:rPr>
          <w:sz w:val="22"/>
          <w:szCs w:val="22"/>
        </w:rPr>
        <w:t>kombinovaný návrh</w:t>
      </w:r>
    </w:p>
    <w:p w:rsidR="00326717" w:rsidRPr="00DE5294" w:rsidRDefault="00326717" w:rsidP="002918E2">
      <w:pPr>
        <w:ind w:left="142"/>
        <w:rPr>
          <w:sz w:val="22"/>
          <w:szCs w:val="22"/>
        </w:rPr>
      </w:pPr>
      <w:r w:rsidRPr="00DE5294">
        <w:rPr>
          <w:sz w:val="22"/>
          <w:szCs w:val="22"/>
          <w:bdr w:val="single" w:sz="4" w:space="0" w:color="auto"/>
        </w:rPr>
        <w:lastRenderedPageBreak/>
        <w:t xml:space="preserve">  x </w:t>
      </w:r>
      <w:r w:rsidR="002918E2" w:rsidRPr="00DE5294">
        <w:rPr>
          <w:sz w:val="22"/>
          <w:szCs w:val="22"/>
        </w:rPr>
        <w:t xml:space="preserve">  iné</w:t>
      </w:r>
    </w:p>
    <w:p w:rsidR="00326717" w:rsidRPr="00DE5294" w:rsidRDefault="00326717" w:rsidP="00326717">
      <w:pPr>
        <w:rPr>
          <w:sz w:val="24"/>
          <w:szCs w:val="24"/>
        </w:rPr>
      </w:pPr>
      <w:r w:rsidRPr="00DE5294">
        <w:rPr>
          <w:b/>
          <w:bCs/>
          <w:sz w:val="24"/>
          <w:szCs w:val="24"/>
        </w:rPr>
        <w:t>2.2.3. Predpoklady vývoja objemu aktivít:</w:t>
      </w:r>
    </w:p>
    <w:p w:rsidR="00326717" w:rsidRPr="00DE5294" w:rsidRDefault="00326717" w:rsidP="00326717">
      <w:pPr>
        <w:rPr>
          <w:sz w:val="24"/>
          <w:szCs w:val="24"/>
        </w:rPr>
      </w:pPr>
    </w:p>
    <w:p w:rsidR="00326717" w:rsidRPr="00DE5294" w:rsidRDefault="00326717" w:rsidP="00326717">
      <w:pPr>
        <w:ind w:firstLine="708"/>
        <w:jc w:val="both"/>
        <w:rPr>
          <w:sz w:val="22"/>
          <w:szCs w:val="22"/>
        </w:rPr>
      </w:pPr>
      <w:r w:rsidRPr="00DE5294">
        <w:rPr>
          <w:sz w:val="22"/>
          <w:szCs w:val="22"/>
        </w:rPr>
        <w:t>Jasne popíšte, v prípade potreby použite nižšie uvedenú tabuľku. Uveďte aj odhady základov daní a/alebo poplatkov, ak sa ich táto zmena týka.</w:t>
      </w:r>
    </w:p>
    <w:p w:rsidR="00326717" w:rsidRPr="00DE5294" w:rsidRDefault="00326717" w:rsidP="00326717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326717" w:rsidRPr="00DE5294" w:rsidTr="00326717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/>
            <w:vAlign w:val="center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94">
              <w:rPr>
                <w:b/>
                <w:bCs/>
                <w:sz w:val="24"/>
                <w:szCs w:val="24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/>
            <w:vAlign w:val="center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94">
              <w:rPr>
                <w:b/>
                <w:bCs/>
                <w:sz w:val="24"/>
                <w:szCs w:val="24"/>
              </w:rPr>
              <w:t>Odhadované objemy</w:t>
            </w:r>
          </w:p>
        </w:tc>
      </w:tr>
      <w:tr w:rsidR="00326717" w:rsidRPr="00DE5294" w:rsidTr="00326717">
        <w:trPr>
          <w:cantSplit/>
          <w:trHeight w:val="70"/>
        </w:trPr>
        <w:tc>
          <w:tcPr>
            <w:tcW w:w="4530" w:type="dxa"/>
            <w:vMerge/>
            <w:shd w:val="clear" w:color="auto" w:fill="BFBFBF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94"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94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94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E5294"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326717" w:rsidRPr="00DE5294" w:rsidTr="00326717">
        <w:trPr>
          <w:trHeight w:val="70"/>
        </w:trPr>
        <w:tc>
          <w:tcPr>
            <w:tcW w:w="4530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294">
              <w:rPr>
                <w:sz w:val="24"/>
                <w:szCs w:val="24"/>
              </w:rPr>
              <w:t>Indikátor ABC</w:t>
            </w: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326717" w:rsidRPr="00DE5294" w:rsidTr="00326717">
        <w:trPr>
          <w:trHeight w:val="70"/>
        </w:trPr>
        <w:tc>
          <w:tcPr>
            <w:tcW w:w="4530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294">
              <w:rPr>
                <w:sz w:val="24"/>
                <w:szCs w:val="24"/>
              </w:rPr>
              <w:t>Indikátor KLM</w:t>
            </w: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326717" w:rsidRPr="00DE5294" w:rsidTr="00326717">
        <w:trPr>
          <w:trHeight w:val="70"/>
        </w:trPr>
        <w:tc>
          <w:tcPr>
            <w:tcW w:w="4530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5294">
              <w:rPr>
                <w:sz w:val="24"/>
                <w:szCs w:val="24"/>
              </w:rPr>
              <w:t>Indikátor XYZ</w:t>
            </w: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6717" w:rsidRPr="00DE5294" w:rsidRDefault="00326717" w:rsidP="0032671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326717" w:rsidRPr="00DE5294" w:rsidRDefault="00326717" w:rsidP="00326717">
      <w:pPr>
        <w:rPr>
          <w:sz w:val="24"/>
          <w:szCs w:val="24"/>
        </w:rPr>
      </w:pPr>
    </w:p>
    <w:p w:rsidR="00326717" w:rsidRPr="00DE5294" w:rsidRDefault="00326717" w:rsidP="00326717">
      <w:pPr>
        <w:rPr>
          <w:sz w:val="24"/>
          <w:szCs w:val="24"/>
        </w:rPr>
      </w:pPr>
    </w:p>
    <w:p w:rsidR="00326717" w:rsidRPr="00DE5294" w:rsidRDefault="00326717" w:rsidP="00326717">
      <w:pPr>
        <w:rPr>
          <w:b/>
          <w:bCs/>
          <w:sz w:val="24"/>
          <w:szCs w:val="24"/>
        </w:rPr>
      </w:pPr>
      <w:r w:rsidRPr="00DE5294">
        <w:rPr>
          <w:b/>
          <w:bCs/>
          <w:sz w:val="24"/>
          <w:szCs w:val="24"/>
        </w:rPr>
        <w:t>2.2.4. Výpočty vplyvov na verejné financie</w:t>
      </w:r>
    </w:p>
    <w:p w:rsidR="00A629CC" w:rsidRPr="00DE5294" w:rsidRDefault="00326717" w:rsidP="00A96045">
      <w:pPr>
        <w:pStyle w:val="Textkomentra"/>
        <w:jc w:val="both"/>
        <w:rPr>
          <w:sz w:val="22"/>
          <w:szCs w:val="22"/>
        </w:rPr>
      </w:pPr>
      <w:r w:rsidRPr="00DE5294">
        <w:rPr>
          <w:sz w:val="22"/>
          <w:szCs w:val="22"/>
        </w:rPr>
        <w:t xml:space="preserve">Opatrenie bude mať negatívny vplyv na rozpočet verejnej správy vo výške </w:t>
      </w:r>
      <w:r w:rsidR="00A629CC" w:rsidRPr="00DE5294">
        <w:rPr>
          <w:sz w:val="22"/>
          <w:szCs w:val="22"/>
        </w:rPr>
        <w:t xml:space="preserve">1 000 </w:t>
      </w:r>
      <w:r w:rsidR="00CE42A4" w:rsidRPr="00DE5294">
        <w:rPr>
          <w:sz w:val="22"/>
          <w:szCs w:val="22"/>
        </w:rPr>
        <w:t>eur</w:t>
      </w:r>
      <w:r w:rsidRPr="00DE5294">
        <w:rPr>
          <w:sz w:val="22"/>
          <w:szCs w:val="22"/>
        </w:rPr>
        <w:t xml:space="preserve"> z</w:t>
      </w:r>
      <w:r w:rsidR="00A629CC" w:rsidRPr="00DE5294">
        <w:rPr>
          <w:sz w:val="22"/>
          <w:szCs w:val="22"/>
        </w:rPr>
        <w:t> </w:t>
      </w:r>
      <w:r w:rsidRPr="00DE5294">
        <w:rPr>
          <w:sz w:val="22"/>
          <w:szCs w:val="22"/>
        </w:rPr>
        <w:t>dôvodu</w:t>
      </w:r>
      <w:r w:rsidR="00A629CC" w:rsidRPr="00DE5294">
        <w:rPr>
          <w:sz w:val="22"/>
          <w:szCs w:val="22"/>
        </w:rPr>
        <w:t xml:space="preserve">, že nebude povinnosť </w:t>
      </w:r>
      <w:r w:rsidR="00282D83" w:rsidRPr="00DE5294">
        <w:rPr>
          <w:sz w:val="22"/>
          <w:szCs w:val="22"/>
        </w:rPr>
        <w:t xml:space="preserve">zamestnávateľov </w:t>
      </w:r>
      <w:r w:rsidRPr="00DE5294">
        <w:rPr>
          <w:sz w:val="22"/>
          <w:szCs w:val="22"/>
        </w:rPr>
        <w:t xml:space="preserve">platiť správny poplatok za podanie žiadosti </w:t>
      </w:r>
      <w:r w:rsidR="00A629CC" w:rsidRPr="00DE5294">
        <w:rPr>
          <w:sz w:val="22"/>
          <w:szCs w:val="22"/>
        </w:rPr>
        <w:t xml:space="preserve">o posúdenie prevádzkového poriadku pre pracovné činnosti </w:t>
      </w:r>
      <w:r w:rsidR="00046D10" w:rsidRPr="00DE5294">
        <w:rPr>
          <w:sz w:val="22"/>
          <w:szCs w:val="22"/>
        </w:rPr>
        <w:t>s biologickými faktormi</w:t>
      </w:r>
      <w:r w:rsidRPr="00DE5294">
        <w:rPr>
          <w:sz w:val="22"/>
          <w:szCs w:val="22"/>
        </w:rPr>
        <w:t>.</w:t>
      </w:r>
    </w:p>
    <w:p w:rsidR="00A96045" w:rsidRPr="00DE5294" w:rsidRDefault="00A96045" w:rsidP="00A96045">
      <w:pPr>
        <w:pStyle w:val="Textkomentra"/>
        <w:jc w:val="both"/>
        <w:rPr>
          <w:sz w:val="22"/>
          <w:szCs w:val="22"/>
        </w:rPr>
      </w:pPr>
      <w:r w:rsidRPr="00DE5294">
        <w:rPr>
          <w:sz w:val="22"/>
          <w:szCs w:val="22"/>
        </w:rPr>
        <w:t>Zároveň bude tento úbytok príjmov v rozpočte verejnej správy vykrytý nárastom príjmov v štátnom rozpočte z ostatnej činnosti Úradu verejného zdravotníctva Slovenskej republiky a regionálnych úradov verejného zdravotníctva.</w:t>
      </w:r>
    </w:p>
    <w:p w:rsidR="00A96045" w:rsidRPr="00DE5294" w:rsidRDefault="00A96045">
      <w:pPr>
        <w:spacing w:after="200" w:line="276" w:lineRule="auto"/>
        <w:rPr>
          <w:i/>
          <w:iCs/>
          <w:sz w:val="24"/>
          <w:szCs w:val="24"/>
        </w:rPr>
        <w:sectPr w:rsidR="00A96045" w:rsidRPr="00DE5294" w:rsidSect="00326717">
          <w:headerReference w:type="even" r:id="rId11"/>
          <w:footerReference w:type="even" r:id="rId12"/>
          <w:footerReference w:type="default" r:id="rId13"/>
          <w:pgSz w:w="11906" w:h="16838"/>
          <w:pgMar w:top="1417" w:right="1417" w:bottom="1276" w:left="1417" w:header="708" w:footer="708" w:gutter="0"/>
          <w:cols w:space="708"/>
          <w:titlePg/>
          <w:rtlGutter/>
          <w:docGrid w:linePitch="360"/>
        </w:sectPr>
      </w:pPr>
    </w:p>
    <w:tbl>
      <w:tblPr>
        <w:tblpPr w:leftFromText="141" w:rightFromText="141" w:horzAnchor="margin" w:tblpXSpec="center" w:tblpY="533"/>
        <w:tblW w:w="132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2303"/>
      </w:tblGrid>
      <w:tr w:rsidR="00326717" w:rsidRPr="00DE5294" w:rsidTr="00351ADA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lastRenderedPageBreak/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poznámka</w:t>
            </w:r>
          </w:p>
        </w:tc>
      </w:tr>
      <w:tr w:rsidR="00326717" w:rsidRPr="00DE5294" w:rsidTr="00351ADA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DE5294">
              <w:rPr>
                <w:b/>
                <w:bCs/>
                <w:sz w:val="22"/>
                <w:szCs w:val="22"/>
              </w:rPr>
              <w:t>Daňové príjmy (100)</w:t>
            </w:r>
            <w:r w:rsidRPr="00DE529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Nedaňové príjmy (220)</w:t>
            </w:r>
            <w:r w:rsidRPr="00DE529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-</w:t>
            </w:r>
            <w:r w:rsidR="00351ADA" w:rsidRPr="00DE5294">
              <w:rPr>
                <w:b/>
                <w:bCs/>
                <w:sz w:val="22"/>
                <w:szCs w:val="22"/>
              </w:rPr>
              <w:t>1</w:t>
            </w:r>
            <w:r w:rsidR="00B252A6" w:rsidRPr="00DE5294">
              <w:rPr>
                <w:b/>
                <w:bCs/>
                <w:sz w:val="22"/>
                <w:szCs w:val="22"/>
              </w:rPr>
              <w:t> </w:t>
            </w:r>
            <w:r w:rsidR="00351ADA" w:rsidRPr="00DE5294">
              <w:rPr>
                <w:b/>
                <w:bCs/>
                <w:sz w:val="22"/>
                <w:szCs w:val="22"/>
              </w:rPr>
              <w:t>000</w:t>
            </w:r>
          </w:p>
          <w:p w:rsidR="00B252A6" w:rsidRPr="00DE5294" w:rsidRDefault="00B252A6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51ADA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-1</w:t>
            </w:r>
            <w:r w:rsidR="00B252A6" w:rsidRPr="00DE5294">
              <w:rPr>
                <w:b/>
                <w:bCs/>
                <w:sz w:val="22"/>
                <w:szCs w:val="22"/>
              </w:rPr>
              <w:t> </w:t>
            </w:r>
            <w:r w:rsidRPr="00DE5294">
              <w:rPr>
                <w:b/>
                <w:bCs/>
                <w:sz w:val="22"/>
                <w:szCs w:val="22"/>
              </w:rPr>
              <w:t>000</w:t>
            </w:r>
          </w:p>
          <w:p w:rsidR="00B252A6" w:rsidRPr="00DE5294" w:rsidRDefault="00B252A6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51ADA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-1</w:t>
            </w:r>
            <w:r w:rsidR="00B252A6" w:rsidRPr="00DE5294">
              <w:rPr>
                <w:b/>
                <w:bCs/>
                <w:sz w:val="22"/>
                <w:szCs w:val="22"/>
              </w:rPr>
              <w:t> </w:t>
            </w:r>
            <w:r w:rsidRPr="00DE5294">
              <w:rPr>
                <w:b/>
                <w:bCs/>
                <w:sz w:val="22"/>
                <w:szCs w:val="22"/>
              </w:rPr>
              <w:t>000</w:t>
            </w:r>
          </w:p>
          <w:p w:rsidR="00B252A6" w:rsidRPr="00DE5294" w:rsidRDefault="00B252A6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1 000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Nedaňové príjmy (222003)</w:t>
            </w:r>
            <w:r w:rsidRPr="00DE529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51ADA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51ADA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51ADA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Granty a transfery (300)</w:t>
            </w:r>
            <w:r w:rsidRPr="00DE5294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0640C4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 </w:t>
            </w:r>
            <w:r w:rsidR="00326717" w:rsidRPr="00DE52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0640C4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 </w:t>
            </w:r>
            <w:r w:rsidR="00326717" w:rsidRPr="00DE52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51ADA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51ADA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51ADA" w:rsidP="00C5547C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</w:tbl>
    <w:p w:rsidR="00326717" w:rsidRPr="00DE5294" w:rsidRDefault="00326717" w:rsidP="00326717">
      <w:pPr>
        <w:tabs>
          <w:tab w:val="num" w:pos="1080"/>
        </w:tabs>
        <w:jc w:val="both"/>
        <w:rPr>
          <w:bCs/>
          <w:sz w:val="24"/>
        </w:rPr>
      </w:pPr>
    </w:p>
    <w:p w:rsidR="00326717" w:rsidRPr="00DE5294" w:rsidRDefault="00326717" w:rsidP="00326717">
      <w:pPr>
        <w:tabs>
          <w:tab w:val="num" w:pos="1080"/>
        </w:tabs>
        <w:jc w:val="both"/>
        <w:rPr>
          <w:bCs/>
        </w:rPr>
      </w:pPr>
      <w:r w:rsidRPr="00DE5294">
        <w:rPr>
          <w:bCs/>
        </w:rPr>
        <w:t>1 –  príjmy rozpísať až do položiek platnej ekonomickej klasifikácie</w:t>
      </w:r>
    </w:p>
    <w:p w:rsidR="002918E2" w:rsidRPr="00DE5294" w:rsidRDefault="002918E2" w:rsidP="00326717">
      <w:pPr>
        <w:tabs>
          <w:tab w:val="num" w:pos="1080"/>
        </w:tabs>
        <w:jc w:val="both"/>
        <w:rPr>
          <w:bCs/>
        </w:rPr>
      </w:pPr>
    </w:p>
    <w:p w:rsidR="002918E2" w:rsidRPr="00DE5294" w:rsidRDefault="002918E2" w:rsidP="00326717">
      <w:pPr>
        <w:tabs>
          <w:tab w:val="num" w:pos="1080"/>
        </w:tabs>
        <w:jc w:val="both"/>
        <w:rPr>
          <w:bCs/>
        </w:rPr>
      </w:pPr>
    </w:p>
    <w:p w:rsidR="002918E2" w:rsidRPr="00DE5294" w:rsidRDefault="002918E2" w:rsidP="00326717">
      <w:pPr>
        <w:tabs>
          <w:tab w:val="num" w:pos="1080"/>
        </w:tabs>
        <w:jc w:val="both"/>
        <w:rPr>
          <w:bCs/>
        </w:rPr>
      </w:pPr>
    </w:p>
    <w:p w:rsidR="00326717" w:rsidRPr="00DE5294" w:rsidRDefault="00326717" w:rsidP="00326717">
      <w:pPr>
        <w:tabs>
          <w:tab w:val="num" w:pos="1080"/>
        </w:tabs>
        <w:jc w:val="both"/>
        <w:rPr>
          <w:b/>
          <w:bCs/>
          <w:sz w:val="22"/>
          <w:szCs w:val="22"/>
        </w:rPr>
      </w:pPr>
      <w:r w:rsidRPr="00DE5294">
        <w:rPr>
          <w:b/>
          <w:bCs/>
          <w:sz w:val="22"/>
          <w:szCs w:val="22"/>
        </w:rPr>
        <w:t>Poznámka:</w:t>
      </w:r>
    </w:p>
    <w:p w:rsidR="00326717" w:rsidRPr="00DE5294" w:rsidRDefault="00326717" w:rsidP="00326717">
      <w:pPr>
        <w:tabs>
          <w:tab w:val="num" w:pos="1080"/>
        </w:tabs>
        <w:jc w:val="both"/>
        <w:rPr>
          <w:bCs/>
          <w:sz w:val="22"/>
          <w:szCs w:val="22"/>
        </w:rPr>
      </w:pPr>
      <w:r w:rsidRPr="00DE5294">
        <w:rPr>
          <w:bCs/>
          <w:sz w:val="22"/>
          <w:szCs w:val="22"/>
        </w:rPr>
        <w:t>Ak sa vplyv týka viacerých subjektov verejnej správy, vypĺňa sa samostatná tabuľka za každý subjekt.</w:t>
      </w:r>
    </w:p>
    <w:p w:rsidR="00326717" w:rsidRPr="00DE5294" w:rsidRDefault="00326717" w:rsidP="00326717">
      <w:pPr>
        <w:tabs>
          <w:tab w:val="num" w:pos="1080"/>
        </w:tabs>
        <w:ind w:right="-578"/>
        <w:jc w:val="right"/>
        <w:rPr>
          <w:bCs/>
          <w:sz w:val="22"/>
          <w:szCs w:val="22"/>
        </w:rPr>
      </w:pPr>
    </w:p>
    <w:p w:rsidR="00326717" w:rsidRPr="00DE5294" w:rsidRDefault="00326717" w:rsidP="00326717">
      <w:pPr>
        <w:tabs>
          <w:tab w:val="num" w:pos="1080"/>
        </w:tabs>
        <w:ind w:right="-578"/>
        <w:jc w:val="right"/>
        <w:rPr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81"/>
        <w:tblW w:w="133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364"/>
        <w:gridCol w:w="1275"/>
        <w:gridCol w:w="1134"/>
        <w:gridCol w:w="1276"/>
        <w:gridCol w:w="1276"/>
      </w:tblGrid>
      <w:tr w:rsidR="00326717" w:rsidRPr="00DE5294" w:rsidTr="00351ADA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Výdavky (v eurách)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poznámka</w:t>
            </w:r>
          </w:p>
        </w:tc>
      </w:tr>
      <w:tr w:rsidR="00326717" w:rsidRPr="00DE5294" w:rsidTr="00351ADA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Bežné výdavky (600)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  Mzdy, platy, služobné príjmy a ostatné osobné vyrovnania (610)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sz w:val="22"/>
                <w:szCs w:val="22"/>
                <w:vertAlign w:val="superscript"/>
              </w:rPr>
            </w:pPr>
            <w:r w:rsidRPr="00DE5294">
              <w:rPr>
                <w:sz w:val="22"/>
                <w:szCs w:val="22"/>
              </w:rPr>
              <w:t xml:space="preserve">  Poistné a príspevok do poisťovní (620)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sz w:val="22"/>
                <w:szCs w:val="22"/>
                <w:vertAlign w:val="superscript"/>
              </w:rPr>
            </w:pPr>
            <w:r w:rsidRPr="00DE5294">
              <w:rPr>
                <w:sz w:val="22"/>
                <w:szCs w:val="22"/>
              </w:rPr>
              <w:t xml:space="preserve">  Tovary a služby (630)</w:t>
            </w:r>
            <w:r w:rsidRPr="00DE529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  Bežné transfery (640)</w:t>
            </w:r>
            <w:r w:rsidRPr="00DE529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  Splácanie úrokov a ostatné platby súvisiace s  úverom, pôžičkou, návratnou finančnou výpomocou a finančným prenájmom (650)</w:t>
            </w:r>
            <w:r w:rsidRPr="00DE529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Kapitálové výdavky (700)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  Obstarávanie kapitálových aktív (710)</w:t>
            </w:r>
            <w:r w:rsidRPr="00DE529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  Kapitálové transfery (720)</w:t>
            </w:r>
            <w:r w:rsidRPr="00DE529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Výdavky z transakcií s finančnými aktívami a finančnými pasívami (800)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351ADA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Dopad na výdavky verejnej správy celkom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2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26717" w:rsidRPr="00DE5294" w:rsidRDefault="00326717" w:rsidP="00326717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</w:tbl>
    <w:p w:rsidR="00326717" w:rsidRPr="00DE5294" w:rsidRDefault="00326717" w:rsidP="00351ADA">
      <w:pPr>
        <w:tabs>
          <w:tab w:val="num" w:pos="1080"/>
        </w:tabs>
        <w:jc w:val="both"/>
        <w:rPr>
          <w:bCs/>
          <w:sz w:val="22"/>
          <w:szCs w:val="22"/>
        </w:rPr>
      </w:pPr>
      <w:r w:rsidRPr="00DE5294">
        <w:rPr>
          <w:bCs/>
          <w:sz w:val="22"/>
          <w:szCs w:val="22"/>
        </w:rPr>
        <w:t>2 –  výdavky rozpísať až do položiek platnej ekonomickej klasifikácie</w:t>
      </w:r>
    </w:p>
    <w:p w:rsidR="00351ADA" w:rsidRPr="00DE5294" w:rsidRDefault="00351ADA" w:rsidP="00351ADA">
      <w:pPr>
        <w:tabs>
          <w:tab w:val="num" w:pos="1080"/>
        </w:tabs>
        <w:ind w:left="-902"/>
        <w:jc w:val="both"/>
        <w:rPr>
          <w:bCs/>
          <w:sz w:val="22"/>
          <w:szCs w:val="22"/>
        </w:rPr>
      </w:pPr>
    </w:p>
    <w:p w:rsidR="00326717" w:rsidRPr="00DE5294" w:rsidRDefault="00326717" w:rsidP="00351ADA">
      <w:pPr>
        <w:tabs>
          <w:tab w:val="num" w:pos="1080"/>
        </w:tabs>
        <w:jc w:val="both"/>
        <w:rPr>
          <w:b/>
          <w:bCs/>
          <w:sz w:val="22"/>
          <w:szCs w:val="22"/>
        </w:rPr>
      </w:pPr>
      <w:r w:rsidRPr="00DE5294">
        <w:rPr>
          <w:b/>
          <w:bCs/>
          <w:sz w:val="22"/>
          <w:szCs w:val="22"/>
        </w:rPr>
        <w:t>Poznámka:</w:t>
      </w:r>
    </w:p>
    <w:p w:rsidR="00326717" w:rsidRPr="00DE5294" w:rsidRDefault="00326717" w:rsidP="00351ADA">
      <w:pPr>
        <w:tabs>
          <w:tab w:val="num" w:pos="1080"/>
        </w:tabs>
        <w:jc w:val="both"/>
        <w:rPr>
          <w:bCs/>
          <w:sz w:val="22"/>
          <w:szCs w:val="22"/>
        </w:rPr>
      </w:pPr>
      <w:r w:rsidRPr="00DE5294">
        <w:rPr>
          <w:bCs/>
          <w:sz w:val="22"/>
          <w:szCs w:val="22"/>
        </w:rPr>
        <w:t>Ak sa vplyv týka viacerých subjektov verejnej správy, vypĺňa sa samostatná tabuľka za každý subjekt.</w:t>
      </w:r>
    </w:p>
    <w:p w:rsidR="00351ADA" w:rsidRPr="00DE5294" w:rsidRDefault="00351ADA" w:rsidP="00351ADA">
      <w:pPr>
        <w:tabs>
          <w:tab w:val="num" w:pos="1080"/>
        </w:tabs>
        <w:jc w:val="both"/>
        <w:rPr>
          <w:bCs/>
          <w:sz w:val="22"/>
          <w:szCs w:val="22"/>
        </w:rPr>
      </w:pP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362"/>
        <w:gridCol w:w="1048"/>
        <w:gridCol w:w="1276"/>
        <w:gridCol w:w="184"/>
        <w:gridCol w:w="160"/>
        <w:gridCol w:w="932"/>
        <w:gridCol w:w="1417"/>
        <w:gridCol w:w="1541"/>
        <w:gridCol w:w="160"/>
      </w:tblGrid>
      <w:tr w:rsidR="00326717" w:rsidRPr="00DE5294" w:rsidTr="00CF259E">
        <w:trPr>
          <w:gridAfter w:val="2"/>
          <w:wAfter w:w="1701" w:type="dxa"/>
          <w:cantSplit/>
          <w:trHeight w:val="255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Zamestnanosť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Vplyv na rozpočet verejnej správy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poznámka</w:t>
            </w:r>
          </w:p>
        </w:tc>
      </w:tr>
      <w:tr w:rsidR="00326717" w:rsidRPr="00DE5294" w:rsidTr="00CF259E">
        <w:trPr>
          <w:gridAfter w:val="2"/>
          <w:wAfter w:w="1701" w:type="dxa"/>
          <w:cantSplit/>
          <w:trHeight w:val="255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Počet zamestnancov celkom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Priemerný mzdový výdavok (v eurách)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Osobné výdavky celkom (v eurách)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Mzdy, platy, služobné príjmy a ostatné osobné vyrovnania (610)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Poistné a príspevok do poisťovní (620)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 xml:space="preserve">   z toho vplyv na ŠR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717" w:rsidRPr="00DE5294" w:rsidRDefault="00326717" w:rsidP="00351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 </w:t>
            </w: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326717" w:rsidRPr="00DE5294" w:rsidRDefault="00326717" w:rsidP="00351ADA">
            <w:pPr>
              <w:rPr>
                <w:b/>
                <w:bCs/>
                <w:sz w:val="22"/>
                <w:szCs w:val="22"/>
              </w:rPr>
            </w:pPr>
            <w:r w:rsidRPr="00DE5294">
              <w:rPr>
                <w:b/>
                <w:bCs/>
                <w:sz w:val="22"/>
                <w:szCs w:val="22"/>
              </w:rPr>
              <w:t>Poznámky: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</w:tr>
      <w:tr w:rsidR="00326717" w:rsidRPr="00DE5294" w:rsidTr="00CF259E">
        <w:trPr>
          <w:gridAfter w:val="2"/>
          <w:wAfter w:w="1701" w:type="dxa"/>
          <w:trHeight w:val="25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326717" w:rsidRPr="00DE5294" w:rsidRDefault="00326717" w:rsidP="00351ADA">
            <w:pPr>
              <w:tabs>
                <w:tab w:val="num" w:pos="1080"/>
              </w:tabs>
              <w:jc w:val="both"/>
              <w:rPr>
                <w:bCs/>
                <w:sz w:val="22"/>
                <w:szCs w:val="22"/>
              </w:rPr>
            </w:pPr>
            <w:r w:rsidRPr="00DE5294">
              <w:rPr>
                <w:bCs/>
                <w:sz w:val="22"/>
                <w:szCs w:val="22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</w:tr>
      <w:tr w:rsidR="00326717" w:rsidRPr="00DE5294" w:rsidTr="00CF259E">
        <w:trPr>
          <w:trHeight w:val="255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Kategórie 610 a 620 sú z tejto prílohy prenášané do príslušných kategórií prílohy „výdavky“.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6717" w:rsidRPr="00DE5294" w:rsidRDefault="00326717" w:rsidP="00351ADA">
            <w:pPr>
              <w:rPr>
                <w:sz w:val="22"/>
                <w:szCs w:val="22"/>
              </w:rPr>
            </w:pPr>
          </w:p>
        </w:tc>
      </w:tr>
    </w:tbl>
    <w:p w:rsidR="00326717" w:rsidRPr="00DE5294" w:rsidRDefault="00326717" w:rsidP="00351ADA">
      <w:pPr>
        <w:sectPr w:rsidR="00326717" w:rsidRPr="00DE5294" w:rsidSect="00326717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26717" w:rsidRPr="00DE5294" w:rsidTr="00326717">
        <w:trPr>
          <w:trHeight w:val="567"/>
        </w:trPr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jc w:val="center"/>
              <w:rPr>
                <w:b/>
                <w:sz w:val="24"/>
              </w:rPr>
            </w:pPr>
            <w:r w:rsidRPr="00DE5294">
              <w:rPr>
                <w:b/>
                <w:sz w:val="28"/>
              </w:rPr>
              <w:lastRenderedPageBreak/>
              <w:t xml:space="preserve">Analýza vplyvov na podnikateľské prostredie </w:t>
            </w:r>
          </w:p>
          <w:p w:rsidR="00326717" w:rsidRPr="00DE5294" w:rsidRDefault="00326717" w:rsidP="00326717">
            <w:pPr>
              <w:jc w:val="center"/>
              <w:rPr>
                <w:b/>
              </w:rPr>
            </w:pPr>
            <w:r w:rsidRPr="00DE5294">
              <w:rPr>
                <w:b/>
                <w:sz w:val="24"/>
              </w:rPr>
              <w:t>(vrátane testu MSP)</w:t>
            </w:r>
          </w:p>
        </w:tc>
      </w:tr>
      <w:tr w:rsidR="00326717" w:rsidRPr="00DE5294" w:rsidTr="00326717">
        <w:trPr>
          <w:trHeight w:val="567"/>
        </w:trPr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rPr>
                <w:b/>
                <w:sz w:val="24"/>
              </w:rPr>
            </w:pPr>
            <w:r w:rsidRPr="00DE5294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326717" w:rsidRPr="00DE5294" w:rsidTr="00326717">
        <w:trPr>
          <w:trHeight w:val="567"/>
        </w:trPr>
        <w:tc>
          <w:tcPr>
            <w:tcW w:w="921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5"/>
              <w:gridCol w:w="8411"/>
            </w:tblGrid>
            <w:tr w:rsidR="00326717" w:rsidRPr="00DE5294" w:rsidTr="00326717">
              <w:tc>
                <w:tcPr>
                  <w:tcW w:w="436" w:type="dxa"/>
                </w:tcPr>
                <w:p w:rsidR="00326717" w:rsidRPr="00DE5294" w:rsidRDefault="00326717" w:rsidP="00326717">
                  <w:pPr>
                    <w:jc w:val="center"/>
                  </w:pPr>
                  <w:r w:rsidRPr="00DE5294">
                    <w:rPr>
                      <w:rFonts w:ascii="Segoe UI Symbol" w:eastAsia="MS Mincho" w:hAnsi="Segoe UI Symbol" w:cs="Segoe UI Symbol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326717" w:rsidRPr="00DE5294" w:rsidRDefault="00326717" w:rsidP="00326717">
                  <w:pPr>
                    <w:rPr>
                      <w:b/>
                    </w:rPr>
                  </w:pPr>
                  <w:r w:rsidRPr="00DE5294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326717" w:rsidRPr="00DE5294" w:rsidTr="00326717">
              <w:tc>
                <w:tcPr>
                  <w:tcW w:w="436" w:type="dxa"/>
                </w:tcPr>
                <w:p w:rsidR="00326717" w:rsidRPr="00DE5294" w:rsidRDefault="00326717" w:rsidP="00326717">
                  <w:pPr>
                    <w:jc w:val="center"/>
                  </w:pPr>
                  <w:r w:rsidRPr="00DE5294">
                    <w:rPr>
                      <w:rFonts w:ascii="Segoe UI Symbol" w:eastAsia="MS Mincho" w:hAnsi="Segoe UI Symbol" w:cs="Segoe UI Symbol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:rsidR="00326717" w:rsidRPr="00DE5294" w:rsidRDefault="00326717" w:rsidP="00326717">
                  <w:pPr>
                    <w:rPr>
                      <w:b/>
                    </w:rPr>
                  </w:pPr>
                  <w:r w:rsidRPr="00DE5294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326717" w:rsidRPr="00DE5294" w:rsidTr="00326717">
              <w:tc>
                <w:tcPr>
                  <w:tcW w:w="436" w:type="dxa"/>
                </w:tcPr>
                <w:p w:rsidR="00326717" w:rsidRPr="00DE5294" w:rsidRDefault="00326717" w:rsidP="00326717">
                  <w:pPr>
                    <w:jc w:val="center"/>
                  </w:pPr>
                  <w:r w:rsidRPr="00DE5294">
                    <w:rPr>
                      <w:rFonts w:ascii="Segoe UI Symbol" w:hAnsi="Segoe UI Symbol" w:cs="Segoe UI Symbol"/>
                      <w:b/>
                    </w:rPr>
                    <w:t>☒</w:t>
                  </w:r>
                </w:p>
              </w:tc>
              <w:tc>
                <w:tcPr>
                  <w:tcW w:w="8545" w:type="dxa"/>
                </w:tcPr>
                <w:p w:rsidR="00326717" w:rsidRPr="00DE5294" w:rsidRDefault="00326717" w:rsidP="00326717">
                  <w:r w:rsidRPr="00DE5294">
                    <w:rPr>
                      <w:b/>
                    </w:rPr>
                    <w:t>na všetky kategórie podnikov</w:t>
                  </w:r>
                </w:p>
              </w:tc>
            </w:tr>
          </w:tbl>
          <w:p w:rsidR="00326717" w:rsidRPr="00DE5294" w:rsidRDefault="00326717" w:rsidP="00326717">
            <w:pPr>
              <w:rPr>
                <w:b/>
              </w:rPr>
            </w:pPr>
          </w:p>
        </w:tc>
      </w:tr>
      <w:tr w:rsidR="00326717" w:rsidRPr="00DE5294" w:rsidTr="00326717"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rPr>
                <w:b/>
                <w:sz w:val="24"/>
              </w:rPr>
            </w:pPr>
            <w:r w:rsidRPr="00DE5294">
              <w:rPr>
                <w:b/>
                <w:sz w:val="24"/>
              </w:rPr>
              <w:t>3.1 Dotknuté podnikateľské subjekty</w:t>
            </w:r>
          </w:p>
          <w:p w:rsidR="00326717" w:rsidRPr="00DE5294" w:rsidRDefault="00326717" w:rsidP="00326717">
            <w:pPr>
              <w:ind w:left="284"/>
              <w:rPr>
                <w:b/>
              </w:rPr>
            </w:pPr>
            <w:r w:rsidRPr="00DE5294">
              <w:rPr>
                <w:sz w:val="24"/>
              </w:rPr>
              <w:t xml:space="preserve"> - </w:t>
            </w:r>
            <w:r w:rsidRPr="00DE5294">
              <w:rPr>
                <w:b/>
                <w:sz w:val="24"/>
              </w:rPr>
              <w:t>z toho MSP</w:t>
            </w:r>
          </w:p>
        </w:tc>
      </w:tr>
      <w:tr w:rsidR="00326717" w:rsidRPr="00DE5294" w:rsidTr="00326717">
        <w:trPr>
          <w:trHeight w:val="1440"/>
        </w:trPr>
        <w:tc>
          <w:tcPr>
            <w:tcW w:w="9212" w:type="dxa"/>
          </w:tcPr>
          <w:p w:rsidR="00326717" w:rsidRPr="00DE5294" w:rsidRDefault="00CF259E" w:rsidP="00282D83">
            <w:pPr>
              <w:jc w:val="both"/>
            </w:pPr>
            <w:r w:rsidRPr="00DE5294">
              <w:rPr>
                <w:sz w:val="22"/>
                <w:szCs w:val="22"/>
              </w:rPr>
              <w:t xml:space="preserve">Dotknutými subjektami pre pozitívny vplyv na podnikateľské prostredie sú podnikateľské subjekty, ktoré nebudú musieť predložiť orgánu verejného zdravotníctva na schválenie prevádzkový poriadok pre pracovné činnosti </w:t>
            </w:r>
            <w:r w:rsidR="00046D10" w:rsidRPr="00DE5294">
              <w:rPr>
                <w:sz w:val="22"/>
                <w:szCs w:val="22"/>
              </w:rPr>
              <w:t>s biologickými faktormi</w:t>
            </w:r>
            <w:r w:rsidRPr="00DE5294">
              <w:rPr>
                <w:sz w:val="22"/>
                <w:szCs w:val="22"/>
              </w:rPr>
              <w:t xml:space="preserve">. Odhadom sa predpokladá, že ročne predložia podnikateľské subjekty na schválenie orgánom verejného zdravotníctva v </w:t>
            </w:r>
            <w:r w:rsidR="00282D83" w:rsidRPr="00DE5294">
              <w:rPr>
                <w:sz w:val="22"/>
                <w:szCs w:val="22"/>
              </w:rPr>
              <w:t>Slovenskej republike</w:t>
            </w:r>
            <w:r w:rsidRPr="00DE5294">
              <w:rPr>
                <w:sz w:val="22"/>
                <w:szCs w:val="22"/>
              </w:rPr>
              <w:t xml:space="preserve"> cca 20 prevádzkových poriadkov pre pracovné činnosti </w:t>
            </w:r>
            <w:r w:rsidR="00046D10" w:rsidRPr="00DE5294">
              <w:rPr>
                <w:sz w:val="22"/>
                <w:szCs w:val="22"/>
              </w:rPr>
              <w:t>s biologickými faktormi</w:t>
            </w:r>
            <w:r w:rsidRPr="00DE5294">
              <w:rPr>
                <w:sz w:val="22"/>
                <w:szCs w:val="22"/>
              </w:rPr>
              <w:t>.</w:t>
            </w:r>
            <w:r w:rsidR="005D5EB1" w:rsidRPr="00DE5294">
              <w:rPr>
                <w:sz w:val="22"/>
                <w:szCs w:val="22"/>
              </w:rPr>
              <w:t xml:space="preserve"> Prevádzkový poriadok sa vzťahuje na prevádzku, teda sa predpokladá počet dotknutých subjektov: 20.</w:t>
            </w:r>
          </w:p>
        </w:tc>
      </w:tr>
      <w:tr w:rsidR="00326717" w:rsidRPr="00DE5294" w:rsidTr="00326717">
        <w:trPr>
          <w:trHeight w:val="339"/>
        </w:trPr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rPr>
                <w:b/>
                <w:sz w:val="24"/>
              </w:rPr>
            </w:pPr>
            <w:r w:rsidRPr="00DE5294">
              <w:rPr>
                <w:b/>
                <w:sz w:val="24"/>
              </w:rPr>
              <w:t>3.2 Vyhodnotenie konzultácií</w:t>
            </w:r>
          </w:p>
          <w:p w:rsidR="00326717" w:rsidRPr="00DE5294" w:rsidRDefault="00326717" w:rsidP="00326717">
            <w:pPr>
              <w:rPr>
                <w:b/>
              </w:rPr>
            </w:pPr>
            <w:r w:rsidRPr="00DE5294">
              <w:rPr>
                <w:sz w:val="24"/>
              </w:rPr>
              <w:t xml:space="preserve">       - </w:t>
            </w:r>
            <w:r w:rsidRPr="00DE5294">
              <w:rPr>
                <w:b/>
                <w:sz w:val="24"/>
              </w:rPr>
              <w:t>z toho MSP</w:t>
            </w:r>
          </w:p>
        </w:tc>
      </w:tr>
      <w:tr w:rsidR="00326717" w:rsidRPr="00DE5294" w:rsidTr="00326717">
        <w:trPr>
          <w:trHeight w:val="1394"/>
        </w:trPr>
        <w:tc>
          <w:tcPr>
            <w:tcW w:w="9212" w:type="dxa"/>
          </w:tcPr>
          <w:p w:rsidR="00CF259E" w:rsidRPr="00DE5294" w:rsidRDefault="00326717" w:rsidP="00326717">
            <w:pPr>
              <w:jc w:val="both"/>
              <w:rPr>
                <w:iCs/>
                <w:sz w:val="22"/>
                <w:szCs w:val="22"/>
              </w:rPr>
            </w:pPr>
            <w:r w:rsidRPr="00DE5294">
              <w:rPr>
                <w:iCs/>
                <w:sz w:val="22"/>
                <w:szCs w:val="22"/>
              </w:rPr>
              <w:t xml:space="preserve">Ministerstvo zdravotníctva </w:t>
            </w:r>
            <w:r w:rsidR="00282D83" w:rsidRPr="00DE5294">
              <w:rPr>
                <w:sz w:val="22"/>
                <w:szCs w:val="22"/>
              </w:rPr>
              <w:t>Slovenskej republiky</w:t>
            </w:r>
            <w:r w:rsidR="00CF259E" w:rsidRPr="00DE5294">
              <w:rPr>
                <w:iCs/>
                <w:sz w:val="22"/>
                <w:szCs w:val="22"/>
              </w:rPr>
              <w:t xml:space="preserve"> </w:t>
            </w:r>
            <w:r w:rsidRPr="00DE5294">
              <w:rPr>
                <w:iCs/>
                <w:sz w:val="22"/>
                <w:szCs w:val="22"/>
              </w:rPr>
              <w:t>zver</w:t>
            </w:r>
            <w:r w:rsidR="00CF259E" w:rsidRPr="00DE5294">
              <w:rPr>
                <w:iCs/>
                <w:sz w:val="22"/>
                <w:szCs w:val="22"/>
              </w:rPr>
              <w:t>ejnilo na portáli</w:t>
            </w:r>
            <w:r w:rsidRPr="00DE5294">
              <w:rPr>
                <w:iCs/>
                <w:sz w:val="22"/>
                <w:szCs w:val="22"/>
              </w:rPr>
              <w:t xml:space="preserve"> </w:t>
            </w:r>
            <w:r w:rsidR="00CF259E" w:rsidRPr="00DE5294">
              <w:rPr>
                <w:iCs/>
                <w:sz w:val="22"/>
                <w:szCs w:val="22"/>
              </w:rPr>
              <w:t>S</w:t>
            </w:r>
            <w:r w:rsidRPr="00DE5294">
              <w:rPr>
                <w:iCs/>
                <w:sz w:val="22"/>
                <w:szCs w:val="22"/>
              </w:rPr>
              <w:t>lov</w:t>
            </w:r>
            <w:r w:rsidR="00CF259E" w:rsidRPr="00DE5294">
              <w:rPr>
                <w:iCs/>
                <w:sz w:val="22"/>
                <w:szCs w:val="22"/>
              </w:rPr>
              <w:t>-L</w:t>
            </w:r>
            <w:r w:rsidRPr="00DE5294">
              <w:rPr>
                <w:iCs/>
                <w:sz w:val="22"/>
                <w:szCs w:val="22"/>
              </w:rPr>
              <w:t>ex predbežnú informáciu</w:t>
            </w:r>
            <w:r w:rsidR="00CF259E" w:rsidRPr="00DE5294">
              <w:rPr>
                <w:iCs/>
                <w:sz w:val="22"/>
                <w:szCs w:val="22"/>
              </w:rPr>
              <w:t xml:space="preserve"> k návrhu nariadenia vlády</w:t>
            </w:r>
            <w:r w:rsidRPr="00DE5294">
              <w:rPr>
                <w:iCs/>
                <w:sz w:val="22"/>
                <w:szCs w:val="22"/>
              </w:rPr>
              <w:t xml:space="preserve">. </w:t>
            </w:r>
            <w:r w:rsidR="00CF259E" w:rsidRPr="00DE5294">
              <w:rPr>
                <w:iCs/>
                <w:sz w:val="22"/>
                <w:szCs w:val="22"/>
              </w:rPr>
              <w:t xml:space="preserve">Pripomienkové konanie prebieha od </w:t>
            </w:r>
            <w:r w:rsidR="00F96D4F" w:rsidRPr="00DE5294">
              <w:rPr>
                <w:iCs/>
                <w:sz w:val="22"/>
                <w:szCs w:val="22"/>
              </w:rPr>
              <w:t xml:space="preserve">augusta </w:t>
            </w:r>
            <w:r w:rsidR="00CF259E" w:rsidRPr="00DE5294">
              <w:rPr>
                <w:iCs/>
                <w:sz w:val="22"/>
                <w:szCs w:val="22"/>
              </w:rPr>
              <w:t>20</w:t>
            </w:r>
            <w:r w:rsidR="00282D83" w:rsidRPr="00DE5294">
              <w:rPr>
                <w:iCs/>
                <w:sz w:val="22"/>
                <w:szCs w:val="22"/>
              </w:rPr>
              <w:t>20</w:t>
            </w:r>
            <w:r w:rsidR="00CF259E" w:rsidRPr="00DE5294">
              <w:rPr>
                <w:iCs/>
                <w:sz w:val="22"/>
                <w:szCs w:val="22"/>
              </w:rPr>
              <w:t>.</w:t>
            </w:r>
          </w:p>
          <w:p w:rsidR="00326717" w:rsidRPr="00DE5294" w:rsidRDefault="00CF259E" w:rsidP="00326717">
            <w:pPr>
              <w:jc w:val="both"/>
              <w:rPr>
                <w:iCs/>
                <w:sz w:val="22"/>
                <w:szCs w:val="22"/>
              </w:rPr>
            </w:pPr>
            <w:r w:rsidRPr="00DE5294">
              <w:rPr>
                <w:iCs/>
                <w:sz w:val="22"/>
                <w:szCs w:val="22"/>
              </w:rPr>
              <w:t>O </w:t>
            </w:r>
            <w:r w:rsidR="00114C89" w:rsidRPr="00DE5294">
              <w:rPr>
                <w:iCs/>
                <w:sz w:val="22"/>
                <w:szCs w:val="22"/>
              </w:rPr>
              <w:t>nutnosti</w:t>
            </w:r>
            <w:r w:rsidRPr="00DE5294">
              <w:rPr>
                <w:iCs/>
                <w:sz w:val="22"/>
                <w:szCs w:val="22"/>
              </w:rPr>
              <w:t xml:space="preserve"> vykonať konzultácie s dotknutými subjektami rozhodne Ministerstvo hospodárstva </w:t>
            </w:r>
            <w:r w:rsidR="00282D83" w:rsidRPr="00DE5294">
              <w:rPr>
                <w:sz w:val="22"/>
                <w:szCs w:val="22"/>
              </w:rPr>
              <w:t>Slovenskej republiky</w:t>
            </w:r>
            <w:r w:rsidRPr="00DE5294">
              <w:rPr>
                <w:iCs/>
                <w:sz w:val="22"/>
                <w:szCs w:val="22"/>
              </w:rPr>
              <w:t xml:space="preserve"> v súlade s Jednotnou metodikou na posudzovanie vybraných vplyvov.</w:t>
            </w:r>
          </w:p>
          <w:p w:rsidR="00326717" w:rsidRPr="00DE5294" w:rsidRDefault="00326717" w:rsidP="00326717">
            <w:pPr>
              <w:jc w:val="both"/>
              <w:rPr>
                <w:sz w:val="22"/>
                <w:szCs w:val="22"/>
              </w:rPr>
            </w:pPr>
          </w:p>
        </w:tc>
      </w:tr>
      <w:tr w:rsidR="00326717" w:rsidRPr="00DE5294" w:rsidTr="00326717"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rPr>
                <w:b/>
                <w:sz w:val="24"/>
              </w:rPr>
            </w:pPr>
            <w:r w:rsidRPr="00DE5294">
              <w:rPr>
                <w:b/>
                <w:sz w:val="24"/>
              </w:rPr>
              <w:t>3.3 Náklady regulácie</w:t>
            </w:r>
          </w:p>
          <w:p w:rsidR="00326717" w:rsidRPr="00DE5294" w:rsidRDefault="00326717" w:rsidP="00326717">
            <w:pPr>
              <w:rPr>
                <w:b/>
              </w:rPr>
            </w:pPr>
            <w:r w:rsidRPr="00DE5294">
              <w:rPr>
                <w:sz w:val="24"/>
              </w:rPr>
              <w:t xml:space="preserve">      - </w:t>
            </w:r>
            <w:r w:rsidRPr="00DE5294">
              <w:rPr>
                <w:b/>
                <w:sz w:val="24"/>
              </w:rPr>
              <w:t>z toho MSP</w:t>
            </w:r>
          </w:p>
        </w:tc>
      </w:tr>
      <w:tr w:rsidR="00326717" w:rsidRPr="00DE5294" w:rsidTr="00685034">
        <w:trPr>
          <w:trHeight w:val="404"/>
        </w:trPr>
        <w:tc>
          <w:tcPr>
            <w:tcW w:w="9212" w:type="dxa"/>
          </w:tcPr>
          <w:p w:rsidR="00326717" w:rsidRPr="00DE5294" w:rsidRDefault="00326717" w:rsidP="00326717">
            <w:r w:rsidRPr="00DE5294">
              <w:rPr>
                <w:b/>
                <w:i/>
              </w:rPr>
              <w:t xml:space="preserve">3.3.1 Priame finančné náklady </w:t>
            </w:r>
          </w:p>
        </w:tc>
      </w:tr>
      <w:tr w:rsidR="00326717" w:rsidRPr="00DE5294" w:rsidTr="00326717">
        <w:tc>
          <w:tcPr>
            <w:tcW w:w="9212" w:type="dxa"/>
          </w:tcPr>
          <w:p w:rsidR="00326717" w:rsidRPr="00DE5294" w:rsidRDefault="00CF259E" w:rsidP="00326717">
            <w:pPr>
              <w:jc w:val="both"/>
              <w:rPr>
                <w:b/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>Odhadom sa predpokladá, že ročne predložia podnikateľské subjekty na schválenie orgánom verejného zdravotníctva v </w:t>
            </w:r>
            <w:r w:rsidR="00282D83" w:rsidRPr="00DE5294">
              <w:rPr>
                <w:sz w:val="22"/>
                <w:szCs w:val="22"/>
              </w:rPr>
              <w:t>Slovenskej republike</w:t>
            </w:r>
            <w:r w:rsidRPr="00DE5294">
              <w:rPr>
                <w:sz w:val="22"/>
                <w:szCs w:val="22"/>
              </w:rPr>
              <w:t xml:space="preserve"> cca 20 prevádzkových poriadkov</w:t>
            </w:r>
            <w:r w:rsidR="00685034" w:rsidRPr="00DE5294">
              <w:rPr>
                <w:sz w:val="22"/>
                <w:szCs w:val="22"/>
              </w:rPr>
              <w:t xml:space="preserve"> </w:t>
            </w:r>
            <w:r w:rsidRPr="00DE5294">
              <w:rPr>
                <w:sz w:val="22"/>
                <w:szCs w:val="22"/>
              </w:rPr>
              <w:t xml:space="preserve">pre pracovné činnosti </w:t>
            </w:r>
            <w:r w:rsidR="00046D10" w:rsidRPr="00DE5294">
              <w:rPr>
                <w:sz w:val="22"/>
                <w:szCs w:val="22"/>
              </w:rPr>
              <w:t>s biologickými faktormi</w:t>
            </w:r>
            <w:r w:rsidRPr="00DE5294">
              <w:rPr>
                <w:sz w:val="22"/>
                <w:szCs w:val="22"/>
              </w:rPr>
              <w:t xml:space="preserve">. </w:t>
            </w:r>
            <w:r w:rsidR="005D5EB1" w:rsidRPr="00DE5294">
              <w:rPr>
                <w:sz w:val="22"/>
                <w:szCs w:val="22"/>
              </w:rPr>
              <w:t xml:space="preserve">Prevádzkový poriadok sa vzťahuje na prevádzku, teda sa predpokladá počet dotknutých subjektov: 20. </w:t>
            </w:r>
            <w:r w:rsidRPr="00DE5294">
              <w:rPr>
                <w:sz w:val="22"/>
                <w:szCs w:val="22"/>
              </w:rPr>
              <w:t xml:space="preserve">Správny poplatok za posudzovaciu činnosť orgánu verejného zdravotníctva je 50 eur za posúdenie prevádzkového poriadku, teda </w:t>
            </w:r>
            <w:r w:rsidRPr="00DE5294">
              <w:rPr>
                <w:b/>
                <w:sz w:val="22"/>
                <w:szCs w:val="22"/>
              </w:rPr>
              <w:t>ušetrené náklady podnikateľov na správnych poplatkoch predstavujú cca 1</w:t>
            </w:r>
            <w:r w:rsidR="00C5547C" w:rsidRPr="00DE5294">
              <w:rPr>
                <w:b/>
                <w:sz w:val="22"/>
                <w:szCs w:val="22"/>
              </w:rPr>
              <w:t xml:space="preserve"> </w:t>
            </w:r>
            <w:r w:rsidRPr="00DE5294">
              <w:rPr>
                <w:b/>
                <w:sz w:val="22"/>
                <w:szCs w:val="22"/>
              </w:rPr>
              <w:t>000 eur.</w:t>
            </w:r>
          </w:p>
          <w:p w:rsidR="00685034" w:rsidRPr="00DE5294" w:rsidRDefault="00685034" w:rsidP="00326717">
            <w:pPr>
              <w:jc w:val="both"/>
              <w:rPr>
                <w:b/>
              </w:rPr>
            </w:pPr>
          </w:p>
        </w:tc>
      </w:tr>
      <w:tr w:rsidR="00326717" w:rsidRPr="00DE5294" w:rsidTr="00326717">
        <w:trPr>
          <w:trHeight w:val="569"/>
        </w:trPr>
        <w:tc>
          <w:tcPr>
            <w:tcW w:w="9212" w:type="dxa"/>
          </w:tcPr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b/>
                <w:i/>
              </w:rPr>
              <w:t>3.3.2 Nepriame finančné náklady</w:t>
            </w:r>
          </w:p>
        </w:tc>
      </w:tr>
      <w:tr w:rsidR="00326717" w:rsidRPr="00DE5294" w:rsidTr="00326717">
        <w:tc>
          <w:tcPr>
            <w:tcW w:w="9212" w:type="dxa"/>
          </w:tcPr>
          <w:p w:rsidR="00326717" w:rsidRPr="00DE5294" w:rsidRDefault="00685034" w:rsidP="00326717">
            <w:pPr>
              <w:jc w:val="both"/>
            </w:pPr>
            <w:r w:rsidRPr="00DE5294">
              <w:t>-</w:t>
            </w:r>
          </w:p>
          <w:p w:rsidR="00326717" w:rsidRPr="00DE5294" w:rsidRDefault="00326717" w:rsidP="00326717">
            <w:pPr>
              <w:jc w:val="both"/>
            </w:pPr>
          </w:p>
        </w:tc>
      </w:tr>
      <w:tr w:rsidR="00326717" w:rsidRPr="00DE5294" w:rsidTr="00326717">
        <w:tc>
          <w:tcPr>
            <w:tcW w:w="9212" w:type="dxa"/>
          </w:tcPr>
          <w:p w:rsidR="00326717" w:rsidRPr="00DE5294" w:rsidRDefault="00326717" w:rsidP="00326717">
            <w:pPr>
              <w:rPr>
                <w:b/>
                <w:i/>
              </w:rPr>
            </w:pPr>
            <w:r w:rsidRPr="00DE5294">
              <w:rPr>
                <w:b/>
                <w:i/>
              </w:rPr>
              <w:t>3.3.3 Administratívne náklady</w:t>
            </w:r>
          </w:p>
          <w:p w:rsidR="00326717" w:rsidRPr="00DE5294" w:rsidRDefault="00326717" w:rsidP="00326717">
            <w:pPr>
              <w:rPr>
                <w:i/>
              </w:rPr>
            </w:pPr>
          </w:p>
        </w:tc>
      </w:tr>
      <w:tr w:rsidR="00326717" w:rsidRPr="00DE5294" w:rsidTr="00326717">
        <w:tc>
          <w:tcPr>
            <w:tcW w:w="9212" w:type="dxa"/>
          </w:tcPr>
          <w:p w:rsidR="00925ED5" w:rsidRPr="00DE5294" w:rsidRDefault="00326717" w:rsidP="00925ED5">
            <w:pPr>
              <w:spacing w:after="120"/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Zrušením povinnosti predkladať </w:t>
            </w:r>
            <w:r w:rsidR="00282D83" w:rsidRPr="00DE5294">
              <w:rPr>
                <w:sz w:val="22"/>
                <w:szCs w:val="22"/>
              </w:rPr>
              <w:t xml:space="preserve">orgánu verejného zdravotníctva na posúdenie </w:t>
            </w:r>
            <w:r w:rsidR="00685034" w:rsidRPr="00DE5294">
              <w:rPr>
                <w:sz w:val="22"/>
                <w:szCs w:val="22"/>
              </w:rPr>
              <w:t>prevádzkové poriadky</w:t>
            </w:r>
            <w:r w:rsidR="00282D83" w:rsidRPr="00DE5294">
              <w:rPr>
                <w:sz w:val="22"/>
                <w:szCs w:val="22"/>
              </w:rPr>
              <w:t xml:space="preserve"> </w:t>
            </w:r>
            <w:r w:rsidR="000640C4" w:rsidRPr="00DE5294">
              <w:rPr>
                <w:sz w:val="22"/>
                <w:szCs w:val="22"/>
              </w:rPr>
              <w:t>pre pracovné činnosti s biologickými faktormi</w:t>
            </w:r>
            <w:r w:rsidR="00282D83" w:rsidRPr="00DE5294">
              <w:rPr>
                <w:sz w:val="22"/>
                <w:szCs w:val="22"/>
              </w:rPr>
              <w:t xml:space="preserve">, </w:t>
            </w:r>
            <w:r w:rsidRPr="00DE5294">
              <w:rPr>
                <w:sz w:val="22"/>
                <w:szCs w:val="22"/>
              </w:rPr>
              <w:t xml:space="preserve">sa zníži administratívna záťaž podnikateľských subjektov. </w:t>
            </w:r>
          </w:p>
          <w:p w:rsidR="00925ED5" w:rsidRPr="00DE5294" w:rsidRDefault="00925ED5" w:rsidP="00925ED5">
            <w:pPr>
              <w:spacing w:after="120"/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S podaním návrhu na schválenie prevádzkového poriadku sú spojené náklady, ktorých priemerná výška podľa kalkulačky nákladov regulácie je 19 eur na podnikateľa. </w:t>
            </w:r>
          </w:p>
          <w:p w:rsidR="00326717" w:rsidRPr="00DE5294" w:rsidRDefault="00925ED5" w:rsidP="000640C4">
            <w:pPr>
              <w:spacing w:after="120"/>
              <w:jc w:val="both"/>
              <w:rPr>
                <w:sz w:val="22"/>
                <w:szCs w:val="22"/>
              </w:rPr>
            </w:pPr>
            <w:r w:rsidRPr="00DE5294">
              <w:rPr>
                <w:sz w:val="22"/>
                <w:szCs w:val="22"/>
              </w:rPr>
              <w:t xml:space="preserve">Pri odhadovanom počte cca 20 prevádzkových poriadkov pre pracovné činnosti </w:t>
            </w:r>
            <w:r w:rsidR="00046D10" w:rsidRPr="00DE5294">
              <w:rPr>
                <w:sz w:val="22"/>
                <w:szCs w:val="22"/>
              </w:rPr>
              <w:t>s biologickými faktormi</w:t>
            </w:r>
            <w:r w:rsidRPr="00DE5294">
              <w:rPr>
                <w:sz w:val="22"/>
                <w:szCs w:val="22"/>
              </w:rPr>
              <w:t>, ktoré nebude potrebné predložiť na posúdenie orgánom verejného zdravotníctva, bude mať o</w:t>
            </w:r>
            <w:r w:rsidR="00326717" w:rsidRPr="00DE5294">
              <w:rPr>
                <w:sz w:val="22"/>
                <w:szCs w:val="22"/>
              </w:rPr>
              <w:t xml:space="preserve">patrenie pozitívny vplyv na podnikateľské prostredie </w:t>
            </w:r>
            <w:r w:rsidR="00326717" w:rsidRPr="00DE5294">
              <w:rPr>
                <w:b/>
                <w:bCs/>
                <w:sz w:val="22"/>
                <w:szCs w:val="22"/>
              </w:rPr>
              <w:t xml:space="preserve">vo forme zníženia administratívnych nákladov vo výške </w:t>
            </w:r>
            <w:r w:rsidRPr="00DE5294">
              <w:rPr>
                <w:b/>
                <w:bCs/>
                <w:sz w:val="22"/>
                <w:szCs w:val="22"/>
              </w:rPr>
              <w:t xml:space="preserve">380 </w:t>
            </w:r>
            <w:r w:rsidR="00326717" w:rsidRPr="00DE5294">
              <w:rPr>
                <w:b/>
                <w:bCs/>
                <w:sz w:val="22"/>
                <w:szCs w:val="22"/>
              </w:rPr>
              <w:t xml:space="preserve">eur. </w:t>
            </w:r>
          </w:p>
        </w:tc>
      </w:tr>
      <w:tr w:rsidR="00326717" w:rsidRPr="00DE5294" w:rsidTr="00326717">
        <w:trPr>
          <w:trHeight w:val="2318"/>
        </w:trPr>
        <w:tc>
          <w:tcPr>
            <w:tcW w:w="9212" w:type="dxa"/>
          </w:tcPr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b/>
                <w:i/>
              </w:rPr>
              <w:lastRenderedPageBreak/>
              <w:t>3.3.4 Súhrnná tabuľka nákladov regulácie</w:t>
            </w:r>
          </w:p>
          <w:p w:rsidR="00326717" w:rsidRPr="00DE5294" w:rsidRDefault="00326717" w:rsidP="00326717">
            <w:pPr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50"/>
              <w:gridCol w:w="2940"/>
              <w:gridCol w:w="2946"/>
            </w:tblGrid>
            <w:tr w:rsidR="00326717" w:rsidRPr="00DE5294" w:rsidTr="00326717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i/>
                      <w:sz w:val="22"/>
                      <w:szCs w:val="22"/>
                    </w:rPr>
                    <w:t>Náklady na 1 podnikateľa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i/>
                      <w:sz w:val="22"/>
                      <w:szCs w:val="22"/>
                    </w:rPr>
                    <w:t>Náklady na celé podnikateľské prostredie</w:t>
                  </w:r>
                </w:p>
              </w:tc>
            </w:tr>
            <w:tr w:rsidR="00326717" w:rsidRPr="00DE5294" w:rsidTr="00326717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i/>
                      <w:sz w:val="22"/>
                      <w:szCs w:val="22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5D5EB1" w:rsidP="0032671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sz w:val="22"/>
                      <w:szCs w:val="22"/>
                    </w:rPr>
                    <w:t>- 50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925ED5" w:rsidP="00C5547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bCs/>
                      <w:sz w:val="22"/>
                      <w:szCs w:val="22"/>
                    </w:rPr>
                    <w:t>-</w:t>
                  </w:r>
                  <w:r w:rsidR="005D5EB1" w:rsidRPr="00DE529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DE5294">
                    <w:rPr>
                      <w:bCs/>
                      <w:sz w:val="22"/>
                      <w:szCs w:val="22"/>
                    </w:rPr>
                    <w:t>1</w:t>
                  </w:r>
                  <w:r w:rsidR="00C5547C" w:rsidRPr="00DE5294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DE5294">
                    <w:rPr>
                      <w:bCs/>
                      <w:sz w:val="22"/>
                      <w:szCs w:val="22"/>
                    </w:rPr>
                    <w:t>000</w:t>
                  </w:r>
                </w:p>
              </w:tc>
            </w:tr>
            <w:tr w:rsidR="00326717" w:rsidRPr="00DE5294" w:rsidTr="00326717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i/>
                      <w:sz w:val="22"/>
                      <w:szCs w:val="22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5D5EB1" w:rsidP="0032671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925ED5" w:rsidP="0032671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326717" w:rsidRPr="00DE5294" w:rsidTr="00326717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i/>
                      <w:sz w:val="22"/>
                      <w:szCs w:val="22"/>
                    </w:rPr>
                    <w:t>Administratívne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5D5EB1" w:rsidP="00326717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sz w:val="22"/>
                      <w:szCs w:val="22"/>
                    </w:rPr>
                    <w:t>- 19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925ED5" w:rsidP="00C5547C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DE5294">
                    <w:rPr>
                      <w:sz w:val="22"/>
                      <w:szCs w:val="22"/>
                    </w:rPr>
                    <w:t>-</w:t>
                  </w:r>
                  <w:r w:rsidR="005D5EB1" w:rsidRPr="00DE5294">
                    <w:rPr>
                      <w:sz w:val="22"/>
                      <w:szCs w:val="22"/>
                    </w:rPr>
                    <w:t xml:space="preserve"> </w:t>
                  </w:r>
                  <w:r w:rsidRPr="00DE5294">
                    <w:rPr>
                      <w:sz w:val="22"/>
                      <w:szCs w:val="22"/>
                    </w:rPr>
                    <w:t>380</w:t>
                  </w:r>
                </w:p>
              </w:tc>
            </w:tr>
            <w:tr w:rsidR="00326717" w:rsidRPr="00DE5294" w:rsidTr="00326717"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326717" w:rsidP="00326717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DE5294">
                    <w:rPr>
                      <w:b/>
                      <w:i/>
                      <w:sz w:val="22"/>
                      <w:szCs w:val="22"/>
                    </w:rPr>
                    <w:t>Celkové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5D5EB1" w:rsidP="00326717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E5294">
                    <w:rPr>
                      <w:b/>
                      <w:sz w:val="22"/>
                      <w:szCs w:val="22"/>
                    </w:rPr>
                    <w:t>- 69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717" w:rsidRPr="00DE5294" w:rsidRDefault="00925ED5" w:rsidP="00C5547C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E5294">
                    <w:rPr>
                      <w:b/>
                      <w:sz w:val="22"/>
                      <w:szCs w:val="22"/>
                    </w:rPr>
                    <w:t>-</w:t>
                  </w:r>
                  <w:r w:rsidR="005D5EB1" w:rsidRPr="00DE529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E5294">
                    <w:rPr>
                      <w:b/>
                      <w:sz w:val="22"/>
                      <w:szCs w:val="22"/>
                    </w:rPr>
                    <w:t>1</w:t>
                  </w:r>
                  <w:r w:rsidR="00C5547C" w:rsidRPr="00DE529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DE5294">
                    <w:rPr>
                      <w:b/>
                      <w:sz w:val="22"/>
                      <w:szCs w:val="22"/>
                    </w:rPr>
                    <w:t>380</w:t>
                  </w:r>
                </w:p>
              </w:tc>
            </w:tr>
          </w:tbl>
          <w:p w:rsidR="00326717" w:rsidRPr="00DE5294" w:rsidRDefault="00326717" w:rsidP="00326717">
            <w:pPr>
              <w:rPr>
                <w:i/>
              </w:rPr>
            </w:pPr>
          </w:p>
          <w:p w:rsidR="00326717" w:rsidRPr="00DE5294" w:rsidRDefault="00326717" w:rsidP="00326717">
            <w:pPr>
              <w:rPr>
                <w:i/>
              </w:rPr>
            </w:pPr>
          </w:p>
        </w:tc>
      </w:tr>
      <w:tr w:rsidR="00326717" w:rsidRPr="00DE5294" w:rsidTr="00326717"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rPr>
                <w:b/>
                <w:sz w:val="24"/>
              </w:rPr>
            </w:pPr>
            <w:r w:rsidRPr="00DE5294">
              <w:rPr>
                <w:b/>
                <w:sz w:val="24"/>
              </w:rPr>
              <w:t>3.4 Konkurencieschopnosť a správanie sa podnikov na trhu</w:t>
            </w:r>
          </w:p>
          <w:p w:rsidR="00326717" w:rsidRPr="00DE5294" w:rsidRDefault="00326717" w:rsidP="00326717">
            <w:r w:rsidRPr="00DE5294">
              <w:rPr>
                <w:sz w:val="24"/>
              </w:rPr>
              <w:t xml:space="preserve">- </w:t>
            </w:r>
            <w:r w:rsidRPr="00DE5294">
              <w:rPr>
                <w:b/>
                <w:sz w:val="24"/>
              </w:rPr>
              <w:t>z toho MSP</w:t>
            </w:r>
          </w:p>
        </w:tc>
      </w:tr>
      <w:tr w:rsidR="00326717" w:rsidRPr="00DE5294" w:rsidTr="00326717">
        <w:tc>
          <w:tcPr>
            <w:tcW w:w="9212" w:type="dxa"/>
          </w:tcPr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 xml:space="preserve"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DE5294">
              <w:rPr>
                <w:i/>
              </w:rPr>
              <w:t>mikro</w:t>
            </w:r>
            <w:proofErr w:type="spellEnd"/>
            <w:r w:rsidRPr="00DE5294">
              <w:rPr>
                <w:i/>
              </w:rPr>
              <w:t>, malé a stredné podniky tzv. MSP)? Ak áno, popíšte.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Ako ovplyvní cenu alebo dostupnosť základných zdrojov (suroviny, mechanizmy, pracovná sila, energie atď.)?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Ovplyvňuje prístup k financiám? Ak áno, ako?</w:t>
            </w:r>
          </w:p>
        </w:tc>
      </w:tr>
      <w:tr w:rsidR="00326717" w:rsidRPr="00DE5294" w:rsidTr="00326717">
        <w:trPr>
          <w:trHeight w:val="705"/>
        </w:trPr>
        <w:tc>
          <w:tcPr>
            <w:tcW w:w="9212" w:type="dxa"/>
          </w:tcPr>
          <w:p w:rsidR="00326717" w:rsidRPr="00DE5294" w:rsidRDefault="00326717" w:rsidP="00326717">
            <w:r w:rsidRPr="00DE5294">
              <w:t xml:space="preserve">Nie. </w:t>
            </w:r>
          </w:p>
        </w:tc>
      </w:tr>
      <w:tr w:rsidR="00326717" w:rsidRPr="00DE5294" w:rsidTr="00326717">
        <w:tc>
          <w:tcPr>
            <w:tcW w:w="9212" w:type="dxa"/>
            <w:shd w:val="clear" w:color="auto" w:fill="D9D9D9"/>
          </w:tcPr>
          <w:p w:rsidR="00326717" w:rsidRPr="00DE5294" w:rsidRDefault="00326717" w:rsidP="00326717">
            <w:pPr>
              <w:rPr>
                <w:b/>
                <w:sz w:val="24"/>
              </w:rPr>
            </w:pPr>
            <w:r w:rsidRPr="00DE5294">
              <w:rPr>
                <w:b/>
                <w:sz w:val="24"/>
              </w:rPr>
              <w:t xml:space="preserve">3.5 Inovácie </w:t>
            </w:r>
          </w:p>
          <w:p w:rsidR="00326717" w:rsidRPr="00DE5294" w:rsidRDefault="00326717" w:rsidP="00326717">
            <w:pPr>
              <w:rPr>
                <w:b/>
              </w:rPr>
            </w:pPr>
            <w:r w:rsidRPr="00DE5294">
              <w:rPr>
                <w:sz w:val="24"/>
              </w:rPr>
              <w:t xml:space="preserve">       - </w:t>
            </w:r>
            <w:r w:rsidRPr="00DE5294">
              <w:rPr>
                <w:b/>
                <w:sz w:val="24"/>
              </w:rPr>
              <w:t>z toho MSP</w:t>
            </w:r>
          </w:p>
        </w:tc>
      </w:tr>
      <w:tr w:rsidR="00326717" w:rsidRPr="00DE5294" w:rsidTr="00326717">
        <w:tc>
          <w:tcPr>
            <w:tcW w:w="9212" w:type="dxa"/>
          </w:tcPr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Uveďte, ako podporuje navrhovaná zmena inovácie.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Zjednodušuje uvedenie alebo rozšírenie nových výrobných metód, technológií a výrobkov na trh?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Uveďte, ako vplýva navrhovaná zmena na jednotlivé práva duševného vlastníctva (napr. patenty, ochranné známky, autorské práva, vlastníctvo know-how).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Podporuje vyššiu efektivitu výroby/využívania zdrojov? Ak áno, ako?</w:t>
            </w:r>
          </w:p>
          <w:p w:rsidR="00326717" w:rsidRPr="00DE5294" w:rsidRDefault="00326717" w:rsidP="00326717">
            <w:pPr>
              <w:rPr>
                <w:i/>
              </w:rPr>
            </w:pPr>
            <w:r w:rsidRPr="00DE5294">
              <w:rPr>
                <w:i/>
              </w:rPr>
              <w:t>Vytvorí zmena nové pracovné miesta pre zamestnancov výskumu a vývoja v SR?</w:t>
            </w:r>
          </w:p>
          <w:p w:rsidR="00326717" w:rsidRPr="00DE5294" w:rsidRDefault="00326717" w:rsidP="00326717"/>
        </w:tc>
      </w:tr>
      <w:tr w:rsidR="00326717" w:rsidRPr="0094236D" w:rsidTr="00326717">
        <w:trPr>
          <w:trHeight w:val="1116"/>
        </w:trPr>
        <w:tc>
          <w:tcPr>
            <w:tcW w:w="9212" w:type="dxa"/>
          </w:tcPr>
          <w:p w:rsidR="00326717" w:rsidRPr="00925ED5" w:rsidRDefault="00326717" w:rsidP="002918E2">
            <w:r w:rsidRPr="00DE5294">
              <w:t xml:space="preserve">Návrh </w:t>
            </w:r>
            <w:r w:rsidR="002918E2" w:rsidRPr="00DE5294">
              <w:t>nariadenia vlády</w:t>
            </w:r>
            <w:r w:rsidRPr="00DE5294">
              <w:t xml:space="preserve"> nemá vplyv na inovácie.</w:t>
            </w:r>
          </w:p>
        </w:tc>
      </w:tr>
    </w:tbl>
    <w:p w:rsidR="00326717" w:rsidRPr="0094236D" w:rsidRDefault="00326717" w:rsidP="00326717"/>
    <w:p w:rsidR="00326717" w:rsidRPr="0094236D" w:rsidRDefault="00326717" w:rsidP="00326717"/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p w:rsidR="00326717" w:rsidRDefault="00326717" w:rsidP="00A65A55">
      <w:pPr>
        <w:jc w:val="both"/>
      </w:pPr>
    </w:p>
    <w:sectPr w:rsidR="00326717" w:rsidSect="00CC37B1">
      <w:headerReference w:type="default" r:id="rId14"/>
      <w:footerReference w:type="default" r:id="rId15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C2F" w:rsidRDefault="00FD2C2F" w:rsidP="003501A1">
      <w:r>
        <w:separator/>
      </w:r>
    </w:p>
  </w:endnote>
  <w:endnote w:type="continuationSeparator" w:id="0">
    <w:p w:rsidR="00FD2C2F" w:rsidRDefault="00FD2C2F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83" w:rsidRDefault="0057788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6</w:t>
    </w:r>
    <w:r>
      <w:rPr>
        <w:rStyle w:val="slostrany"/>
      </w:rPr>
      <w:fldChar w:fldCharType="end"/>
    </w:r>
  </w:p>
  <w:p w:rsidR="00577883" w:rsidRDefault="0057788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83" w:rsidRDefault="00577883">
    <w:pPr>
      <w:pStyle w:val="Pt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712C2">
      <w:rPr>
        <w:noProof/>
      </w:rPr>
      <w:t>10</w:t>
    </w:r>
    <w:r>
      <w:rPr>
        <w:noProof/>
      </w:rPr>
      <w:fldChar w:fldCharType="end"/>
    </w:r>
  </w:p>
  <w:p w:rsidR="00577883" w:rsidRDefault="0057788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83" w:rsidRPr="00FE4D55" w:rsidRDefault="00577883" w:rsidP="00FE4D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C2F" w:rsidRDefault="00FD2C2F" w:rsidP="003501A1">
      <w:r>
        <w:separator/>
      </w:r>
    </w:p>
  </w:footnote>
  <w:footnote w:type="continuationSeparator" w:id="0">
    <w:p w:rsidR="00FD2C2F" w:rsidRDefault="00FD2C2F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83" w:rsidRDefault="00577883" w:rsidP="00326717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77883" w:rsidRPr="00EB59C8" w:rsidRDefault="00577883" w:rsidP="00326717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883" w:rsidRPr="008F1501" w:rsidRDefault="00577883" w:rsidP="008F15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60AA"/>
    <w:multiLevelType w:val="hybridMultilevel"/>
    <w:tmpl w:val="7C369E9A"/>
    <w:lvl w:ilvl="0" w:tplc="E29A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1FFC"/>
    <w:multiLevelType w:val="hybridMultilevel"/>
    <w:tmpl w:val="1CD0AAF4"/>
    <w:lvl w:ilvl="0" w:tplc="39BE8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D732C"/>
    <w:multiLevelType w:val="hybridMultilevel"/>
    <w:tmpl w:val="C3F049C6"/>
    <w:lvl w:ilvl="0" w:tplc="6896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968618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E4D"/>
    <w:multiLevelType w:val="hybridMultilevel"/>
    <w:tmpl w:val="38BA7F98"/>
    <w:lvl w:ilvl="0" w:tplc="C4E65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BDA"/>
    <w:multiLevelType w:val="multilevel"/>
    <w:tmpl w:val="03C2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D856B2"/>
    <w:multiLevelType w:val="hybridMultilevel"/>
    <w:tmpl w:val="720C908C"/>
    <w:lvl w:ilvl="0" w:tplc="6896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120E66"/>
    <w:multiLevelType w:val="hybridMultilevel"/>
    <w:tmpl w:val="AB16F836"/>
    <w:lvl w:ilvl="0" w:tplc="8D4033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4151D4"/>
    <w:multiLevelType w:val="multilevel"/>
    <w:tmpl w:val="E6E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F6C86"/>
    <w:multiLevelType w:val="hybridMultilevel"/>
    <w:tmpl w:val="EECEDB92"/>
    <w:lvl w:ilvl="0" w:tplc="FC82A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43F17"/>
    <w:multiLevelType w:val="multilevel"/>
    <w:tmpl w:val="F016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8180B"/>
    <w:multiLevelType w:val="hybridMultilevel"/>
    <w:tmpl w:val="7F789BDA"/>
    <w:lvl w:ilvl="0" w:tplc="68969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B66B7"/>
    <w:multiLevelType w:val="hybridMultilevel"/>
    <w:tmpl w:val="9FF2747C"/>
    <w:lvl w:ilvl="0" w:tplc="199819FC">
      <w:numFmt w:val="bullet"/>
      <w:lvlText w:val="→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00B50"/>
    <w:rsid w:val="00000BB3"/>
    <w:rsid w:val="00000FD3"/>
    <w:rsid w:val="00003176"/>
    <w:rsid w:val="0001248E"/>
    <w:rsid w:val="00013AD7"/>
    <w:rsid w:val="0001740C"/>
    <w:rsid w:val="00020799"/>
    <w:rsid w:val="00022522"/>
    <w:rsid w:val="0002348F"/>
    <w:rsid w:val="00042C66"/>
    <w:rsid w:val="00044145"/>
    <w:rsid w:val="00046D10"/>
    <w:rsid w:val="000624DD"/>
    <w:rsid w:val="0006329F"/>
    <w:rsid w:val="000640C4"/>
    <w:rsid w:val="0007171A"/>
    <w:rsid w:val="00074F71"/>
    <w:rsid w:val="00077343"/>
    <w:rsid w:val="0008228A"/>
    <w:rsid w:val="00093DB8"/>
    <w:rsid w:val="00094948"/>
    <w:rsid w:val="00095207"/>
    <w:rsid w:val="00097DD1"/>
    <w:rsid w:val="000A15AE"/>
    <w:rsid w:val="000B1FDF"/>
    <w:rsid w:val="000B4793"/>
    <w:rsid w:val="000C45E7"/>
    <w:rsid w:val="000C67CE"/>
    <w:rsid w:val="000C7777"/>
    <w:rsid w:val="000D0B41"/>
    <w:rsid w:val="000D2622"/>
    <w:rsid w:val="000D31F3"/>
    <w:rsid w:val="000E54CA"/>
    <w:rsid w:val="000E7A82"/>
    <w:rsid w:val="001027B4"/>
    <w:rsid w:val="00114C89"/>
    <w:rsid w:val="001150F8"/>
    <w:rsid w:val="00116239"/>
    <w:rsid w:val="00121479"/>
    <w:rsid w:val="00123632"/>
    <w:rsid w:val="0012382F"/>
    <w:rsid w:val="00124D9C"/>
    <w:rsid w:val="0013734B"/>
    <w:rsid w:val="00140028"/>
    <w:rsid w:val="00141A76"/>
    <w:rsid w:val="00147CF3"/>
    <w:rsid w:val="00152043"/>
    <w:rsid w:val="001527FE"/>
    <w:rsid w:val="00153A7E"/>
    <w:rsid w:val="00154881"/>
    <w:rsid w:val="00165F79"/>
    <w:rsid w:val="00171C03"/>
    <w:rsid w:val="00173060"/>
    <w:rsid w:val="00175FD8"/>
    <w:rsid w:val="00177AE1"/>
    <w:rsid w:val="001805D5"/>
    <w:rsid w:val="001826F7"/>
    <w:rsid w:val="00185E09"/>
    <w:rsid w:val="00186874"/>
    <w:rsid w:val="001948E8"/>
    <w:rsid w:val="001968EA"/>
    <w:rsid w:val="00197AAA"/>
    <w:rsid w:val="001B00B9"/>
    <w:rsid w:val="001C3397"/>
    <w:rsid w:val="001D30AE"/>
    <w:rsid w:val="001D6749"/>
    <w:rsid w:val="001D696E"/>
    <w:rsid w:val="001E1197"/>
    <w:rsid w:val="001F5874"/>
    <w:rsid w:val="00202AB6"/>
    <w:rsid w:val="00212894"/>
    <w:rsid w:val="002145D3"/>
    <w:rsid w:val="00217A80"/>
    <w:rsid w:val="00221EE9"/>
    <w:rsid w:val="00226D46"/>
    <w:rsid w:val="00232DB2"/>
    <w:rsid w:val="00233D62"/>
    <w:rsid w:val="00234090"/>
    <w:rsid w:val="00236E77"/>
    <w:rsid w:val="00242773"/>
    <w:rsid w:val="002575D9"/>
    <w:rsid w:val="00267061"/>
    <w:rsid w:val="00273926"/>
    <w:rsid w:val="00280725"/>
    <w:rsid w:val="00282D83"/>
    <w:rsid w:val="00284DDB"/>
    <w:rsid w:val="002918E2"/>
    <w:rsid w:val="002976BE"/>
    <w:rsid w:val="002A1407"/>
    <w:rsid w:val="002A54A2"/>
    <w:rsid w:val="002B232C"/>
    <w:rsid w:val="002C48A2"/>
    <w:rsid w:val="002D04B9"/>
    <w:rsid w:val="002D5500"/>
    <w:rsid w:val="002E32C0"/>
    <w:rsid w:val="002E6651"/>
    <w:rsid w:val="00301D74"/>
    <w:rsid w:val="00305649"/>
    <w:rsid w:val="00306F48"/>
    <w:rsid w:val="003106B6"/>
    <w:rsid w:val="00312B1C"/>
    <w:rsid w:val="00316501"/>
    <w:rsid w:val="00326717"/>
    <w:rsid w:val="00332018"/>
    <w:rsid w:val="00332FBA"/>
    <w:rsid w:val="003336EE"/>
    <w:rsid w:val="00336436"/>
    <w:rsid w:val="00336C65"/>
    <w:rsid w:val="003501A1"/>
    <w:rsid w:val="00351ADA"/>
    <w:rsid w:val="00355A5C"/>
    <w:rsid w:val="0036105E"/>
    <w:rsid w:val="003672D7"/>
    <w:rsid w:val="00367CFB"/>
    <w:rsid w:val="0037030C"/>
    <w:rsid w:val="003712C2"/>
    <w:rsid w:val="0037258F"/>
    <w:rsid w:val="003727D3"/>
    <w:rsid w:val="003742EE"/>
    <w:rsid w:val="003744C1"/>
    <w:rsid w:val="0038247C"/>
    <w:rsid w:val="003826F4"/>
    <w:rsid w:val="00383748"/>
    <w:rsid w:val="003942FE"/>
    <w:rsid w:val="00394A9E"/>
    <w:rsid w:val="00395098"/>
    <w:rsid w:val="003A070D"/>
    <w:rsid w:val="003A17DE"/>
    <w:rsid w:val="003B1973"/>
    <w:rsid w:val="003B4C27"/>
    <w:rsid w:val="003C0592"/>
    <w:rsid w:val="003C232B"/>
    <w:rsid w:val="003C2B67"/>
    <w:rsid w:val="003C3251"/>
    <w:rsid w:val="003D76AC"/>
    <w:rsid w:val="003E5C99"/>
    <w:rsid w:val="003F2B5D"/>
    <w:rsid w:val="003F4C1E"/>
    <w:rsid w:val="00400F61"/>
    <w:rsid w:val="0040544D"/>
    <w:rsid w:val="00412F8C"/>
    <w:rsid w:val="0041633C"/>
    <w:rsid w:val="00417912"/>
    <w:rsid w:val="00420904"/>
    <w:rsid w:val="0042399B"/>
    <w:rsid w:val="00423ABF"/>
    <w:rsid w:val="00425138"/>
    <w:rsid w:val="00431880"/>
    <w:rsid w:val="00435B44"/>
    <w:rsid w:val="00457C44"/>
    <w:rsid w:val="00461753"/>
    <w:rsid w:val="00475178"/>
    <w:rsid w:val="004758D3"/>
    <w:rsid w:val="0047710A"/>
    <w:rsid w:val="0047723F"/>
    <w:rsid w:val="0047741C"/>
    <w:rsid w:val="0047773B"/>
    <w:rsid w:val="00480880"/>
    <w:rsid w:val="00481B86"/>
    <w:rsid w:val="004903F8"/>
    <w:rsid w:val="00490EB4"/>
    <w:rsid w:val="00492C06"/>
    <w:rsid w:val="00495292"/>
    <w:rsid w:val="004A108C"/>
    <w:rsid w:val="004A3FF9"/>
    <w:rsid w:val="004B23DD"/>
    <w:rsid w:val="004B2663"/>
    <w:rsid w:val="004B349A"/>
    <w:rsid w:val="004B35DE"/>
    <w:rsid w:val="004B559F"/>
    <w:rsid w:val="004C6039"/>
    <w:rsid w:val="004C60B8"/>
    <w:rsid w:val="004C6AC8"/>
    <w:rsid w:val="004C6C43"/>
    <w:rsid w:val="004C794A"/>
    <w:rsid w:val="004D2D27"/>
    <w:rsid w:val="004E01A2"/>
    <w:rsid w:val="004E0399"/>
    <w:rsid w:val="004E3E89"/>
    <w:rsid w:val="004E685F"/>
    <w:rsid w:val="004F649B"/>
    <w:rsid w:val="004F6F1F"/>
    <w:rsid w:val="005073D5"/>
    <w:rsid w:val="00526D18"/>
    <w:rsid w:val="00535E8E"/>
    <w:rsid w:val="00537142"/>
    <w:rsid w:val="00537824"/>
    <w:rsid w:val="00544EA5"/>
    <w:rsid w:val="00545605"/>
    <w:rsid w:val="0055228F"/>
    <w:rsid w:val="0055579B"/>
    <w:rsid w:val="0055631C"/>
    <w:rsid w:val="00562423"/>
    <w:rsid w:val="00564FFB"/>
    <w:rsid w:val="00565C77"/>
    <w:rsid w:val="005708CD"/>
    <w:rsid w:val="0057589E"/>
    <w:rsid w:val="0057662C"/>
    <w:rsid w:val="00577883"/>
    <w:rsid w:val="00582BEE"/>
    <w:rsid w:val="00583927"/>
    <w:rsid w:val="00587F85"/>
    <w:rsid w:val="005A0083"/>
    <w:rsid w:val="005B7A8D"/>
    <w:rsid w:val="005C12EA"/>
    <w:rsid w:val="005C23EF"/>
    <w:rsid w:val="005C4B9C"/>
    <w:rsid w:val="005D56E3"/>
    <w:rsid w:val="005D5EB1"/>
    <w:rsid w:val="005E7D38"/>
    <w:rsid w:val="0060497B"/>
    <w:rsid w:val="00616E48"/>
    <w:rsid w:val="00621DBA"/>
    <w:rsid w:val="006308A7"/>
    <w:rsid w:val="00637736"/>
    <w:rsid w:val="00642ED5"/>
    <w:rsid w:val="00643E65"/>
    <w:rsid w:val="006447E2"/>
    <w:rsid w:val="0064671E"/>
    <w:rsid w:val="00646B9C"/>
    <w:rsid w:val="00654CB0"/>
    <w:rsid w:val="00660EA1"/>
    <w:rsid w:val="006613F8"/>
    <w:rsid w:val="00680EEE"/>
    <w:rsid w:val="00685034"/>
    <w:rsid w:val="0068775B"/>
    <w:rsid w:val="0069550D"/>
    <w:rsid w:val="006A5D70"/>
    <w:rsid w:val="006A701A"/>
    <w:rsid w:val="006C3B7D"/>
    <w:rsid w:val="006C402F"/>
    <w:rsid w:val="006C44ED"/>
    <w:rsid w:val="006C58C4"/>
    <w:rsid w:val="006C5A89"/>
    <w:rsid w:val="006D5C9A"/>
    <w:rsid w:val="006D79C1"/>
    <w:rsid w:val="006E6D23"/>
    <w:rsid w:val="006F4AEC"/>
    <w:rsid w:val="006F5CBE"/>
    <w:rsid w:val="006F7C1A"/>
    <w:rsid w:val="007020BE"/>
    <w:rsid w:val="0070261C"/>
    <w:rsid w:val="00713823"/>
    <w:rsid w:val="00713CF4"/>
    <w:rsid w:val="00717696"/>
    <w:rsid w:val="00732BBD"/>
    <w:rsid w:val="007540EB"/>
    <w:rsid w:val="007674EB"/>
    <w:rsid w:val="00773F88"/>
    <w:rsid w:val="007745B2"/>
    <w:rsid w:val="00780861"/>
    <w:rsid w:val="00785409"/>
    <w:rsid w:val="00794E5B"/>
    <w:rsid w:val="007B7171"/>
    <w:rsid w:val="007C37AE"/>
    <w:rsid w:val="007D5748"/>
    <w:rsid w:val="007D73FE"/>
    <w:rsid w:val="007E1924"/>
    <w:rsid w:val="007E2DBB"/>
    <w:rsid w:val="007E4E5C"/>
    <w:rsid w:val="007E6845"/>
    <w:rsid w:val="007F03E7"/>
    <w:rsid w:val="007F7140"/>
    <w:rsid w:val="00806EA1"/>
    <w:rsid w:val="0081159A"/>
    <w:rsid w:val="0081242E"/>
    <w:rsid w:val="0081647C"/>
    <w:rsid w:val="008254FB"/>
    <w:rsid w:val="00830260"/>
    <w:rsid w:val="00832057"/>
    <w:rsid w:val="008356F8"/>
    <w:rsid w:val="00837B6C"/>
    <w:rsid w:val="00841B7F"/>
    <w:rsid w:val="00844365"/>
    <w:rsid w:val="00851DE6"/>
    <w:rsid w:val="008571C9"/>
    <w:rsid w:val="0086048A"/>
    <w:rsid w:val="00864591"/>
    <w:rsid w:val="00875181"/>
    <w:rsid w:val="00877FE6"/>
    <w:rsid w:val="008839E1"/>
    <w:rsid w:val="0088438C"/>
    <w:rsid w:val="0089221B"/>
    <w:rsid w:val="00897160"/>
    <w:rsid w:val="008A0237"/>
    <w:rsid w:val="008A1252"/>
    <w:rsid w:val="008A3694"/>
    <w:rsid w:val="008A4082"/>
    <w:rsid w:val="008C0CF3"/>
    <w:rsid w:val="008C0DBA"/>
    <w:rsid w:val="008C4C2F"/>
    <w:rsid w:val="008D00DB"/>
    <w:rsid w:val="008D26FA"/>
    <w:rsid w:val="008D339D"/>
    <w:rsid w:val="008D4FC5"/>
    <w:rsid w:val="008D6E64"/>
    <w:rsid w:val="008E47AC"/>
    <w:rsid w:val="008F1501"/>
    <w:rsid w:val="008F38BE"/>
    <w:rsid w:val="008F6457"/>
    <w:rsid w:val="00904BA2"/>
    <w:rsid w:val="009061F3"/>
    <w:rsid w:val="0091065D"/>
    <w:rsid w:val="009119F5"/>
    <w:rsid w:val="0092112A"/>
    <w:rsid w:val="00923547"/>
    <w:rsid w:val="00925ED5"/>
    <w:rsid w:val="00932446"/>
    <w:rsid w:val="00933E16"/>
    <w:rsid w:val="0094107F"/>
    <w:rsid w:val="0094236D"/>
    <w:rsid w:val="009443A0"/>
    <w:rsid w:val="0095420F"/>
    <w:rsid w:val="00967149"/>
    <w:rsid w:val="00975BC9"/>
    <w:rsid w:val="00976555"/>
    <w:rsid w:val="00976702"/>
    <w:rsid w:val="009808BC"/>
    <w:rsid w:val="00994C53"/>
    <w:rsid w:val="009A0DEA"/>
    <w:rsid w:val="009A16E5"/>
    <w:rsid w:val="009A3EA4"/>
    <w:rsid w:val="009B151E"/>
    <w:rsid w:val="009B4609"/>
    <w:rsid w:val="009C2129"/>
    <w:rsid w:val="009C3CB7"/>
    <w:rsid w:val="009C47EF"/>
    <w:rsid w:val="009C5A6C"/>
    <w:rsid w:val="009D099F"/>
    <w:rsid w:val="009D4641"/>
    <w:rsid w:val="009F4ECC"/>
    <w:rsid w:val="009F756A"/>
    <w:rsid w:val="00A13D26"/>
    <w:rsid w:val="00A172CE"/>
    <w:rsid w:val="00A179AE"/>
    <w:rsid w:val="00A23671"/>
    <w:rsid w:val="00A23FD1"/>
    <w:rsid w:val="00A30F1C"/>
    <w:rsid w:val="00A41E6A"/>
    <w:rsid w:val="00A424A8"/>
    <w:rsid w:val="00A4325E"/>
    <w:rsid w:val="00A4421C"/>
    <w:rsid w:val="00A46938"/>
    <w:rsid w:val="00A47252"/>
    <w:rsid w:val="00A47572"/>
    <w:rsid w:val="00A5309D"/>
    <w:rsid w:val="00A547C5"/>
    <w:rsid w:val="00A56CAD"/>
    <w:rsid w:val="00A60BF7"/>
    <w:rsid w:val="00A61256"/>
    <w:rsid w:val="00A629CC"/>
    <w:rsid w:val="00A654A5"/>
    <w:rsid w:val="00A65A55"/>
    <w:rsid w:val="00A71983"/>
    <w:rsid w:val="00A751F4"/>
    <w:rsid w:val="00A83E5B"/>
    <w:rsid w:val="00A9380A"/>
    <w:rsid w:val="00A96045"/>
    <w:rsid w:val="00A97F40"/>
    <w:rsid w:val="00AA1913"/>
    <w:rsid w:val="00AB307C"/>
    <w:rsid w:val="00AB3148"/>
    <w:rsid w:val="00AD30F4"/>
    <w:rsid w:val="00AE0EBF"/>
    <w:rsid w:val="00AE45B5"/>
    <w:rsid w:val="00AE7949"/>
    <w:rsid w:val="00AF115F"/>
    <w:rsid w:val="00AF5A88"/>
    <w:rsid w:val="00B007AE"/>
    <w:rsid w:val="00B02F85"/>
    <w:rsid w:val="00B1031A"/>
    <w:rsid w:val="00B1784E"/>
    <w:rsid w:val="00B252A6"/>
    <w:rsid w:val="00B320C5"/>
    <w:rsid w:val="00B33E7C"/>
    <w:rsid w:val="00B344FD"/>
    <w:rsid w:val="00B353A7"/>
    <w:rsid w:val="00B356F8"/>
    <w:rsid w:val="00B36B91"/>
    <w:rsid w:val="00B376A0"/>
    <w:rsid w:val="00B40C46"/>
    <w:rsid w:val="00B4230D"/>
    <w:rsid w:val="00B42541"/>
    <w:rsid w:val="00B4581F"/>
    <w:rsid w:val="00B5155C"/>
    <w:rsid w:val="00B54D8D"/>
    <w:rsid w:val="00B637D7"/>
    <w:rsid w:val="00B65A86"/>
    <w:rsid w:val="00B72BDC"/>
    <w:rsid w:val="00B76277"/>
    <w:rsid w:val="00B82E88"/>
    <w:rsid w:val="00B843C4"/>
    <w:rsid w:val="00B85C33"/>
    <w:rsid w:val="00BB06B5"/>
    <w:rsid w:val="00BB0A26"/>
    <w:rsid w:val="00BB2CC0"/>
    <w:rsid w:val="00BB3571"/>
    <w:rsid w:val="00BC472B"/>
    <w:rsid w:val="00BE334F"/>
    <w:rsid w:val="00BE4ADA"/>
    <w:rsid w:val="00BE5310"/>
    <w:rsid w:val="00BF17A5"/>
    <w:rsid w:val="00BF3078"/>
    <w:rsid w:val="00C02568"/>
    <w:rsid w:val="00C02EA9"/>
    <w:rsid w:val="00C12EC8"/>
    <w:rsid w:val="00C13E34"/>
    <w:rsid w:val="00C16B3F"/>
    <w:rsid w:val="00C20B11"/>
    <w:rsid w:val="00C233D8"/>
    <w:rsid w:val="00C24BB9"/>
    <w:rsid w:val="00C31B40"/>
    <w:rsid w:val="00C34FC6"/>
    <w:rsid w:val="00C467A0"/>
    <w:rsid w:val="00C50037"/>
    <w:rsid w:val="00C528D0"/>
    <w:rsid w:val="00C54412"/>
    <w:rsid w:val="00C5547C"/>
    <w:rsid w:val="00C57F67"/>
    <w:rsid w:val="00C61682"/>
    <w:rsid w:val="00C61B8B"/>
    <w:rsid w:val="00C8323B"/>
    <w:rsid w:val="00C867F9"/>
    <w:rsid w:val="00C87C8A"/>
    <w:rsid w:val="00C909C5"/>
    <w:rsid w:val="00CA11C1"/>
    <w:rsid w:val="00CA1A3A"/>
    <w:rsid w:val="00CA47C2"/>
    <w:rsid w:val="00CA6BAF"/>
    <w:rsid w:val="00CB3623"/>
    <w:rsid w:val="00CB7BEA"/>
    <w:rsid w:val="00CC37B1"/>
    <w:rsid w:val="00CD4982"/>
    <w:rsid w:val="00CE03E0"/>
    <w:rsid w:val="00CE42A4"/>
    <w:rsid w:val="00CE5D3B"/>
    <w:rsid w:val="00CF0848"/>
    <w:rsid w:val="00CF259E"/>
    <w:rsid w:val="00CF77F4"/>
    <w:rsid w:val="00D06348"/>
    <w:rsid w:val="00D13B6F"/>
    <w:rsid w:val="00D30BC1"/>
    <w:rsid w:val="00D3615C"/>
    <w:rsid w:val="00D43F57"/>
    <w:rsid w:val="00D47816"/>
    <w:rsid w:val="00D521F9"/>
    <w:rsid w:val="00D529E8"/>
    <w:rsid w:val="00D57065"/>
    <w:rsid w:val="00D663CA"/>
    <w:rsid w:val="00D726F8"/>
    <w:rsid w:val="00D73F62"/>
    <w:rsid w:val="00D75D35"/>
    <w:rsid w:val="00D85C7E"/>
    <w:rsid w:val="00D912E8"/>
    <w:rsid w:val="00D91956"/>
    <w:rsid w:val="00D95F76"/>
    <w:rsid w:val="00D9732A"/>
    <w:rsid w:val="00DA4453"/>
    <w:rsid w:val="00DA552D"/>
    <w:rsid w:val="00DA5B56"/>
    <w:rsid w:val="00DA645B"/>
    <w:rsid w:val="00DA6FD1"/>
    <w:rsid w:val="00DB408D"/>
    <w:rsid w:val="00DD27C9"/>
    <w:rsid w:val="00DE2A12"/>
    <w:rsid w:val="00DE5294"/>
    <w:rsid w:val="00DF16CA"/>
    <w:rsid w:val="00DF6980"/>
    <w:rsid w:val="00E04ED1"/>
    <w:rsid w:val="00E06736"/>
    <w:rsid w:val="00E2548F"/>
    <w:rsid w:val="00E350DC"/>
    <w:rsid w:val="00E43AA2"/>
    <w:rsid w:val="00E43C18"/>
    <w:rsid w:val="00E538C0"/>
    <w:rsid w:val="00E53C2A"/>
    <w:rsid w:val="00E608FC"/>
    <w:rsid w:val="00E64E97"/>
    <w:rsid w:val="00E6656B"/>
    <w:rsid w:val="00E7434D"/>
    <w:rsid w:val="00E83082"/>
    <w:rsid w:val="00E920E9"/>
    <w:rsid w:val="00EA5C87"/>
    <w:rsid w:val="00EA793D"/>
    <w:rsid w:val="00EB59C8"/>
    <w:rsid w:val="00EB59E3"/>
    <w:rsid w:val="00EC2E9C"/>
    <w:rsid w:val="00ED0DC2"/>
    <w:rsid w:val="00ED1615"/>
    <w:rsid w:val="00ED4518"/>
    <w:rsid w:val="00EE23A1"/>
    <w:rsid w:val="00EE64E6"/>
    <w:rsid w:val="00EF6533"/>
    <w:rsid w:val="00EF7707"/>
    <w:rsid w:val="00F049F3"/>
    <w:rsid w:val="00F04CCD"/>
    <w:rsid w:val="00F12D68"/>
    <w:rsid w:val="00F15583"/>
    <w:rsid w:val="00F22831"/>
    <w:rsid w:val="00F244D7"/>
    <w:rsid w:val="00F2597D"/>
    <w:rsid w:val="00F2762E"/>
    <w:rsid w:val="00F327E2"/>
    <w:rsid w:val="00F36EF9"/>
    <w:rsid w:val="00F407B4"/>
    <w:rsid w:val="00F41DB5"/>
    <w:rsid w:val="00F42D96"/>
    <w:rsid w:val="00F51F95"/>
    <w:rsid w:val="00F5316D"/>
    <w:rsid w:val="00F53619"/>
    <w:rsid w:val="00F5410E"/>
    <w:rsid w:val="00F62771"/>
    <w:rsid w:val="00F70047"/>
    <w:rsid w:val="00F70DE7"/>
    <w:rsid w:val="00F74CB2"/>
    <w:rsid w:val="00F77E4D"/>
    <w:rsid w:val="00F96D4F"/>
    <w:rsid w:val="00F972A5"/>
    <w:rsid w:val="00FB3D81"/>
    <w:rsid w:val="00FB503B"/>
    <w:rsid w:val="00FB6C6D"/>
    <w:rsid w:val="00FB7C9F"/>
    <w:rsid w:val="00FC2037"/>
    <w:rsid w:val="00FC36BA"/>
    <w:rsid w:val="00FC5453"/>
    <w:rsid w:val="00FC7E39"/>
    <w:rsid w:val="00FD21D7"/>
    <w:rsid w:val="00FD28DE"/>
    <w:rsid w:val="00FD2C2F"/>
    <w:rsid w:val="00FD5C05"/>
    <w:rsid w:val="00FE08EF"/>
    <w:rsid w:val="00FE4D55"/>
    <w:rsid w:val="00FF162F"/>
    <w:rsid w:val="00FF1E3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87D19-F68A-4357-A457-71BF137E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A65A55"/>
    <w:pPr>
      <w:keepNext/>
      <w:ind w:left="1416" w:hanging="1416"/>
      <w:outlineLvl w:val="1"/>
    </w:pPr>
    <w:rPr>
      <w:b/>
      <w:bCs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64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A65A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1A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01A1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01A1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F22831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75FD8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175FD8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564FFB"/>
    <w:rPr>
      <w:rFonts w:ascii="Times New Roman" w:hAnsi="Times New Roman" w:cs="Times New Roman"/>
      <w:color w:val="808080"/>
    </w:rPr>
  </w:style>
  <w:style w:type="character" w:styleId="slostrany">
    <w:name w:val="page number"/>
    <w:basedOn w:val="Predvolenpsmoodseku"/>
    <w:uiPriority w:val="99"/>
    <w:rsid w:val="008D26FA"/>
    <w:rPr>
      <w:rFonts w:cs="Times New Roman"/>
    </w:rPr>
  </w:style>
  <w:style w:type="character" w:styleId="Siln">
    <w:name w:val="Strong"/>
    <w:basedOn w:val="Predvolenpsmoodseku"/>
    <w:uiPriority w:val="99"/>
    <w:qFormat/>
    <w:rsid w:val="00EA5C87"/>
    <w:rPr>
      <w:rFonts w:cs="Times New Roman"/>
      <w:b/>
    </w:rPr>
  </w:style>
  <w:style w:type="paragraph" w:styleId="Normlnywebov">
    <w:name w:val="Normal (Web)"/>
    <w:basedOn w:val="Normlny"/>
    <w:uiPriority w:val="99"/>
    <w:unhideWhenUsed/>
    <w:rsid w:val="00EA5C87"/>
    <w:pPr>
      <w:spacing w:before="100" w:beforeAutospacing="1" w:after="100" w:afterAutospacing="1"/>
    </w:pPr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1027B4"/>
    <w:rPr>
      <w:rFonts w:cs="Times New Roman"/>
      <w:i/>
      <w:iCs/>
    </w:rPr>
  </w:style>
  <w:style w:type="character" w:styleId="Hypertextovprepojenie">
    <w:name w:val="Hyperlink"/>
    <w:basedOn w:val="Predvolenpsmoodseku"/>
    <w:uiPriority w:val="99"/>
    <w:unhideWhenUsed/>
    <w:rsid w:val="00A65A55"/>
    <w:rPr>
      <w:rFonts w:cs="Times New Roman"/>
      <w:color w:val="0000FF"/>
      <w:u w:val="single"/>
    </w:rPr>
  </w:style>
  <w:style w:type="character" w:customStyle="1" w:styleId="notranslate">
    <w:name w:val="notranslate"/>
    <w:basedOn w:val="Predvolenpsmoodseku"/>
    <w:rsid w:val="00A65A55"/>
    <w:rPr>
      <w:rFonts w:cs="Times New Roman"/>
    </w:rPr>
  </w:style>
  <w:style w:type="character" w:customStyle="1" w:styleId="google-src-text1">
    <w:name w:val="google-src-text1"/>
    <w:basedOn w:val="Predvolenpsmoodseku"/>
    <w:rsid w:val="00A65A55"/>
    <w:rPr>
      <w:rFonts w:cs="Times New Roman"/>
      <w:vanish/>
    </w:rPr>
  </w:style>
  <w:style w:type="character" w:customStyle="1" w:styleId="absatznummer5">
    <w:name w:val="absatznummer5"/>
    <w:basedOn w:val="Predvolenpsmoodseku"/>
    <w:rsid w:val="00A65A55"/>
    <w:rPr>
      <w:rFonts w:cs="Times New Roman"/>
      <w:b/>
      <w:bCs/>
    </w:rPr>
  </w:style>
  <w:style w:type="character" w:customStyle="1" w:styleId="zwititel">
    <w:name w:val="zwititel"/>
    <w:basedOn w:val="Predvolenpsmoodseku"/>
    <w:rsid w:val="00A65A55"/>
    <w:rPr>
      <w:rFonts w:cs="Times New Roman"/>
    </w:rPr>
  </w:style>
  <w:style w:type="character" w:customStyle="1" w:styleId="lauftext">
    <w:name w:val="lauftext"/>
    <w:basedOn w:val="Predvolenpsmoodseku"/>
    <w:rsid w:val="00A65A55"/>
    <w:rPr>
      <w:rFonts w:cs="Times New Roman"/>
    </w:rPr>
  </w:style>
  <w:style w:type="paragraph" w:customStyle="1" w:styleId="Default">
    <w:name w:val="Default"/>
    <w:rsid w:val="00A65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645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8D3B-3596-4829-AD53-7C42B8B3E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32110-7120-4667-95FE-8919F2D0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424BB8-EC4C-42A0-84F1-4D12D980B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ED00C-398A-4E89-8A55-33ECB82D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Lacová Magdaléna</cp:lastModifiedBy>
  <cp:revision>3</cp:revision>
  <cp:lastPrinted>2020-09-22T12:20:00Z</cp:lastPrinted>
  <dcterms:created xsi:type="dcterms:W3CDTF">2020-10-15T06:10:00Z</dcterms:created>
  <dcterms:modified xsi:type="dcterms:W3CDTF">2020-10-15T09:42:00Z</dcterms:modified>
</cp:coreProperties>
</file>