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748" w:rsidRPr="007D5748" w:rsidRDefault="007D5748" w:rsidP="007D57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Analýza vplyvov na rozpočet verejnej správy,</w:t>
      </w:r>
    </w:p>
    <w:p w:rsidR="007D5748" w:rsidRPr="007D5748" w:rsidRDefault="007D5748" w:rsidP="007D574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sk-SK"/>
        </w:rPr>
      </w:pPr>
      <w:r w:rsidRPr="007D5748">
        <w:rPr>
          <w:rFonts w:ascii="Times New Roman" w:hAnsi="Times New Roman"/>
          <w:b/>
          <w:bCs/>
          <w:sz w:val="28"/>
          <w:szCs w:val="28"/>
          <w:lang w:eastAsia="sk-SK"/>
        </w:rPr>
        <w:t>na zamestnanosť vo verejnej správe a financovanie návrhu</w:t>
      </w:r>
    </w:p>
    <w:p w:rsidR="00E963A3" w:rsidRPr="00212894" w:rsidRDefault="00E963A3" w:rsidP="007D5748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963A3" w:rsidRDefault="00E963A3" w:rsidP="002128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E963A3" w:rsidRPr="00212894" w:rsidRDefault="00E963A3" w:rsidP="002128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212894">
        <w:rPr>
          <w:rFonts w:ascii="Times New Roman" w:hAnsi="Times New Roman"/>
          <w:b/>
          <w:bCs/>
          <w:sz w:val="24"/>
          <w:szCs w:val="24"/>
          <w:lang w:eastAsia="sk-SK"/>
        </w:rPr>
        <w:t>2.1 Zhrnutie vplyvov na rozpočet verejnej správy v návrhu</w:t>
      </w:r>
    </w:p>
    <w:p w:rsidR="00E963A3" w:rsidRDefault="00E963A3" w:rsidP="007D574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1 </w:t>
      </w:r>
    </w:p>
    <w:tbl>
      <w:tblPr>
        <w:tblW w:w="9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661"/>
        <w:gridCol w:w="1267"/>
        <w:gridCol w:w="1267"/>
        <w:gridCol w:w="1267"/>
        <w:gridCol w:w="1267"/>
      </w:tblGrid>
      <w:tr w:rsidR="007D5748" w:rsidRPr="007D5748" w:rsidTr="005666F6">
        <w:trPr>
          <w:cantSplit/>
          <w:trHeight w:val="194"/>
          <w:jc w:val="center"/>
        </w:trPr>
        <w:tc>
          <w:tcPr>
            <w:tcW w:w="4661" w:type="dxa"/>
            <w:vMerge w:val="restart"/>
            <w:shd w:val="clear" w:color="auto" w:fill="BFBFBF" w:themeFill="background1" w:themeFillShade="BF"/>
            <w:vAlign w:val="center"/>
          </w:tcPr>
          <w:p w:rsidR="007D5748" w:rsidRPr="006B04A1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bookmarkStart w:id="0" w:name="OLE_LINK1"/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Vplyvy na rozpočet verejnej správy</w:t>
            </w:r>
          </w:p>
        </w:tc>
        <w:tc>
          <w:tcPr>
            <w:tcW w:w="5068" w:type="dxa"/>
            <w:gridSpan w:val="4"/>
            <w:shd w:val="clear" w:color="auto" w:fill="BFBFBF" w:themeFill="background1" w:themeFillShade="BF"/>
            <w:vAlign w:val="center"/>
          </w:tcPr>
          <w:p w:rsidR="007D5748" w:rsidRPr="006B04A1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 (v eurách)</w:t>
            </w:r>
          </w:p>
        </w:tc>
      </w:tr>
      <w:tr w:rsidR="00274B48" w:rsidRPr="007D5748" w:rsidTr="005666F6">
        <w:trPr>
          <w:cantSplit/>
          <w:trHeight w:val="70"/>
          <w:jc w:val="center"/>
        </w:trPr>
        <w:tc>
          <w:tcPr>
            <w:tcW w:w="4661" w:type="dxa"/>
            <w:vMerge/>
            <w:shd w:val="clear" w:color="auto" w:fill="BFBFBF" w:themeFill="background1" w:themeFillShade="BF"/>
            <w:vAlign w:val="center"/>
          </w:tcPr>
          <w:p w:rsidR="00274B48" w:rsidRPr="006B04A1" w:rsidRDefault="00274B48" w:rsidP="00274B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274B48" w:rsidRPr="006B04A1" w:rsidRDefault="00274B48" w:rsidP="00274B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274B48" w:rsidRPr="006B04A1" w:rsidRDefault="00274B48" w:rsidP="00274B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274B48" w:rsidRPr="006B04A1" w:rsidRDefault="00274B48" w:rsidP="00274B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67" w:type="dxa"/>
            <w:shd w:val="clear" w:color="auto" w:fill="BFBFBF" w:themeFill="background1" w:themeFillShade="BF"/>
            <w:vAlign w:val="center"/>
          </w:tcPr>
          <w:p w:rsidR="00274B48" w:rsidRPr="006B04A1" w:rsidRDefault="00274B48" w:rsidP="00274B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3</w:t>
            </w:r>
          </w:p>
        </w:tc>
      </w:tr>
      <w:tr w:rsidR="00D300ED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verejnej správy celkom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D300ED" w:rsidRPr="00F66481" w:rsidRDefault="00611B2B" w:rsidP="00611B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</w:rPr>
              <w:t>n/a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D300ED" w:rsidRPr="00F66481" w:rsidRDefault="00611B2B" w:rsidP="00611B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</w:rPr>
              <w:t>n/a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D300ED" w:rsidRPr="00F66481" w:rsidRDefault="00611B2B" w:rsidP="00611B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</w:rPr>
              <w:t>n/a</w:t>
            </w:r>
          </w:p>
        </w:tc>
        <w:tc>
          <w:tcPr>
            <w:tcW w:w="1267" w:type="dxa"/>
            <w:shd w:val="clear" w:color="auto" w:fill="C0C0C0"/>
            <w:vAlign w:val="center"/>
          </w:tcPr>
          <w:p w:rsidR="00D300ED" w:rsidRPr="00F66481" w:rsidRDefault="00611B2B" w:rsidP="00611B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</w:rPr>
              <w:t>n/a</w:t>
            </w:r>
          </w:p>
        </w:tc>
      </w:tr>
      <w:tr w:rsidR="00D300ED" w:rsidRPr="007D5748" w:rsidTr="005666F6">
        <w:trPr>
          <w:trHeight w:val="132"/>
          <w:jc w:val="center"/>
        </w:trPr>
        <w:tc>
          <w:tcPr>
            <w:tcW w:w="4661" w:type="dxa"/>
            <w:noWrap/>
            <w:vAlign w:val="center"/>
          </w:tcPr>
          <w:p w:rsidR="00D300ED" w:rsidRPr="006B04A1" w:rsidRDefault="00D300ED" w:rsidP="00FA29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</w:p>
        </w:tc>
        <w:tc>
          <w:tcPr>
            <w:tcW w:w="1267" w:type="dxa"/>
            <w:noWrap/>
            <w:vAlign w:val="center"/>
          </w:tcPr>
          <w:p w:rsidR="00D300ED" w:rsidRPr="00F6648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F6648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F66481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F6648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D300ED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 </w:t>
            </w:r>
          </w:p>
        </w:tc>
        <w:tc>
          <w:tcPr>
            <w:tcW w:w="1267" w:type="dxa"/>
            <w:noWrap/>
            <w:vAlign w:val="center"/>
          </w:tcPr>
          <w:p w:rsidR="00D300ED" w:rsidRPr="00F6648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D300ED" w:rsidRPr="00F6648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D300ED" w:rsidRPr="00F66481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D300ED" w:rsidRPr="00F6648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D300ED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D300ED" w:rsidRPr="006B04A1" w:rsidRDefault="00D300ED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D300ED" w:rsidRPr="00F66481" w:rsidRDefault="00611B2B" w:rsidP="00611B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</w:rPr>
              <w:t>n/a</w:t>
            </w:r>
          </w:p>
        </w:tc>
        <w:tc>
          <w:tcPr>
            <w:tcW w:w="1267" w:type="dxa"/>
            <w:noWrap/>
            <w:vAlign w:val="center"/>
          </w:tcPr>
          <w:p w:rsidR="00D300ED" w:rsidRPr="00F66481" w:rsidRDefault="00611B2B" w:rsidP="00611B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</w:rPr>
              <w:t>n/a</w:t>
            </w:r>
          </w:p>
        </w:tc>
        <w:tc>
          <w:tcPr>
            <w:tcW w:w="1267" w:type="dxa"/>
            <w:noWrap/>
            <w:vAlign w:val="center"/>
          </w:tcPr>
          <w:p w:rsidR="00D300ED" w:rsidRPr="00F66481" w:rsidRDefault="00611B2B" w:rsidP="00611B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</w:rPr>
              <w:t>n/a</w:t>
            </w:r>
          </w:p>
        </w:tc>
        <w:tc>
          <w:tcPr>
            <w:tcW w:w="1267" w:type="dxa"/>
            <w:noWrap/>
            <w:vAlign w:val="center"/>
          </w:tcPr>
          <w:p w:rsidR="00D300ED" w:rsidRPr="00F66481" w:rsidRDefault="00611B2B" w:rsidP="00611B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</w:rPr>
              <w:t>n/a</w:t>
            </w:r>
          </w:p>
        </w:tc>
      </w:tr>
      <w:tr w:rsidR="00611B2B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611B2B" w:rsidRPr="006B04A1" w:rsidRDefault="00611B2B" w:rsidP="00611B2B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611B2B" w:rsidRPr="00F66481" w:rsidRDefault="00611B2B" w:rsidP="00611B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</w:rPr>
              <w:t>n/a</w:t>
            </w:r>
          </w:p>
        </w:tc>
        <w:tc>
          <w:tcPr>
            <w:tcW w:w="1267" w:type="dxa"/>
            <w:noWrap/>
            <w:vAlign w:val="center"/>
          </w:tcPr>
          <w:p w:rsidR="00611B2B" w:rsidRPr="00F66481" w:rsidRDefault="00611B2B" w:rsidP="00611B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</w:rPr>
              <w:t>n/a</w:t>
            </w:r>
          </w:p>
        </w:tc>
        <w:tc>
          <w:tcPr>
            <w:tcW w:w="1267" w:type="dxa"/>
            <w:noWrap/>
            <w:vAlign w:val="center"/>
          </w:tcPr>
          <w:p w:rsidR="00611B2B" w:rsidRPr="00F66481" w:rsidRDefault="00611B2B" w:rsidP="00611B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</w:rPr>
              <w:t>n/a</w:t>
            </w:r>
          </w:p>
        </w:tc>
        <w:tc>
          <w:tcPr>
            <w:tcW w:w="1267" w:type="dxa"/>
            <w:noWrap/>
            <w:vAlign w:val="center"/>
          </w:tcPr>
          <w:p w:rsidR="00611B2B" w:rsidRPr="00F66481" w:rsidRDefault="00611B2B" w:rsidP="00611B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</w:rPr>
              <w:t>n/a</w:t>
            </w:r>
          </w:p>
        </w:tc>
      </w:tr>
      <w:tr w:rsidR="00D300ED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D300ED" w:rsidRPr="006B04A1" w:rsidRDefault="00D300ED" w:rsidP="00212894">
            <w:pPr>
              <w:spacing w:after="0" w:line="240" w:lineRule="auto"/>
              <w:ind w:left="259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EÚ zdroje</w:t>
            </w:r>
          </w:p>
        </w:tc>
        <w:tc>
          <w:tcPr>
            <w:tcW w:w="1267" w:type="dxa"/>
            <w:noWrap/>
            <w:vAlign w:val="center"/>
          </w:tcPr>
          <w:p w:rsidR="00D300ED" w:rsidRPr="00F6648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F6648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F66481" w:rsidRDefault="00D300ED" w:rsidP="007D5748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D300ED" w:rsidRPr="00F66481" w:rsidRDefault="00D300ED" w:rsidP="00EA2EEB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</w:tr>
      <w:tr w:rsidR="00611B2B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611B2B" w:rsidRPr="006B04A1" w:rsidRDefault="00611B2B" w:rsidP="00611B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611B2B" w:rsidRPr="00F66481" w:rsidRDefault="00611B2B" w:rsidP="00611B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611B2B" w:rsidRPr="00F66481" w:rsidRDefault="00611B2B" w:rsidP="00611B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611B2B" w:rsidRPr="00F66481" w:rsidRDefault="00611B2B" w:rsidP="00611B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611B2B" w:rsidRPr="00F66481" w:rsidRDefault="00611B2B" w:rsidP="00611B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</w:rPr>
              <w:t>0</w:t>
            </w:r>
          </w:p>
        </w:tc>
      </w:tr>
      <w:tr w:rsidR="00611B2B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611B2B" w:rsidRPr="006B04A1" w:rsidRDefault="00611B2B" w:rsidP="00611B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611B2B" w:rsidRPr="00F66481" w:rsidRDefault="00611B2B" w:rsidP="00611B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611B2B" w:rsidRPr="00F66481" w:rsidRDefault="00611B2B" w:rsidP="00611B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611B2B" w:rsidRPr="00F66481" w:rsidRDefault="00611B2B" w:rsidP="00611B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611B2B" w:rsidRPr="00F66481" w:rsidRDefault="00611B2B" w:rsidP="00611B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</w:rPr>
              <w:t>0</w:t>
            </w:r>
          </w:p>
        </w:tc>
      </w:tr>
      <w:tr w:rsidR="00611B2B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611B2B" w:rsidRPr="006B04A1" w:rsidRDefault="00611B2B" w:rsidP="00611B2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611B2B" w:rsidRPr="00F66481" w:rsidRDefault="00611B2B" w:rsidP="00611B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611B2B" w:rsidRPr="00F66481" w:rsidRDefault="00611B2B" w:rsidP="00611B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611B2B" w:rsidRPr="00F66481" w:rsidRDefault="00611B2B" w:rsidP="00611B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611B2B" w:rsidRPr="00F66481" w:rsidRDefault="00611B2B" w:rsidP="00611B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</w:rPr>
              <w:t>0</w:t>
            </w:r>
          </w:p>
        </w:tc>
      </w:tr>
      <w:tr w:rsidR="00974A05" w:rsidRPr="007D5748" w:rsidTr="005666F6">
        <w:trPr>
          <w:trHeight w:val="125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974A05" w:rsidRPr="006B04A1" w:rsidRDefault="00974A05" w:rsidP="00974A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Výdavky verejnej správy celkom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974A05" w:rsidRPr="00F66481" w:rsidRDefault="00F66481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974A05" w:rsidRPr="00F66481" w:rsidRDefault="00F66481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974A05" w:rsidRPr="00F66481" w:rsidRDefault="00F66481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974A05" w:rsidRPr="00F66481" w:rsidRDefault="00F66481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974A05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74A05" w:rsidRPr="006B04A1" w:rsidRDefault="00974A05" w:rsidP="00A3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</w:p>
        </w:tc>
        <w:tc>
          <w:tcPr>
            <w:tcW w:w="1267" w:type="dxa"/>
            <w:noWrap/>
            <w:vAlign w:val="center"/>
          </w:tcPr>
          <w:p w:rsidR="00974A05" w:rsidRPr="006B04A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6B04A1" w:rsidRDefault="00A320CF" w:rsidP="00974A0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974A05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74A05" w:rsidRPr="006B04A1" w:rsidRDefault="00974A05" w:rsidP="00974A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 xml:space="preserve">z toho: </w:t>
            </w:r>
          </w:p>
        </w:tc>
        <w:tc>
          <w:tcPr>
            <w:tcW w:w="1267" w:type="dxa"/>
            <w:noWrap/>
            <w:vAlign w:val="center"/>
          </w:tcPr>
          <w:p w:rsidR="00974A05" w:rsidRPr="006B04A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974A05" w:rsidRPr="006B04A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</w:p>
        </w:tc>
      </w:tr>
      <w:tr w:rsidR="00974A05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74A05" w:rsidRPr="006B04A1" w:rsidRDefault="00974A05" w:rsidP="00974A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F66481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F66481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F66481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F66481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974A05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74A05" w:rsidRPr="006B04A1" w:rsidRDefault="00974A05" w:rsidP="00974A05">
            <w:pPr>
              <w:spacing w:after="0" w:line="240" w:lineRule="auto"/>
              <w:ind w:left="25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>Rozpočtové prostriedky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A320CF" w:rsidP="00974A0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Cs/>
                <w:i/>
                <w:sz w:val="24"/>
                <w:szCs w:val="24"/>
                <w:lang w:eastAsia="sk-SK"/>
              </w:rPr>
              <w:t>0</w:t>
            </w:r>
          </w:p>
        </w:tc>
      </w:tr>
      <w:tr w:rsidR="00974A05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74A05" w:rsidRPr="006B04A1" w:rsidRDefault="00974A05" w:rsidP="00974A0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EÚ zdroje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974A05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74A05" w:rsidRPr="006B04A1" w:rsidRDefault="00974A05" w:rsidP="00974A05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sk-SK"/>
              </w:rPr>
              <w:t xml:space="preserve">    spolufinancovanie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sz w:val="24"/>
                <w:szCs w:val="24"/>
                <w:lang w:eastAsia="sk-SK"/>
              </w:rPr>
              <w:t>0</w:t>
            </w:r>
          </w:p>
        </w:tc>
      </w:tr>
      <w:tr w:rsidR="00974A05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74A05" w:rsidRPr="006B04A1" w:rsidRDefault="00974A05" w:rsidP="00974A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16AB9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74A05" w:rsidRPr="007D5748" w:rsidTr="005666F6">
        <w:trPr>
          <w:trHeight w:val="125"/>
          <w:jc w:val="center"/>
        </w:trPr>
        <w:tc>
          <w:tcPr>
            <w:tcW w:w="4661" w:type="dxa"/>
            <w:noWrap/>
            <w:vAlign w:val="center"/>
          </w:tcPr>
          <w:p w:rsidR="00974A05" w:rsidRPr="006B04A1" w:rsidRDefault="00974A05" w:rsidP="00974A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16AB9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74A05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74A05" w:rsidRPr="006B04A1" w:rsidRDefault="00974A05" w:rsidP="00974A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16AB9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0299C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50299C" w:rsidRPr="006B04A1" w:rsidRDefault="0050299C" w:rsidP="0050299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Vplyv na počet zamestnancov 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0299C" w:rsidRPr="00F66481" w:rsidRDefault="00F66481" w:rsidP="005029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0299C" w:rsidRPr="00F66481" w:rsidRDefault="00F66481" w:rsidP="005029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0299C" w:rsidRPr="00F66481" w:rsidRDefault="00916AB9" w:rsidP="005029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0299C" w:rsidRPr="00F66481" w:rsidRDefault="00F66481" w:rsidP="0062114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0299C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0299C" w:rsidRPr="006B04A1" w:rsidRDefault="0050299C" w:rsidP="0050299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50299C" w:rsidRPr="00F66481" w:rsidRDefault="00F66481" w:rsidP="005029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0299C" w:rsidRPr="00F66481" w:rsidRDefault="00F66481" w:rsidP="005029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0299C" w:rsidRPr="00F66481" w:rsidRDefault="00F66481" w:rsidP="005029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0299C" w:rsidRPr="00F66481" w:rsidRDefault="00F66481" w:rsidP="005029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50299C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0299C" w:rsidRPr="006B04A1" w:rsidRDefault="0050299C" w:rsidP="0050299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50299C" w:rsidRPr="00F66481" w:rsidRDefault="0050299C" w:rsidP="005029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0299C" w:rsidRPr="00F66481" w:rsidRDefault="0050299C" w:rsidP="005029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0299C" w:rsidRPr="00F66481" w:rsidRDefault="0050299C" w:rsidP="005029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0299C" w:rsidRPr="00F66481" w:rsidRDefault="0050299C" w:rsidP="005029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0299C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0299C" w:rsidRPr="006B04A1" w:rsidRDefault="0050299C" w:rsidP="0050299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50299C" w:rsidRPr="00F66481" w:rsidRDefault="0050299C" w:rsidP="005029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0299C" w:rsidRPr="00F66481" w:rsidRDefault="0050299C" w:rsidP="005029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0299C" w:rsidRPr="00F66481" w:rsidRDefault="0050299C" w:rsidP="005029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0299C" w:rsidRPr="00F66481" w:rsidRDefault="0050299C" w:rsidP="005029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0299C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50299C" w:rsidRPr="006B04A1" w:rsidRDefault="0050299C" w:rsidP="0050299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50299C" w:rsidRPr="00F66481" w:rsidRDefault="0050299C" w:rsidP="005029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0299C" w:rsidRPr="00F66481" w:rsidRDefault="0050299C" w:rsidP="005029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0299C" w:rsidRPr="00F66481" w:rsidRDefault="0050299C" w:rsidP="005029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50299C" w:rsidRPr="00F66481" w:rsidRDefault="0050299C" w:rsidP="0050299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50299C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50299C" w:rsidRPr="006B04A1" w:rsidRDefault="0050299C" w:rsidP="005029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Vplyv na mzdové výdavky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0299C" w:rsidRPr="00F66481" w:rsidRDefault="00F66481" w:rsidP="0050299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0299C" w:rsidRPr="00F66481" w:rsidRDefault="00F66481" w:rsidP="0050299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0299C" w:rsidRPr="00F66481" w:rsidRDefault="00F66481" w:rsidP="0050299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50299C" w:rsidRPr="00F66481" w:rsidRDefault="00F66481" w:rsidP="0050299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974A05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74A05" w:rsidRPr="006B04A1" w:rsidRDefault="00974A05" w:rsidP="00974A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ŠR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F66481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F66481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F66481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F66481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974A05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74A05" w:rsidRPr="006B04A1" w:rsidRDefault="00974A05" w:rsidP="00974A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obce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74A05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74A05" w:rsidRPr="006B04A1" w:rsidRDefault="00974A05" w:rsidP="00974A0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vyššie územné celky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974A05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74A05" w:rsidRPr="006B04A1" w:rsidRDefault="00974A05" w:rsidP="00974A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- vplyv na ostatné subjekty verejnej správy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sk-SK"/>
              </w:rPr>
              <w:t>0</w:t>
            </w:r>
          </w:p>
        </w:tc>
      </w:tr>
      <w:tr w:rsidR="00611B2B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C0C0C0"/>
            <w:noWrap/>
            <w:vAlign w:val="center"/>
          </w:tcPr>
          <w:p w:rsidR="00611B2B" w:rsidRPr="006B04A1" w:rsidRDefault="00611B2B" w:rsidP="00611B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Financovanie zabezpečené v rozpočte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611B2B" w:rsidRPr="00F66481" w:rsidRDefault="00611B2B" w:rsidP="00611B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</w:rPr>
              <w:t>n/a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611B2B" w:rsidRPr="00F66481" w:rsidRDefault="00611B2B" w:rsidP="00611B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</w:rPr>
              <w:t>n/a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611B2B" w:rsidRPr="00F66481" w:rsidRDefault="00611B2B" w:rsidP="00611B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</w:rPr>
              <w:t>n/a</w:t>
            </w:r>
          </w:p>
        </w:tc>
        <w:tc>
          <w:tcPr>
            <w:tcW w:w="1267" w:type="dxa"/>
            <w:shd w:val="clear" w:color="auto" w:fill="C0C0C0"/>
            <w:noWrap/>
            <w:vAlign w:val="center"/>
          </w:tcPr>
          <w:p w:rsidR="00611B2B" w:rsidRPr="00F66481" w:rsidRDefault="00611B2B" w:rsidP="00611B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</w:rPr>
              <w:t>n/a</w:t>
            </w:r>
          </w:p>
        </w:tc>
      </w:tr>
      <w:tr w:rsidR="00974A05" w:rsidRPr="007D5748" w:rsidTr="005666F6">
        <w:trPr>
          <w:trHeight w:val="70"/>
          <w:jc w:val="center"/>
        </w:trPr>
        <w:tc>
          <w:tcPr>
            <w:tcW w:w="4661" w:type="dxa"/>
            <w:noWrap/>
            <w:vAlign w:val="center"/>
          </w:tcPr>
          <w:p w:rsidR="00974A05" w:rsidRPr="006B04A1" w:rsidRDefault="00974A05" w:rsidP="00A320C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v tom: 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noWrap/>
            <w:vAlign w:val="center"/>
          </w:tcPr>
          <w:p w:rsidR="00974A05" w:rsidRPr="00F6648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  <w:lang w:eastAsia="sk-SK"/>
              </w:rPr>
            </w:pPr>
            <w:r w:rsidRPr="00F66481">
              <w:rPr>
                <w:rFonts w:ascii="Times New Roman" w:hAnsi="Times New Roman"/>
                <w:i/>
                <w:sz w:val="24"/>
                <w:szCs w:val="24"/>
                <w:lang w:eastAsia="sk-SK"/>
              </w:rPr>
              <w:t>0</w:t>
            </w:r>
          </w:p>
        </w:tc>
      </w:tr>
      <w:tr w:rsidR="00974A05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BFBFBF" w:themeFill="background1" w:themeFillShade="BF"/>
            <w:noWrap/>
            <w:vAlign w:val="center"/>
          </w:tcPr>
          <w:p w:rsidR="00974A05" w:rsidRPr="006B04A1" w:rsidRDefault="00974A05" w:rsidP="00974A0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Iné ako rozpočtové zdroje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74A05" w:rsidRPr="006B04A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74A05" w:rsidRPr="006B04A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74A05" w:rsidRPr="006B04A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267" w:type="dxa"/>
            <w:shd w:val="clear" w:color="auto" w:fill="BFBFBF" w:themeFill="background1" w:themeFillShade="BF"/>
            <w:noWrap/>
            <w:vAlign w:val="center"/>
          </w:tcPr>
          <w:p w:rsidR="00974A05" w:rsidRPr="006B04A1" w:rsidRDefault="00974A05" w:rsidP="00974A0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</w:tr>
      <w:tr w:rsidR="00611B2B" w:rsidRPr="007D5748" w:rsidTr="005666F6">
        <w:trPr>
          <w:trHeight w:val="70"/>
          <w:jc w:val="center"/>
        </w:trPr>
        <w:tc>
          <w:tcPr>
            <w:tcW w:w="4661" w:type="dxa"/>
            <w:shd w:val="clear" w:color="auto" w:fill="A6A6A6" w:themeFill="background1" w:themeFillShade="A6"/>
            <w:noWrap/>
            <w:vAlign w:val="center"/>
          </w:tcPr>
          <w:p w:rsidR="00611B2B" w:rsidRPr="006B04A1" w:rsidRDefault="00611B2B" w:rsidP="00611B2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6B04A1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Rozpočtovo nekrytý vplyv / úspora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611B2B" w:rsidRPr="00F66481" w:rsidRDefault="00611B2B" w:rsidP="00611B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</w:rPr>
              <w:t>n/a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611B2B" w:rsidRPr="00F66481" w:rsidRDefault="00611B2B" w:rsidP="00611B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</w:rPr>
              <w:t>n/a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611B2B" w:rsidRPr="00F66481" w:rsidRDefault="00611B2B" w:rsidP="00611B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</w:rPr>
              <w:t>n/a</w:t>
            </w:r>
          </w:p>
        </w:tc>
        <w:tc>
          <w:tcPr>
            <w:tcW w:w="1267" w:type="dxa"/>
            <w:shd w:val="clear" w:color="auto" w:fill="A6A6A6" w:themeFill="background1" w:themeFillShade="A6"/>
            <w:noWrap/>
            <w:vAlign w:val="center"/>
          </w:tcPr>
          <w:p w:rsidR="00611B2B" w:rsidRPr="00F66481" w:rsidRDefault="00611B2B" w:rsidP="00611B2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b/>
                <w:bCs/>
                <w:iCs/>
              </w:rPr>
              <w:t>n/a</w:t>
            </w:r>
          </w:p>
        </w:tc>
      </w:tr>
      <w:bookmarkEnd w:id="0"/>
    </w:tbl>
    <w:p w:rsidR="004D1948" w:rsidRDefault="004D19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2.1.1. Financovanie návrhu - Návrh na riešenie úbytku príjmov alebo zvýšených výdavkov podľa § 33 ods. 1 zákona č. 523/2004 Z. z. o rozpočtových pravidlách verejnej správy:</w:t>
      </w:r>
    </w:p>
    <w:p w:rsidR="00646BF5" w:rsidRPr="007D5748" w:rsidRDefault="00646BF5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46BF5" w:rsidRPr="004D1948" w:rsidRDefault="00646BF5" w:rsidP="00646B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8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D1948">
        <w:rPr>
          <w:rFonts w:ascii="Times New Roman" w:hAnsi="Times New Roman"/>
          <w:b/>
          <w:bCs/>
          <w:sz w:val="24"/>
          <w:szCs w:val="24"/>
          <w:lang w:eastAsia="sk-SK"/>
        </w:rPr>
        <w:t>Prijatie navrhovan</w:t>
      </w:r>
      <w:r w:rsidR="004D1948">
        <w:rPr>
          <w:rFonts w:ascii="Times New Roman" w:hAnsi="Times New Roman"/>
          <w:b/>
          <w:bCs/>
          <w:sz w:val="24"/>
          <w:szCs w:val="24"/>
          <w:lang w:eastAsia="sk-SK"/>
        </w:rPr>
        <w:t xml:space="preserve">ej novely </w:t>
      </w:r>
      <w:r w:rsidRPr="004D1948">
        <w:rPr>
          <w:rFonts w:ascii="Times New Roman" w:hAnsi="Times New Roman"/>
          <w:b/>
          <w:bCs/>
          <w:sz w:val="24"/>
          <w:szCs w:val="24"/>
          <w:lang w:eastAsia="sk-SK"/>
        </w:rPr>
        <w:t xml:space="preserve">zákona o kybernetickej bezpečnosti zakladá </w:t>
      </w:r>
    </w:p>
    <w:p w:rsidR="00646BF5" w:rsidRPr="004D1948" w:rsidRDefault="00646BF5" w:rsidP="00646B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646BF5" w:rsidRPr="004D1948" w:rsidRDefault="00646BF5" w:rsidP="00646B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4D19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- </w:t>
      </w:r>
      <w:r w:rsidRPr="004D1948">
        <w:rPr>
          <w:rFonts w:ascii="Times New Roman" w:hAnsi="Times New Roman"/>
          <w:b/>
          <w:bCs/>
          <w:sz w:val="24"/>
          <w:szCs w:val="24"/>
          <w:lang w:eastAsia="sk-SK"/>
        </w:rPr>
        <w:t xml:space="preserve">pozitívny vplyv. </w:t>
      </w:r>
    </w:p>
    <w:p w:rsidR="00646BF5" w:rsidRPr="004D1948" w:rsidRDefault="00646BF5" w:rsidP="00646B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4D1948">
        <w:rPr>
          <w:rFonts w:ascii="Times New Roman" w:hAnsi="Times New Roman"/>
          <w:bCs/>
          <w:sz w:val="24"/>
          <w:szCs w:val="24"/>
          <w:lang w:eastAsia="sk-SK"/>
        </w:rPr>
        <w:t xml:space="preserve">     Pozitívny vplyv na príjmovú časť verejných financií bude mať výber pokút podľa sadzieb </w:t>
      </w:r>
      <w:r w:rsidR="00A17AC5">
        <w:rPr>
          <w:rFonts w:ascii="Times New Roman" w:hAnsi="Times New Roman"/>
          <w:bCs/>
          <w:sz w:val="24"/>
          <w:szCs w:val="24"/>
          <w:lang w:eastAsia="sk-SK"/>
        </w:rPr>
        <w:t>u</w:t>
      </w:r>
      <w:r w:rsidRPr="004D1948">
        <w:rPr>
          <w:rFonts w:ascii="Times New Roman" w:hAnsi="Times New Roman"/>
          <w:bCs/>
          <w:sz w:val="24"/>
          <w:szCs w:val="24"/>
          <w:lang w:eastAsia="sk-SK"/>
        </w:rPr>
        <w:t xml:space="preserve">stanovených </w:t>
      </w:r>
      <w:r w:rsidR="00A17AC5">
        <w:rPr>
          <w:rFonts w:ascii="Times New Roman" w:hAnsi="Times New Roman"/>
          <w:bCs/>
          <w:sz w:val="24"/>
          <w:szCs w:val="24"/>
          <w:lang w:eastAsia="sk-SK"/>
        </w:rPr>
        <w:t>návrhom</w:t>
      </w:r>
      <w:r w:rsidR="004D1948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4D1948">
        <w:rPr>
          <w:rFonts w:ascii="Times New Roman" w:hAnsi="Times New Roman"/>
          <w:bCs/>
          <w:sz w:val="24"/>
          <w:szCs w:val="24"/>
          <w:lang w:eastAsia="sk-SK"/>
        </w:rPr>
        <w:t>zákon</w:t>
      </w:r>
      <w:r w:rsidR="004D1948">
        <w:rPr>
          <w:rFonts w:ascii="Times New Roman" w:hAnsi="Times New Roman"/>
          <w:bCs/>
          <w:sz w:val="24"/>
          <w:szCs w:val="24"/>
          <w:lang w:eastAsia="sk-SK"/>
        </w:rPr>
        <w:t>a.</w:t>
      </w:r>
      <w:r w:rsidRPr="004D1948">
        <w:rPr>
          <w:rFonts w:ascii="Times New Roman" w:hAnsi="Times New Roman"/>
          <w:bCs/>
          <w:sz w:val="24"/>
          <w:szCs w:val="24"/>
          <w:lang w:eastAsia="sk-SK"/>
        </w:rPr>
        <w:t xml:space="preserve"> Prípadný pozitívny vplyv na príjmovú časť verejných financií bude mať tiež výber správnych poplatkov za konanie súvisiace s certifikáciou kybernetickej bezpečnosti. </w:t>
      </w:r>
    </w:p>
    <w:p w:rsidR="00646BF5" w:rsidRPr="004D1948" w:rsidRDefault="00646BF5" w:rsidP="00646B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8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46BF5" w:rsidRPr="004D1948" w:rsidRDefault="005236E7" w:rsidP="00646B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4D1948">
        <w:rPr>
          <w:rFonts w:ascii="Times New Roman" w:hAnsi="Times New Roman"/>
          <w:bCs/>
          <w:sz w:val="24"/>
          <w:szCs w:val="24"/>
          <w:lang w:eastAsia="sk-SK"/>
        </w:rPr>
        <w:t xml:space="preserve">     </w:t>
      </w:r>
      <w:r w:rsidR="00646BF5" w:rsidRPr="004D1948">
        <w:rPr>
          <w:rFonts w:ascii="Times New Roman" w:hAnsi="Times New Roman"/>
          <w:bCs/>
          <w:sz w:val="24"/>
          <w:szCs w:val="24"/>
          <w:lang w:eastAsia="sk-SK"/>
        </w:rPr>
        <w:t xml:space="preserve">Ako pozitívny </w:t>
      </w:r>
      <w:r w:rsidRPr="004D1948">
        <w:rPr>
          <w:rFonts w:ascii="Times New Roman" w:hAnsi="Times New Roman"/>
          <w:bCs/>
          <w:sz w:val="24"/>
          <w:szCs w:val="24"/>
          <w:lang w:eastAsia="sk-SK"/>
        </w:rPr>
        <w:t xml:space="preserve">vplyv </w:t>
      </w:r>
      <w:r w:rsidR="00646BF5" w:rsidRPr="004D1948">
        <w:rPr>
          <w:rFonts w:ascii="Times New Roman" w:hAnsi="Times New Roman"/>
          <w:bCs/>
          <w:sz w:val="24"/>
          <w:szCs w:val="24"/>
          <w:lang w:eastAsia="sk-SK"/>
        </w:rPr>
        <w:t>návrh</w:t>
      </w:r>
      <w:r w:rsidR="004D1948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646BF5" w:rsidRPr="004D1948">
        <w:rPr>
          <w:rFonts w:ascii="Times New Roman" w:hAnsi="Times New Roman"/>
          <w:bCs/>
          <w:sz w:val="24"/>
          <w:szCs w:val="24"/>
          <w:lang w:eastAsia="sk-SK"/>
        </w:rPr>
        <w:t xml:space="preserve">zákona vníma </w:t>
      </w:r>
      <w:r w:rsidRPr="004D1948">
        <w:rPr>
          <w:rFonts w:ascii="Times New Roman" w:hAnsi="Times New Roman"/>
          <w:bCs/>
          <w:sz w:val="24"/>
          <w:szCs w:val="24"/>
          <w:lang w:eastAsia="sk-SK"/>
        </w:rPr>
        <w:t xml:space="preserve">aj </w:t>
      </w:r>
      <w:r w:rsidR="00646BF5" w:rsidRPr="004D1948">
        <w:rPr>
          <w:rFonts w:ascii="Times New Roman" w:hAnsi="Times New Roman"/>
          <w:bCs/>
          <w:sz w:val="24"/>
          <w:szCs w:val="24"/>
          <w:lang w:eastAsia="sk-SK"/>
        </w:rPr>
        <w:t>predpokladá, že dôjde k zlúč</w:t>
      </w:r>
      <w:r w:rsidRPr="004D1948">
        <w:rPr>
          <w:rFonts w:ascii="Times New Roman" w:hAnsi="Times New Roman"/>
          <w:bCs/>
          <w:sz w:val="24"/>
          <w:szCs w:val="24"/>
          <w:lang w:eastAsia="sk-SK"/>
        </w:rPr>
        <w:t>e</w:t>
      </w:r>
      <w:r w:rsidR="00646BF5" w:rsidRPr="004D1948">
        <w:rPr>
          <w:rFonts w:ascii="Times New Roman" w:hAnsi="Times New Roman"/>
          <w:bCs/>
          <w:sz w:val="24"/>
          <w:szCs w:val="24"/>
          <w:lang w:eastAsia="sk-SK"/>
        </w:rPr>
        <w:t>niu požiadavi</w:t>
      </w:r>
      <w:r w:rsidRPr="004D1948">
        <w:rPr>
          <w:rFonts w:ascii="Times New Roman" w:hAnsi="Times New Roman"/>
          <w:bCs/>
          <w:sz w:val="24"/>
          <w:szCs w:val="24"/>
          <w:lang w:eastAsia="sk-SK"/>
        </w:rPr>
        <w:t xml:space="preserve">ek z hľadiska potreby prijatia a hodnotenia bezpečnostných opatrení vo vzťahu k zabezpečeniu kybernetickej bezpečnosti pod </w:t>
      </w:r>
      <w:r w:rsidR="005A3CF1">
        <w:rPr>
          <w:rFonts w:ascii="Times New Roman" w:hAnsi="Times New Roman"/>
          <w:bCs/>
          <w:sz w:val="24"/>
          <w:szCs w:val="24"/>
          <w:lang w:eastAsia="sk-SK"/>
        </w:rPr>
        <w:t>z</w:t>
      </w:r>
      <w:r w:rsidRPr="004D1948">
        <w:rPr>
          <w:rFonts w:ascii="Times New Roman" w:hAnsi="Times New Roman"/>
          <w:bCs/>
          <w:sz w:val="24"/>
          <w:szCs w:val="24"/>
          <w:lang w:eastAsia="sk-SK"/>
        </w:rPr>
        <w:t xml:space="preserve">ákon č. 69/2018 Z. z. o kybernetickej bezpečnosti </w:t>
      </w:r>
      <w:r w:rsidR="004D1948">
        <w:rPr>
          <w:rFonts w:ascii="Times New Roman" w:hAnsi="Times New Roman"/>
          <w:bCs/>
          <w:sz w:val="24"/>
          <w:szCs w:val="24"/>
          <w:lang w:eastAsia="sk-SK"/>
        </w:rPr>
        <w:t xml:space="preserve">a </w:t>
      </w:r>
      <w:r w:rsidRPr="004D1948">
        <w:rPr>
          <w:rFonts w:ascii="Times New Roman" w:hAnsi="Times New Roman"/>
          <w:bCs/>
          <w:sz w:val="24"/>
          <w:szCs w:val="24"/>
          <w:lang w:eastAsia="sk-SK"/>
        </w:rPr>
        <w:t xml:space="preserve">o zmene a doplnení niektorých zákonov, čím dôjde k zjednoteniu a zastrešeniu úpravy, ktorá je pokrytá aj </w:t>
      </w:r>
      <w:r w:rsidR="005A3CF1">
        <w:rPr>
          <w:rFonts w:ascii="Times New Roman" w:hAnsi="Times New Roman"/>
          <w:bCs/>
          <w:sz w:val="24"/>
          <w:szCs w:val="24"/>
          <w:lang w:eastAsia="sk-SK"/>
        </w:rPr>
        <w:t>z</w:t>
      </w:r>
      <w:r w:rsidR="005A3CF1" w:rsidRPr="005A3CF1">
        <w:rPr>
          <w:rFonts w:ascii="Times New Roman" w:hAnsi="Times New Roman"/>
          <w:bCs/>
          <w:sz w:val="24"/>
          <w:szCs w:val="24"/>
          <w:lang w:eastAsia="sk-SK"/>
        </w:rPr>
        <w:t>ákon</w:t>
      </w:r>
      <w:r w:rsidR="005A3CF1">
        <w:rPr>
          <w:rFonts w:ascii="Times New Roman" w:hAnsi="Times New Roman"/>
          <w:bCs/>
          <w:sz w:val="24"/>
          <w:szCs w:val="24"/>
          <w:lang w:eastAsia="sk-SK"/>
        </w:rPr>
        <w:t>om</w:t>
      </w:r>
      <w:r w:rsidR="005A3CF1" w:rsidRPr="005A3CF1">
        <w:rPr>
          <w:rFonts w:ascii="Times New Roman" w:hAnsi="Times New Roman"/>
          <w:bCs/>
          <w:sz w:val="24"/>
          <w:szCs w:val="24"/>
          <w:lang w:eastAsia="sk-SK"/>
        </w:rPr>
        <w:t xml:space="preserve"> č. 95/2019 Z. z. o informačných technológiách vo verejnej správe a o zmene a doplnení niektorých zákonov v znení zákona č. 134/2020 Z. z</w:t>
      </w:r>
      <w:r w:rsidR="005A3CF1">
        <w:rPr>
          <w:rFonts w:ascii="Times New Roman" w:hAnsi="Times New Roman"/>
          <w:bCs/>
          <w:sz w:val="24"/>
          <w:szCs w:val="24"/>
          <w:lang w:eastAsia="sk-SK"/>
        </w:rPr>
        <w:t xml:space="preserve">. </w:t>
      </w:r>
      <w:r w:rsidRPr="004D1948">
        <w:rPr>
          <w:rFonts w:ascii="Times New Roman" w:hAnsi="Times New Roman"/>
          <w:bCs/>
          <w:sz w:val="24"/>
          <w:szCs w:val="24"/>
          <w:lang w:eastAsia="sk-SK"/>
        </w:rPr>
        <w:t xml:space="preserve">a </w:t>
      </w:r>
      <w:r w:rsidR="005A3CF1">
        <w:rPr>
          <w:rFonts w:ascii="Times New Roman" w:hAnsi="Times New Roman"/>
          <w:bCs/>
          <w:sz w:val="24"/>
          <w:szCs w:val="24"/>
          <w:lang w:eastAsia="sk-SK"/>
        </w:rPr>
        <w:t>z</w:t>
      </w:r>
      <w:r w:rsidRPr="004D1948">
        <w:rPr>
          <w:rFonts w:ascii="Times New Roman" w:hAnsi="Times New Roman"/>
          <w:bCs/>
          <w:sz w:val="24"/>
          <w:szCs w:val="24"/>
          <w:lang w:eastAsia="sk-SK"/>
        </w:rPr>
        <w:t>ákon</w:t>
      </w:r>
      <w:r w:rsidR="005A3CF1">
        <w:rPr>
          <w:rFonts w:ascii="Times New Roman" w:hAnsi="Times New Roman"/>
          <w:bCs/>
          <w:sz w:val="24"/>
          <w:szCs w:val="24"/>
          <w:lang w:eastAsia="sk-SK"/>
        </w:rPr>
        <w:t>om</w:t>
      </w:r>
      <w:r w:rsidRPr="004D1948">
        <w:rPr>
          <w:rFonts w:ascii="Times New Roman" w:hAnsi="Times New Roman"/>
          <w:bCs/>
          <w:sz w:val="24"/>
          <w:szCs w:val="24"/>
          <w:lang w:eastAsia="sk-SK"/>
        </w:rPr>
        <w:t xml:space="preserve"> č. 351/2011 Z. z. o elektronických komunikáciách v znení neskorších predpisov.</w:t>
      </w:r>
    </w:p>
    <w:p w:rsidR="005236E7" w:rsidRPr="004D1948" w:rsidRDefault="005236E7" w:rsidP="00646B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5236E7" w:rsidRPr="004D1948" w:rsidRDefault="005236E7" w:rsidP="005236E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4D1948">
        <w:rPr>
          <w:rFonts w:ascii="Times New Roman" w:hAnsi="Times New Roman"/>
          <w:bCs/>
          <w:sz w:val="24"/>
          <w:szCs w:val="24"/>
          <w:lang w:eastAsia="sk-SK"/>
        </w:rPr>
        <w:t xml:space="preserve">      Keďže ide o inštitúty v zmysle novo navrhovanej právnej úpravy nie je v súčasnosti možné konkrétne vyčísliť výšku predpokladaného pozitívneho vplyvu na príjmovú časť verejných financií.  </w:t>
      </w:r>
    </w:p>
    <w:p w:rsidR="00646BF5" w:rsidRPr="004D1948" w:rsidRDefault="00646BF5" w:rsidP="00646B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8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646BF5" w:rsidRPr="004D1948" w:rsidRDefault="00646BF5" w:rsidP="00646B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8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D1948">
        <w:rPr>
          <w:rFonts w:ascii="Times New Roman" w:hAnsi="Times New Roman"/>
          <w:b/>
          <w:bCs/>
          <w:sz w:val="24"/>
          <w:szCs w:val="24"/>
          <w:lang w:eastAsia="sk-SK"/>
        </w:rPr>
        <w:t xml:space="preserve">- negatívne vplyvy na rozpočet sa nepredpokladajú. </w:t>
      </w:r>
    </w:p>
    <w:p w:rsidR="00646BF5" w:rsidRPr="004D1948" w:rsidRDefault="00646BF5" w:rsidP="00646B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8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316354" w:rsidRPr="004D1948" w:rsidRDefault="004D1948" w:rsidP="004D194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 xml:space="preserve">       V súčasnosti neboli zaregistrované negatívne dopady </w:t>
      </w:r>
      <w:r w:rsidRPr="004D1948">
        <w:rPr>
          <w:rFonts w:ascii="Times New Roman" w:hAnsi="Times New Roman"/>
          <w:bCs/>
          <w:sz w:val="24"/>
          <w:szCs w:val="24"/>
          <w:lang w:eastAsia="sk-SK"/>
        </w:rPr>
        <w:t>na rozpočet verejnej správy,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Pr="004D1948">
        <w:rPr>
          <w:rFonts w:ascii="Times New Roman" w:hAnsi="Times New Roman"/>
          <w:bCs/>
          <w:sz w:val="24"/>
          <w:szCs w:val="24"/>
          <w:lang w:eastAsia="sk-SK"/>
        </w:rPr>
        <w:t>na zamestnanosť vo verejnej správe</w:t>
      </w:r>
      <w:r>
        <w:rPr>
          <w:rFonts w:ascii="Times New Roman" w:hAnsi="Times New Roman"/>
          <w:bCs/>
          <w:sz w:val="24"/>
          <w:szCs w:val="24"/>
          <w:lang w:eastAsia="sk-SK"/>
        </w:rPr>
        <w:t>,</w:t>
      </w:r>
      <w:r w:rsidRPr="004D1948">
        <w:rPr>
          <w:rFonts w:ascii="Times New Roman" w:hAnsi="Times New Roman"/>
          <w:bCs/>
          <w:sz w:val="24"/>
          <w:szCs w:val="24"/>
          <w:lang w:eastAsia="sk-SK"/>
        </w:rPr>
        <w:t xml:space="preserve"> a</w:t>
      </w:r>
      <w:r>
        <w:rPr>
          <w:rFonts w:ascii="Times New Roman" w:hAnsi="Times New Roman"/>
          <w:bCs/>
          <w:sz w:val="24"/>
          <w:szCs w:val="24"/>
          <w:lang w:eastAsia="sk-SK"/>
        </w:rPr>
        <w:t>ko aj na samotné</w:t>
      </w:r>
      <w:r w:rsidRPr="004D1948">
        <w:rPr>
          <w:rFonts w:ascii="Times New Roman" w:hAnsi="Times New Roman"/>
          <w:bCs/>
          <w:sz w:val="24"/>
          <w:szCs w:val="24"/>
          <w:lang w:eastAsia="sk-SK"/>
        </w:rPr>
        <w:t xml:space="preserve"> financovanie návrhu</w:t>
      </w:r>
      <w:r>
        <w:rPr>
          <w:rFonts w:ascii="Times New Roman" w:hAnsi="Times New Roman"/>
          <w:bCs/>
          <w:sz w:val="24"/>
          <w:szCs w:val="24"/>
          <w:lang w:eastAsia="sk-SK"/>
        </w:rPr>
        <w:t xml:space="preserve">. </w:t>
      </w:r>
      <w:r w:rsidR="00316354" w:rsidRPr="004D1948">
        <w:rPr>
          <w:rFonts w:ascii="Times New Roman" w:hAnsi="Times New Roman"/>
          <w:bCs/>
          <w:sz w:val="24"/>
          <w:szCs w:val="24"/>
          <w:lang w:eastAsia="sk-SK"/>
        </w:rPr>
        <w:t>Financovanie predmetných výdavkov bude zabezpečené v rámci limitov rozpočtu verejnej správy na príslušné rozpočtové roky.</w:t>
      </w:r>
    </w:p>
    <w:p w:rsidR="00316354" w:rsidRPr="007D5748" w:rsidRDefault="00316354" w:rsidP="00646BF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268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1C6AD7" w:rsidRDefault="001C6AD7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 Popis a charakteristika návrhu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2.2.1. Popis návrhu:</w:t>
      </w:r>
    </w:p>
    <w:p w:rsidR="007D5748" w:rsidRPr="007D5748" w:rsidRDefault="007D5748" w:rsidP="007D5748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5A3CF1" w:rsidRPr="005A3CF1" w:rsidRDefault="005A3CF1" w:rsidP="005A3C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A3CF1">
        <w:rPr>
          <w:rFonts w:ascii="Times New Roman" w:hAnsi="Times New Roman"/>
          <w:sz w:val="24"/>
          <w:szCs w:val="24"/>
        </w:rPr>
        <w:t xml:space="preserve">Návrh zákona vytvára funkčný legislatívny rámec, nevyhnutný pre efektívnu realizáciu kľúčových opatrení pre bezpečnosť národného kybernetického priestoru, ktorý transponuje priority a požiadavky, ktoré boli vytvorené na úrovni Európskej únie a prijaté všeobecným konsenzom Smernicou Európskeho parlamentu a Rady (EÚ) 2016/1148 zo 6. júla 2016 o opatreniach na zabezpečenie vysokej spoločnej úrovne bezpečnosti sietí a informačných systémov v Únii. Vychádzajúc zo skúseností z aplikačnej praxe je cieľom návrhu zákona posilniť legislatívnu úpravu v oblasti kybernetickej bezpečnosti, pričom sa zameriava na posilnenie právomocí príslušných vnútroštátnych orgánov, precizovanie niektorých definícií, </w:t>
      </w:r>
      <w:r w:rsidR="0031784D" w:rsidRPr="005A3CF1">
        <w:rPr>
          <w:rFonts w:ascii="Times New Roman" w:hAnsi="Times New Roman"/>
          <w:sz w:val="24"/>
          <w:szCs w:val="24"/>
        </w:rPr>
        <w:t>úprav</w:t>
      </w:r>
      <w:r w:rsidR="0031784D">
        <w:rPr>
          <w:rFonts w:ascii="Times New Roman" w:hAnsi="Times New Roman"/>
          <w:sz w:val="24"/>
          <w:szCs w:val="24"/>
        </w:rPr>
        <w:t>u</w:t>
      </w:r>
      <w:r w:rsidR="0031784D" w:rsidRPr="005A3CF1">
        <w:rPr>
          <w:rFonts w:ascii="Times New Roman" w:hAnsi="Times New Roman"/>
          <w:sz w:val="24"/>
          <w:szCs w:val="24"/>
        </w:rPr>
        <w:t xml:space="preserve"> </w:t>
      </w:r>
      <w:r w:rsidRPr="005A3CF1">
        <w:rPr>
          <w:rFonts w:ascii="Times New Roman" w:hAnsi="Times New Roman"/>
          <w:sz w:val="24"/>
          <w:szCs w:val="24"/>
        </w:rPr>
        <w:t>procesného postupu pri certifikácii kybernetickej bezpečnosti, ktorá vyplýva z nariadenia Európskeho parlamentu a Rady (EÚ) 2019/881 zo 17. apríla 2019 o agentúre ENISA (Agentúra Európskej únie pre kybernetickú bezpečnosť) a o certifikácii kybernetickej bezpečnosti informačných a komunikačných technológií a o zrušení nariadenia (EÚ) č. 526/2013 (akt o kybernetickej bezpečnosti). Návrh zákona zavádza inštitút blokovania, upravuje sa postavenie audítora kybernetickej bezpečnosti. V prílohe č. 1 sa precizuje prevádzkovateľ služieb v podsektore Letecká doprava, upravuje sa sektor Digitálna infraštruktúra a zo sektora Verejná správa sa vypúšťa podsektor spravodajské služby v rozsahu Slovenská informačná služba a Vojenské spravodajstvo.</w:t>
      </w:r>
    </w:p>
    <w:p w:rsidR="007704F5" w:rsidRDefault="007704F5" w:rsidP="007704F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2.2.2. Charakteristika návrhu: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sz w:val="24"/>
          <w:szCs w:val="24"/>
          <w:bdr w:val="single" w:sz="4" w:space="0" w:color="auto"/>
          <w:lang w:eastAsia="sk-SK"/>
        </w:rPr>
        <w:lastRenderedPageBreak/>
        <w:t xml:space="preserve">     </w:t>
      </w:r>
      <w:r w:rsidRPr="007D5748">
        <w:rPr>
          <w:rFonts w:ascii="Times New Roman" w:hAnsi="Times New Roman"/>
          <w:b/>
          <w:sz w:val="24"/>
          <w:szCs w:val="24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lang w:eastAsia="sk-SK"/>
        </w:rPr>
        <w:t>zmena sadzby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 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zmena v nároku</w:t>
      </w:r>
    </w:p>
    <w:p w:rsidR="007D5748" w:rsidRPr="007D5748" w:rsidRDefault="00066F09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9A143B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7D5748"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7D5748" w:rsidRPr="007D5748">
        <w:rPr>
          <w:rFonts w:ascii="Times New Roman" w:hAnsi="Times New Roman"/>
          <w:sz w:val="24"/>
          <w:szCs w:val="24"/>
          <w:lang w:eastAsia="sk-SK"/>
        </w:rPr>
        <w:t xml:space="preserve">  nová služba alebo nariadenie (alebo ich zrušenie)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="009A143B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>x</w:t>
      </w: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kombinovaný návrh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="00066F09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 </w:t>
      </w:r>
      <w:r w:rsidRPr="007D5748">
        <w:rPr>
          <w:rFonts w:ascii="Times New Roman" w:hAnsi="Times New Roman"/>
          <w:sz w:val="24"/>
          <w:szCs w:val="24"/>
          <w:bdr w:val="single" w:sz="4" w:space="0" w:color="auto"/>
          <w:lang w:eastAsia="sk-SK"/>
        </w:rPr>
        <w:t xml:space="preserve"> </w:t>
      </w:r>
      <w:r w:rsidRPr="007D5748">
        <w:rPr>
          <w:rFonts w:ascii="Times New Roman" w:hAnsi="Times New Roman"/>
          <w:sz w:val="24"/>
          <w:szCs w:val="24"/>
          <w:lang w:eastAsia="sk-SK"/>
        </w:rPr>
        <w:t xml:space="preserve">  iné 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2.2.3. Predpoklady vývoja objemu aktivít:</w:t>
      </w: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7D5748">
        <w:rPr>
          <w:rFonts w:ascii="Times New Roman" w:hAnsi="Times New Roman"/>
          <w:sz w:val="24"/>
          <w:szCs w:val="24"/>
          <w:lang w:eastAsia="sk-SK"/>
        </w:rPr>
        <w:t>Jasne popíšte, v prípade potreby použite nižšie uvedenú tabuľku. Uveďte aj odhady základov daní a/alebo poplatkov, ak sa ich táto zmena týka.</w:t>
      </w:r>
    </w:p>
    <w:p w:rsidR="007D5748" w:rsidRPr="007D5748" w:rsidRDefault="007D5748" w:rsidP="007D5748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sk-SK"/>
        </w:rPr>
      </w:pPr>
      <w:r w:rsidRPr="007D5748">
        <w:rPr>
          <w:rFonts w:ascii="Times New Roman" w:hAnsi="Times New Roman"/>
          <w:sz w:val="20"/>
          <w:szCs w:val="20"/>
          <w:lang w:eastAsia="sk-SK"/>
        </w:rPr>
        <w:t xml:space="preserve">Tabuľka č. 2 </w:t>
      </w:r>
    </w:p>
    <w:tbl>
      <w:tblPr>
        <w:tblW w:w="0" w:type="auto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30"/>
        <w:gridCol w:w="1134"/>
        <w:gridCol w:w="1134"/>
        <w:gridCol w:w="1134"/>
        <w:gridCol w:w="1134"/>
      </w:tblGrid>
      <w:tr w:rsidR="007D5748" w:rsidRPr="007D5748" w:rsidTr="005666F6">
        <w:trPr>
          <w:cantSplit/>
          <w:trHeight w:val="70"/>
        </w:trPr>
        <w:tc>
          <w:tcPr>
            <w:tcW w:w="4530" w:type="dxa"/>
            <w:vMerge w:val="restart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Objem aktivít</w:t>
            </w:r>
          </w:p>
        </w:tc>
        <w:tc>
          <w:tcPr>
            <w:tcW w:w="1134" w:type="dxa"/>
            <w:gridSpan w:val="4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Odhadované objemy</w:t>
            </w:r>
          </w:p>
        </w:tc>
      </w:tr>
      <w:tr w:rsidR="007D5748" w:rsidRPr="007D5748" w:rsidTr="005666F6">
        <w:trPr>
          <w:cantSplit/>
          <w:trHeight w:val="70"/>
        </w:trPr>
        <w:tc>
          <w:tcPr>
            <w:tcW w:w="4530" w:type="dxa"/>
            <w:vMerge/>
            <w:shd w:val="clear" w:color="auto" w:fill="BFBFBF" w:themeFill="background1" w:themeFillShade="BF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+ 1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+ 2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r + 3</w:t>
            </w:r>
          </w:p>
        </w:tc>
      </w:tr>
      <w:tr w:rsidR="007D5748" w:rsidRPr="007D5748" w:rsidTr="005666F6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ABC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KLM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7D5748" w:rsidRPr="007D5748" w:rsidTr="005666F6">
        <w:trPr>
          <w:trHeight w:val="70"/>
        </w:trPr>
        <w:tc>
          <w:tcPr>
            <w:tcW w:w="4530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  <w:r w:rsidRPr="007D5748"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  <w:t>Indikátor XYZ</w:t>
            </w: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134" w:type="dxa"/>
          </w:tcPr>
          <w:p w:rsidR="007D5748" w:rsidRPr="007D5748" w:rsidRDefault="007D5748" w:rsidP="007D574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F221C1" w:rsidRPr="007D5748" w:rsidRDefault="00F221C1" w:rsidP="007D5748">
      <w:pPr>
        <w:spacing w:after="0" w:line="240" w:lineRule="auto"/>
        <w:rPr>
          <w:rFonts w:ascii="Times New Roman" w:hAnsi="Times New Roman"/>
          <w:sz w:val="24"/>
          <w:szCs w:val="24"/>
          <w:lang w:eastAsia="sk-SK"/>
        </w:rPr>
      </w:pPr>
    </w:p>
    <w:p w:rsidR="007D5748" w:rsidRPr="007D5748" w:rsidRDefault="007D5748" w:rsidP="007D5748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/>
          <w:bCs/>
          <w:sz w:val="24"/>
          <w:szCs w:val="24"/>
          <w:lang w:eastAsia="sk-SK"/>
        </w:rPr>
        <w:t>2.2.4. Výpočty vplyvov na verejné financie</w:t>
      </w:r>
    </w:p>
    <w:p w:rsidR="00AC081C" w:rsidRDefault="00015B6B" w:rsidP="003B3BB5">
      <w:pPr>
        <w:pStyle w:val="Normlnywebov"/>
        <w:jc w:val="both"/>
        <w:rPr>
          <w:bCs/>
        </w:rPr>
      </w:pPr>
      <w:r w:rsidRPr="000A350F">
        <w:t xml:space="preserve">Predmetný návrh zákona </w:t>
      </w:r>
      <w:r w:rsidR="00C87BC5">
        <w:t>má</w:t>
      </w:r>
      <w:r w:rsidRPr="00611B2B">
        <w:t xml:space="preserve"> </w:t>
      </w:r>
      <w:r w:rsidR="00611B2B" w:rsidRPr="00611B2B">
        <w:t>poz</w:t>
      </w:r>
      <w:r w:rsidR="00A320CF" w:rsidRPr="00611B2B">
        <w:t>itívny vplyv</w:t>
      </w:r>
      <w:r w:rsidR="00A320CF">
        <w:t xml:space="preserve"> na rozpočet verejnej správy</w:t>
      </w:r>
      <w:r w:rsidR="00611B2B">
        <w:t xml:space="preserve">. Zavádza sa inštitút </w:t>
      </w:r>
      <w:r w:rsidR="003B3BB5">
        <w:t xml:space="preserve">dobrovoľnej </w:t>
      </w:r>
      <w:r w:rsidR="00611B2B">
        <w:t>certifikácie</w:t>
      </w:r>
      <w:r w:rsidR="003B3BB5">
        <w:t xml:space="preserve"> produktov, služieb a procesov. Certifikácia kybernetickej bezpečnosti zohráva významnú úlohu pri posilňovaní dôvery v produkty, služby a </w:t>
      </w:r>
      <w:r w:rsidR="007C603E">
        <w:t>procesy, ako aj ich bezpečnosti.</w:t>
      </w:r>
      <w:r w:rsidR="00C87BC5">
        <w:t xml:space="preserve"> Na p</w:t>
      </w:r>
      <w:r w:rsidR="00C87BC5">
        <w:rPr>
          <w:bCs/>
        </w:rPr>
        <w:t>ríjmovú časť verejných financií bude mať pozitívny vplyv výber správnych poplatkov za konanie o </w:t>
      </w:r>
      <w:r w:rsidR="00AC081C">
        <w:rPr>
          <w:bCs/>
        </w:rPr>
        <w:t>certifikáci</w:t>
      </w:r>
      <w:r w:rsidR="00C87BC5">
        <w:rPr>
          <w:bCs/>
        </w:rPr>
        <w:t xml:space="preserve">í (navrhovaný správny poplatok 1000 eur). </w:t>
      </w:r>
      <w:r w:rsidR="00833848">
        <w:rPr>
          <w:bCs/>
        </w:rPr>
        <w:t xml:space="preserve">Suma predstavuje náklady na technické zabezpečenie, mzdové a prevádzkové náklady spojené s výkonom certifikácie. </w:t>
      </w:r>
      <w:r w:rsidR="005A3CF1">
        <w:t>Pre európsky hospodársky priestor v súčasnej dobe ešte nejestvuje záväzná certifikačná schéma pre posudzovanie zhody výrobkov, postupov alebo služieb v kybernetickej bezpečnosti, t.j. neexistujú formalizované požiadavky na systém certifikácie, vzťahujúce sa na určené produkty, na ktoré sa aplikujú rovnaké určené požiadavky, technické špecifikácie,  osobitné pravidlá a postupy. Napriek tomu, že v Európskej agentúre pre kybernetickú bezpečnosť (ENISA) prebiehajú intenzívne práce na príprave takejto certifikačnej schémy, zatiaľ v členských štátoch EÚ nie je žiaden subjekt akreditovaný na posudzovanie zhody (certifikáciu) výrobkov, postupov alebo služieb v oblasti kybernetickej bezpečnosti. Prijat</w:t>
      </w:r>
      <w:r w:rsidR="0031784D">
        <w:t>ie</w:t>
      </w:r>
      <w:r w:rsidR="005A3CF1">
        <w:t xml:space="preserve"> európskej certifikačnej schémy sa predpokladá o dva až tri roky. </w:t>
      </w:r>
      <w:r w:rsidR="00C87BC5">
        <w:rPr>
          <w:bCs/>
        </w:rPr>
        <w:t>Keďže ide o inštitút v zmysle novo navrhovanej právnej úpravy, nie je v súčasnosti možné konkrétne vyčísliť výšku predpokladaného pozitívneho vplyvu na príjmovú časť verejných financií.</w:t>
      </w:r>
    </w:p>
    <w:p w:rsidR="006F6446" w:rsidRDefault="006F6446" w:rsidP="003B3BB5">
      <w:pPr>
        <w:pStyle w:val="Normlnywebov"/>
        <w:jc w:val="both"/>
        <w:rPr>
          <w:bCs/>
        </w:rPr>
      </w:pPr>
      <w:r>
        <w:rPr>
          <w:bCs/>
        </w:rPr>
        <w:t xml:space="preserve">Návrh zákona bude </w:t>
      </w:r>
      <w:r w:rsidR="00F01A11">
        <w:rPr>
          <w:bCs/>
        </w:rPr>
        <w:t xml:space="preserve">môže </w:t>
      </w:r>
      <w:r>
        <w:rPr>
          <w:bCs/>
        </w:rPr>
        <w:t xml:space="preserve">mať </w:t>
      </w:r>
      <w:r w:rsidR="00F01A11">
        <w:rPr>
          <w:bCs/>
        </w:rPr>
        <w:t xml:space="preserve">eventuálne v konečnom dôsledku aj </w:t>
      </w:r>
      <w:r>
        <w:rPr>
          <w:bCs/>
        </w:rPr>
        <w:t xml:space="preserve">znížené nároky na rozpočet orgánov verejnej moci, ktoré nebudú musieť podľa návrhu zákona plniť úlohy jednotky CSIRT.  </w:t>
      </w:r>
      <w:r w:rsidR="00F01A11">
        <w:rPr>
          <w:bCs/>
        </w:rPr>
        <w:t>Plnenie týchto úloh bolo do dnešného dňa zabezpečované úradom pre povinné subjekty, ktoré síce mali povinnosť zriadiť si jednotku CSIRT, avšak využívali legálnu možnosť realizácie tejto povinnosti prostredníctvom úradu. V tomto smere sa však dá konštatovať, že na tieto subjekty uvedená zmena nebude mať žiadne finančné vplyvy oproti terajšiemu stavu.</w:t>
      </w:r>
      <w:r w:rsidR="005C0665">
        <w:rPr>
          <w:bCs/>
        </w:rPr>
        <w:t xml:space="preserve"> V zákone je však ponechaná možnosť využiť inú akreditovanú jednotku CSIRT iného ústredného orgánu.</w:t>
      </w:r>
      <w:r w:rsidR="00F01A11">
        <w:rPr>
          <w:bCs/>
        </w:rPr>
        <w:t xml:space="preserve"> </w:t>
      </w:r>
      <w:r w:rsidR="005C0665">
        <w:rPr>
          <w:bCs/>
        </w:rPr>
        <w:t>Pred zabezpečením plnia úloh jednotiek CSIRT na iný ústredný orgán sa vykoná analýza nákladovosti.</w:t>
      </w:r>
      <w:r w:rsidR="00272467">
        <w:rPr>
          <w:bCs/>
        </w:rPr>
        <w:t xml:space="preserve"> E</w:t>
      </w:r>
      <w:r w:rsidR="00272467" w:rsidRPr="00272467">
        <w:rPr>
          <w:bCs/>
        </w:rPr>
        <w:t>konomické porovnanie relevantných alternatív bude spracované v budúcnosti, pred presunom plnenia úloh, nie plošne</w:t>
      </w:r>
      <w:r w:rsidR="00272467">
        <w:rPr>
          <w:bCs/>
        </w:rPr>
        <w:t xml:space="preserve">. </w:t>
      </w:r>
      <w:r w:rsidR="005C0665">
        <w:rPr>
          <w:bCs/>
        </w:rPr>
        <w:t xml:space="preserve">Rovnako je možné, aby si orgán verejnej moci akreditoval vlastnú jednotku CSIRT. Náklady s tým spojené si každý orgán verejnej moci vyčísli na príslušný rozpočtový rok vo vlastnej kapitole. </w:t>
      </w:r>
      <w:bookmarkStart w:id="1" w:name="_GoBack"/>
      <w:bookmarkEnd w:id="1"/>
    </w:p>
    <w:p w:rsidR="004844A5" w:rsidRDefault="002C41B0" w:rsidP="004844A5">
      <w:pPr>
        <w:pStyle w:val="Normlnywebov"/>
        <w:jc w:val="both"/>
      </w:pPr>
      <w:r>
        <w:lastRenderedPageBreak/>
        <w:t xml:space="preserve">Bez negatívnych vplyvov </w:t>
      </w:r>
      <w:r w:rsidR="004844A5">
        <w:t xml:space="preserve">na verejné financie </w:t>
      </w:r>
      <w:r>
        <w:t>n</w:t>
      </w:r>
      <w:r w:rsidR="00A320CF">
        <w:t>ávrh zákona</w:t>
      </w:r>
      <w:r>
        <w:t xml:space="preserve"> zavádza inštitút blokovania v rámci riešenia kyberneti</w:t>
      </w:r>
      <w:r w:rsidR="004844A5">
        <w:t xml:space="preserve">ckého bezpečnostného incidentu. Návrh zákona nezakladá sociálne vplyvy a </w:t>
      </w:r>
      <w:r w:rsidR="00A320CF">
        <w:t>vplyvy na životné prostredie</w:t>
      </w:r>
      <w:r w:rsidR="004844A5">
        <w:t>.</w:t>
      </w:r>
      <w:r w:rsidR="002965BE">
        <w:t xml:space="preserve"> </w:t>
      </w:r>
      <w:r w:rsidR="00D545A1">
        <w:t xml:space="preserve">Taktiež sa nepredpokladajú vplyvy v dôsledku precizovania pojmov a úpravy niektorých sektorov. </w:t>
      </w:r>
    </w:p>
    <w:p w:rsidR="005236E7" w:rsidRPr="004A4923" w:rsidRDefault="004A4923" w:rsidP="000B0DE6">
      <w:pPr>
        <w:tabs>
          <w:tab w:val="left" w:pos="26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>
        <w:rPr>
          <w:rFonts w:ascii="Times New Roman" w:hAnsi="Times New Roman"/>
          <w:bCs/>
          <w:sz w:val="24"/>
          <w:szCs w:val="24"/>
          <w:lang w:eastAsia="sk-SK"/>
        </w:rPr>
        <w:t>N</w:t>
      </w:r>
      <w:r w:rsidR="005236E7" w:rsidRPr="004A4923">
        <w:rPr>
          <w:rFonts w:ascii="Times New Roman" w:hAnsi="Times New Roman"/>
          <w:bCs/>
          <w:sz w:val="24"/>
          <w:szCs w:val="24"/>
          <w:lang w:eastAsia="sk-SK"/>
        </w:rPr>
        <w:t>ávrh</w:t>
      </w:r>
      <w:r w:rsidRPr="004A4923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  <w:r w:rsidR="005236E7" w:rsidRPr="004A4923">
        <w:rPr>
          <w:rFonts w:ascii="Times New Roman" w:hAnsi="Times New Roman"/>
          <w:bCs/>
          <w:sz w:val="24"/>
          <w:szCs w:val="24"/>
          <w:lang w:eastAsia="sk-SK"/>
        </w:rPr>
        <w:t xml:space="preserve">zákona predpokladá, že dôjde k zlúčeniu požiadaviek z hľadiska potreby prijatia a hodnotenia bezpečnostných opatrení vo vzťahu k zabezpečeniu kybernetickej bezpečnosti pod </w:t>
      </w:r>
      <w:r w:rsidR="000B0DE6">
        <w:rPr>
          <w:rFonts w:ascii="Times New Roman" w:hAnsi="Times New Roman"/>
          <w:bCs/>
          <w:sz w:val="24"/>
          <w:szCs w:val="24"/>
          <w:lang w:eastAsia="sk-SK"/>
        </w:rPr>
        <w:t>z</w:t>
      </w:r>
      <w:r w:rsidR="005236E7" w:rsidRPr="004A4923">
        <w:rPr>
          <w:rFonts w:ascii="Times New Roman" w:hAnsi="Times New Roman"/>
          <w:bCs/>
          <w:sz w:val="24"/>
          <w:szCs w:val="24"/>
          <w:lang w:eastAsia="sk-SK"/>
        </w:rPr>
        <w:t>ákon č. 69/2018 Z. z. o kybernetickej bezpečnosti  o zmene a doplnení niektorých zákonov, čím dôjde k zjednoteniu a zastrešen</w:t>
      </w:r>
      <w:r w:rsidR="005A3CF1">
        <w:rPr>
          <w:rFonts w:ascii="Times New Roman" w:hAnsi="Times New Roman"/>
          <w:bCs/>
          <w:sz w:val="24"/>
          <w:szCs w:val="24"/>
          <w:lang w:eastAsia="sk-SK"/>
        </w:rPr>
        <w:t xml:space="preserve">iu úpravy, ktorá je pokrytá aj </w:t>
      </w:r>
      <w:r w:rsidR="000B0DE6" w:rsidRPr="000B0DE6">
        <w:rPr>
          <w:rFonts w:ascii="Times New Roman" w:hAnsi="Times New Roman"/>
          <w:bCs/>
          <w:sz w:val="24"/>
          <w:szCs w:val="24"/>
          <w:lang w:eastAsia="sk-SK"/>
        </w:rPr>
        <w:t>zákonom č. 95/2019 Z. z. o informačných technológiách vo verejnej správe a o zmene a doplnení niektorých zákonov v znení zákona č. 134/2020 Z. z. a zákonom č. 351/2011 Z. z. o elektronických komunikáciá</w:t>
      </w:r>
      <w:r w:rsidR="000B0DE6">
        <w:rPr>
          <w:rFonts w:ascii="Times New Roman" w:hAnsi="Times New Roman"/>
          <w:bCs/>
          <w:sz w:val="24"/>
          <w:szCs w:val="24"/>
          <w:lang w:eastAsia="sk-SK"/>
        </w:rPr>
        <w:t xml:space="preserve">ch v znení neskorších predpisov </w:t>
      </w:r>
      <w:r>
        <w:rPr>
          <w:rFonts w:ascii="Times New Roman" w:hAnsi="Times New Roman"/>
          <w:bCs/>
          <w:sz w:val="24"/>
          <w:szCs w:val="24"/>
          <w:lang w:eastAsia="sk-SK"/>
        </w:rPr>
        <w:t>na základe uvedeného indikujeme len pozitívny vplyv.</w:t>
      </w:r>
      <w:r w:rsidR="005C0665">
        <w:rPr>
          <w:rFonts w:ascii="Times New Roman" w:hAnsi="Times New Roman"/>
          <w:bCs/>
          <w:sz w:val="24"/>
          <w:szCs w:val="24"/>
          <w:lang w:eastAsia="sk-SK"/>
        </w:rPr>
        <w:t xml:space="preserve"> V prípade, ak vznikne potreba na navýšenie finančných zdrojov, tieto si príslušný orgán vyčísli na príslušný rozpočtový rok v rámci vlastnej kapitoly. </w:t>
      </w:r>
    </w:p>
    <w:p w:rsidR="005236E7" w:rsidRPr="004A4923" w:rsidRDefault="005236E7" w:rsidP="005236E7">
      <w:pPr>
        <w:tabs>
          <w:tab w:val="left" w:pos="26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</w:p>
    <w:p w:rsidR="005236E7" w:rsidRPr="004A4923" w:rsidRDefault="005236E7" w:rsidP="005236E7">
      <w:pPr>
        <w:tabs>
          <w:tab w:val="left" w:pos="2685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sk-SK"/>
        </w:rPr>
      </w:pPr>
      <w:r w:rsidRPr="004A4923">
        <w:rPr>
          <w:rFonts w:ascii="Times New Roman" w:hAnsi="Times New Roman"/>
          <w:bCs/>
          <w:sz w:val="24"/>
          <w:szCs w:val="24"/>
          <w:lang w:eastAsia="sk-SK"/>
        </w:rPr>
        <w:t xml:space="preserve">Keďže ide o inštitúty v zmysle novo navrhovanej právnej úpravy nie je v súčasnosti možné konkrétne vyčísliť výšku  predpokladaného pozitívneho vplyvu na príjmovú časť verejných financií.  </w:t>
      </w:r>
    </w:p>
    <w:p w:rsidR="005236E7" w:rsidRPr="004A4923" w:rsidRDefault="005236E7" w:rsidP="005236E7">
      <w:pPr>
        <w:tabs>
          <w:tab w:val="left" w:pos="268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</w:p>
    <w:p w:rsidR="005236E7" w:rsidRPr="004A4923" w:rsidRDefault="005236E7" w:rsidP="005236E7">
      <w:pPr>
        <w:tabs>
          <w:tab w:val="left" w:pos="2685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eastAsia="sk-SK"/>
        </w:rPr>
      </w:pPr>
      <w:r w:rsidRPr="004A4923">
        <w:rPr>
          <w:rFonts w:ascii="Times New Roman" w:hAnsi="Times New Roman"/>
          <w:b/>
          <w:bCs/>
          <w:sz w:val="24"/>
          <w:szCs w:val="24"/>
          <w:lang w:eastAsia="sk-SK"/>
        </w:rPr>
        <w:t xml:space="preserve">- negatívne vplyvy na rozpočet sa nepredpokladajú. </w:t>
      </w:r>
    </w:p>
    <w:p w:rsidR="00316354" w:rsidRPr="004A4923" w:rsidRDefault="00316354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842BC4" w:rsidRPr="004A4923" w:rsidRDefault="00316354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sk-SK"/>
        </w:rPr>
        <w:sectPr w:rsidR="00842BC4" w:rsidRPr="004A4923" w:rsidSect="005D5D87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4A4923">
        <w:rPr>
          <w:rFonts w:ascii="Times New Roman" w:hAnsi="Times New Roman"/>
          <w:sz w:val="24"/>
          <w:szCs w:val="24"/>
          <w:lang w:eastAsia="sk-SK"/>
        </w:rPr>
        <w:t>Financovanie predmetných výdavkov bude zabezpečené v rámci limitov rozpočtu verejnej správy na príslušné rozpočtové roky.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7D5748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3 </w:t>
      </w:r>
    </w:p>
    <w:p w:rsidR="007D5748" w:rsidRPr="007D5748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horzAnchor="margin" w:tblpXSpec="center" w:tblpY="533"/>
        <w:tblW w:w="13950" w:type="dxa"/>
        <w:tblCellMar>
          <w:left w:w="70" w:type="dxa"/>
          <w:right w:w="70" w:type="dxa"/>
        </w:tblCellMar>
        <w:tblLook w:val="0000"/>
      </w:tblPr>
      <w:tblGrid>
        <w:gridCol w:w="4950"/>
        <w:gridCol w:w="1500"/>
        <w:gridCol w:w="1500"/>
        <w:gridCol w:w="1500"/>
        <w:gridCol w:w="1500"/>
        <w:gridCol w:w="3000"/>
      </w:tblGrid>
      <w:tr w:rsidR="007D5748" w:rsidRPr="001C1142" w:rsidTr="005666F6">
        <w:trPr>
          <w:cantSplit/>
          <w:trHeight w:val="255"/>
        </w:trPr>
        <w:tc>
          <w:tcPr>
            <w:tcW w:w="4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1C1142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(v eurách)</w:t>
            </w:r>
          </w:p>
        </w:tc>
        <w:tc>
          <w:tcPr>
            <w:tcW w:w="60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1C1142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3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1C1142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274B48" w:rsidRPr="001C1142" w:rsidTr="005666F6">
        <w:trPr>
          <w:cantSplit/>
          <w:trHeight w:val="255"/>
        </w:trPr>
        <w:tc>
          <w:tcPr>
            <w:tcW w:w="4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48" w:rsidRPr="001C1142" w:rsidRDefault="00274B48" w:rsidP="00274B48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4B48" w:rsidRPr="001C1142" w:rsidRDefault="00274B48" w:rsidP="00274B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4B48" w:rsidRPr="001C1142" w:rsidRDefault="00274B48" w:rsidP="00274B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4B48" w:rsidRPr="001C1142" w:rsidRDefault="00274B48" w:rsidP="00274B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74B48" w:rsidRPr="001C1142" w:rsidRDefault="00274B48" w:rsidP="00274B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3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B48" w:rsidRPr="001C1142" w:rsidRDefault="00274B48" w:rsidP="00274B48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7D5748" w:rsidRPr="001C1142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1C1142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Daňové príjmy (100)</w:t>
            </w: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C1142" w:rsidRDefault="00BD1CD3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C1142" w:rsidRDefault="00BD1CD3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C1142" w:rsidRDefault="00BD1CD3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C1142" w:rsidRDefault="00BD1CD3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1C1142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1C1142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1C1142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Nedaňové príjmy (200)</w:t>
            </w: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C1142" w:rsidRDefault="00A320CF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C1142" w:rsidRDefault="00A320CF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C1142" w:rsidRDefault="00A320CF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C1142" w:rsidRDefault="00A320CF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1C1142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1C1142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1C1142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Granty a transfery (300)</w:t>
            </w: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  <w:lang w:eastAsia="sk-SK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C1142" w:rsidRDefault="00A320CF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C1142" w:rsidRDefault="00A320CF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C1142" w:rsidRDefault="00A320CF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5748" w:rsidRPr="001C1142" w:rsidRDefault="00A320CF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1C1142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1C1142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1C1142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Príjmy z transakcií s finančnými aktívami a finančnými pasívami (400)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1C1142" w:rsidRDefault="00A320CF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7D5748"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1C1142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="00A320CF"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1C1142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="00A320CF"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1C1142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="00A320CF"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1C1142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7D5748" w:rsidRPr="001C1142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748" w:rsidRPr="001C1142" w:rsidRDefault="007D5748" w:rsidP="007D574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Prijaté úvery, pôžičky a návratné finančné výpomoci (500)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1C1142" w:rsidRDefault="00A320CF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7D5748"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1C1142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="00A320CF"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1C1142" w:rsidRDefault="00A320CF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</w:t>
            </w:r>
            <w:r w:rsidR="007D5748"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7D5748" w:rsidRPr="001C1142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  <w:r w:rsidR="00A320CF"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D5748" w:rsidRPr="001C1142" w:rsidRDefault="007D5748" w:rsidP="007D57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BD1CD3" w:rsidRPr="001C1142" w:rsidTr="005666F6">
        <w:trPr>
          <w:trHeight w:val="255"/>
        </w:trPr>
        <w:tc>
          <w:tcPr>
            <w:tcW w:w="4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1CD3" w:rsidRPr="001C1142" w:rsidRDefault="00BD1CD3" w:rsidP="00BD1C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Dopad na príjmy verejnej správy celkom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1CD3" w:rsidRPr="001C1142" w:rsidRDefault="00BD1CD3" w:rsidP="00BD1C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1CD3" w:rsidRPr="001C1142" w:rsidRDefault="00BD1CD3" w:rsidP="00BD1C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1CD3" w:rsidRPr="001C1142" w:rsidRDefault="00BD1CD3" w:rsidP="00BD1C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D1CD3" w:rsidRPr="001C1142" w:rsidRDefault="00BD1CD3" w:rsidP="00BD1C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BD1CD3" w:rsidRPr="001C1142" w:rsidRDefault="00BD1CD3" w:rsidP="00BD1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1C1142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1C1142">
        <w:rPr>
          <w:rFonts w:ascii="Times New Roman" w:hAnsi="Times New Roman"/>
          <w:bCs/>
          <w:sz w:val="20"/>
          <w:szCs w:val="20"/>
          <w:lang w:eastAsia="sk-SK"/>
        </w:rPr>
        <w:t>1 –  príjmy rozpísať až do položiek platnej ekonomickej klasifikácie</w:t>
      </w:r>
    </w:p>
    <w:p w:rsidR="007D5748" w:rsidRPr="001C1142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1C1142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0"/>
          <w:lang w:eastAsia="sk-SK"/>
        </w:rPr>
      </w:pPr>
      <w:r w:rsidRPr="001C1142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D5748" w:rsidRPr="001C1142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  <w:r w:rsidRPr="001C1142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1C1142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1C1142">
        <w:rPr>
          <w:rFonts w:ascii="Times New Roman" w:hAnsi="Times New Roman"/>
          <w:bCs/>
          <w:sz w:val="24"/>
          <w:szCs w:val="24"/>
          <w:lang w:eastAsia="sk-SK"/>
        </w:rPr>
        <w:t xml:space="preserve"> </w:t>
      </w:r>
    </w:p>
    <w:p w:rsidR="007D5748" w:rsidRPr="001C1142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1C1142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1C1142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1C1142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1C1142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1C1142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1C1142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1C1142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1C1142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1C1142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1C1142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1C1142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1C1142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1C1142" w:rsidRDefault="007D5748" w:rsidP="007D5748">
      <w:pPr>
        <w:tabs>
          <w:tab w:val="num" w:pos="1080"/>
        </w:tabs>
        <w:spacing w:after="0" w:line="240" w:lineRule="auto"/>
        <w:ind w:right="-578"/>
        <w:jc w:val="right"/>
        <w:rPr>
          <w:rFonts w:ascii="Times New Roman" w:hAnsi="Times New Roman"/>
          <w:bCs/>
          <w:sz w:val="24"/>
          <w:szCs w:val="24"/>
          <w:lang w:eastAsia="sk-SK"/>
        </w:rPr>
      </w:pPr>
    </w:p>
    <w:p w:rsidR="007D5748" w:rsidRPr="001C1142" w:rsidRDefault="007D5748" w:rsidP="007D5748">
      <w:pPr>
        <w:tabs>
          <w:tab w:val="num" w:pos="1080"/>
        </w:tabs>
        <w:spacing w:after="0" w:line="240" w:lineRule="auto"/>
        <w:ind w:right="-32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1C1142">
        <w:rPr>
          <w:rFonts w:ascii="Times New Roman" w:hAnsi="Times New Roman"/>
          <w:bCs/>
          <w:sz w:val="24"/>
          <w:szCs w:val="24"/>
          <w:lang w:eastAsia="sk-SK"/>
        </w:rPr>
        <w:lastRenderedPageBreak/>
        <w:t xml:space="preserve">Tabuľka č. 4 </w:t>
      </w:r>
    </w:p>
    <w:p w:rsidR="007D5748" w:rsidRPr="001C1142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pPr w:leftFromText="141" w:rightFromText="141" w:vertAnchor="text" w:horzAnchor="page" w:tblpX="629" w:tblpY="2"/>
        <w:tblW w:w="15450" w:type="dxa"/>
        <w:tblCellMar>
          <w:left w:w="70" w:type="dxa"/>
          <w:right w:w="70" w:type="dxa"/>
        </w:tblCellMar>
        <w:tblLook w:val="0000"/>
      </w:tblPr>
      <w:tblGrid>
        <w:gridCol w:w="7070"/>
        <w:gridCol w:w="1540"/>
        <w:gridCol w:w="1540"/>
        <w:gridCol w:w="1540"/>
        <w:gridCol w:w="1540"/>
        <w:gridCol w:w="2220"/>
      </w:tblGrid>
      <w:tr w:rsidR="007D5748" w:rsidRPr="001C1142" w:rsidTr="005666F6">
        <w:trPr>
          <w:cantSplit/>
          <w:trHeight w:val="255"/>
        </w:trPr>
        <w:tc>
          <w:tcPr>
            <w:tcW w:w="7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1C1142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(v eurách)</w:t>
            </w:r>
          </w:p>
        </w:tc>
        <w:tc>
          <w:tcPr>
            <w:tcW w:w="6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1C1142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Vplyv na rozpočet verejnej správy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1C1142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809AB" w:rsidRPr="001C1142" w:rsidTr="007452DC">
        <w:trPr>
          <w:cantSplit/>
          <w:trHeight w:val="255"/>
        </w:trPr>
        <w:tc>
          <w:tcPr>
            <w:tcW w:w="7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809AB" w:rsidRPr="001C1142" w:rsidRDefault="007809AB" w:rsidP="007809AB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09AB" w:rsidRPr="001C1142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09AB" w:rsidRPr="001C1142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09AB" w:rsidRPr="001C1142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09AB" w:rsidRPr="001C1142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2023</w:t>
            </w: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9AB" w:rsidRPr="001C1142" w:rsidRDefault="007809AB" w:rsidP="007809AB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E55EBF" w:rsidRPr="001C1142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F" w:rsidRPr="001C1142" w:rsidRDefault="00E55EBF" w:rsidP="00E55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Bežné výdavky (600)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EBF" w:rsidRPr="001C1142" w:rsidRDefault="00E55EBF" w:rsidP="00E55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EBF" w:rsidRPr="001C1142" w:rsidRDefault="00E55EBF" w:rsidP="00E55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EBF" w:rsidRPr="001C1142" w:rsidRDefault="00E55EBF" w:rsidP="00E55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EBF" w:rsidRPr="001C1142" w:rsidRDefault="00E55EBF" w:rsidP="00E55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EBF" w:rsidRPr="001C1142" w:rsidRDefault="00E55EBF" w:rsidP="00E55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BD1CD3" w:rsidRPr="001C1142" w:rsidTr="002502F8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3" w:rsidRPr="001C1142" w:rsidRDefault="00BD1CD3" w:rsidP="00BD1CD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C114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Mzdy, platy, služobné príjmy a ostatné osobné vyrovnania (610)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CD3" w:rsidRPr="001C1142" w:rsidRDefault="00BD1CD3" w:rsidP="00BD1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C1142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CD3" w:rsidRPr="001C1142" w:rsidRDefault="00BD1CD3" w:rsidP="00BD1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C1142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CD3" w:rsidRPr="001C1142" w:rsidRDefault="00BD1CD3" w:rsidP="00BD1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C1142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D1CD3" w:rsidRPr="001C1142" w:rsidRDefault="00BD1CD3" w:rsidP="00BD1CD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C1142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CD3" w:rsidRPr="001C1142" w:rsidRDefault="00BD1CD3" w:rsidP="00BD1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E55EBF" w:rsidRPr="001C1142" w:rsidTr="00B06AAD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F" w:rsidRPr="001C1142" w:rsidRDefault="00E55EBF" w:rsidP="00E55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</w:pPr>
            <w:r w:rsidRPr="001C114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Poistné a príspevok do poisťovní (620)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EBF" w:rsidRPr="001C1142" w:rsidRDefault="00E55EBF" w:rsidP="00E55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EBF" w:rsidRPr="001C1142" w:rsidRDefault="00E55EBF" w:rsidP="00E55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EBF" w:rsidRPr="001C1142" w:rsidRDefault="00E55EBF" w:rsidP="00E55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EBF" w:rsidRPr="001C1142" w:rsidRDefault="00E55EBF" w:rsidP="00E55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EBF" w:rsidRPr="001C1142" w:rsidRDefault="00E55EBF" w:rsidP="00E55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E55EBF" w:rsidRPr="001C1142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F" w:rsidRPr="001C1142" w:rsidRDefault="00E55EBF" w:rsidP="00E55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C114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Tovary a služby (630)</w:t>
            </w:r>
            <w:r w:rsidRPr="001C1142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Pr="001C114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EBF" w:rsidRPr="001C1142" w:rsidRDefault="00E55EBF" w:rsidP="00E55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EBF" w:rsidRPr="001C1142" w:rsidRDefault="00E55EBF" w:rsidP="00E55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EBF" w:rsidRPr="001C1142" w:rsidRDefault="00E55EBF" w:rsidP="00E55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EBF" w:rsidRPr="001C1142" w:rsidRDefault="00E55EBF" w:rsidP="00E55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EBF" w:rsidRPr="001C1142" w:rsidRDefault="00E55EBF" w:rsidP="00E55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E55EBF" w:rsidRPr="001C1142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F" w:rsidRPr="001C1142" w:rsidRDefault="00E55EBF" w:rsidP="00E55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C114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Bežné transfery (640)</w:t>
            </w:r>
            <w:r w:rsidRPr="001C1142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EBF" w:rsidRPr="001C1142" w:rsidRDefault="00E55EBF" w:rsidP="00E55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EBF" w:rsidRPr="001C1142" w:rsidRDefault="00E55EBF" w:rsidP="00E55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EBF" w:rsidRPr="001C1142" w:rsidRDefault="00E55EBF" w:rsidP="00E55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EBF" w:rsidRPr="001C1142" w:rsidRDefault="00E55EBF" w:rsidP="00E55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EBF" w:rsidRPr="001C1142" w:rsidRDefault="00E55EBF" w:rsidP="00E55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E55EBF" w:rsidRPr="001C1142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EBF" w:rsidRPr="001C1142" w:rsidRDefault="00E55EBF" w:rsidP="00E55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C114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Splácanie úrokov a ostatné platby súvisiace s </w:t>
            </w:r>
            <w:r w:rsidRPr="001C1142">
              <w:t xml:space="preserve"> </w:t>
            </w:r>
            <w:r w:rsidRPr="001C1142">
              <w:rPr>
                <w:rFonts w:ascii="Times New Roman" w:hAnsi="Times New Roman"/>
                <w:sz w:val="20"/>
                <w:szCs w:val="20"/>
                <w:lang w:eastAsia="sk-SK"/>
              </w:rPr>
              <w:t>úverom, pôžičkou, návratnou finančnou výpomocou a finančným prenájmom (650)</w:t>
            </w:r>
            <w:r w:rsidRPr="001C1142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EBF" w:rsidRPr="001C1142" w:rsidRDefault="00E55EBF" w:rsidP="00E55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EBF" w:rsidRPr="001C1142" w:rsidRDefault="00E55EBF" w:rsidP="00E55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EBF" w:rsidRPr="001C1142" w:rsidRDefault="00E55EBF" w:rsidP="00E55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EBF" w:rsidRPr="001C1142" w:rsidRDefault="00E55EBF" w:rsidP="00E55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EBF" w:rsidRPr="001C1142" w:rsidRDefault="00E55EBF" w:rsidP="00E55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E55EBF" w:rsidRPr="001C1142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F" w:rsidRPr="001C1142" w:rsidRDefault="00E55EBF" w:rsidP="00E55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Kapitálové výdavky (700)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EBF" w:rsidRPr="001C1142" w:rsidRDefault="00E55EBF" w:rsidP="00E55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EBF" w:rsidRPr="001C1142" w:rsidRDefault="00E55EBF" w:rsidP="00E55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EBF" w:rsidRPr="001C1142" w:rsidRDefault="00E55EBF" w:rsidP="00E55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EBF" w:rsidRPr="001C1142" w:rsidRDefault="00E55EBF" w:rsidP="00E55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EBF" w:rsidRPr="001C1142" w:rsidRDefault="00E55EBF" w:rsidP="00E55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E55EBF" w:rsidRPr="001C1142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F" w:rsidRPr="001C1142" w:rsidRDefault="00E55EBF" w:rsidP="001C6AD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C114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Obstarávanie kapitálových aktív (710)</w:t>
            </w:r>
            <w:r w:rsidRPr="001C1142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  <w:r w:rsidRPr="001C114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- </w:t>
            </w:r>
            <w:r w:rsidR="001C6AD7" w:rsidRPr="001C1142">
              <w:rPr>
                <w:rFonts w:ascii="Times New Roman" w:hAnsi="Times New Roman"/>
                <w:sz w:val="20"/>
                <w:szCs w:val="20"/>
                <w:lang w:eastAsia="sk-SK"/>
              </w:rPr>
              <w:t>711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EBF" w:rsidRPr="001C1142" w:rsidRDefault="00E55EBF" w:rsidP="00E55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EBF" w:rsidRPr="001C1142" w:rsidRDefault="00E55EBF" w:rsidP="00E55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EBF" w:rsidRPr="001C1142" w:rsidRDefault="00E55EBF" w:rsidP="00E55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EBF" w:rsidRPr="001C1142" w:rsidRDefault="00E55EBF" w:rsidP="00E55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EBF" w:rsidRPr="001C1142" w:rsidRDefault="00E55EBF" w:rsidP="00E55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E55EBF" w:rsidRPr="001C1142" w:rsidTr="00021154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F" w:rsidRPr="001C1142" w:rsidRDefault="00E55EBF" w:rsidP="00E55EB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C1142">
              <w:rPr>
                <w:rFonts w:ascii="Times New Roman" w:hAnsi="Times New Roman"/>
                <w:sz w:val="20"/>
                <w:szCs w:val="20"/>
                <w:lang w:eastAsia="sk-SK"/>
              </w:rPr>
              <w:t xml:space="preserve">  Kapitálové transfery (720)</w:t>
            </w:r>
            <w:r w:rsidRPr="001C1142">
              <w:rPr>
                <w:rFonts w:ascii="Times New Roman" w:hAnsi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EBF" w:rsidRPr="001C1142" w:rsidRDefault="00E55EBF" w:rsidP="00E55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EBF" w:rsidRPr="001C1142" w:rsidRDefault="00E55EBF" w:rsidP="00E55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EBF" w:rsidRPr="001C1142" w:rsidRDefault="00E55EBF" w:rsidP="00E55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EBF" w:rsidRPr="001C1142" w:rsidRDefault="00E55EBF" w:rsidP="00E55EB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EBF" w:rsidRPr="001C1142" w:rsidRDefault="00E55EBF" w:rsidP="00E55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E55EBF" w:rsidRPr="001C1142" w:rsidTr="005666F6">
        <w:trPr>
          <w:trHeight w:val="255"/>
        </w:trPr>
        <w:tc>
          <w:tcPr>
            <w:tcW w:w="7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5EBF" w:rsidRPr="001C1142" w:rsidRDefault="00E55EBF" w:rsidP="00E55EB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Výdavky z transakcií s finančnými aktívami a finančnými pasívami (800)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55EBF" w:rsidRPr="001C1142" w:rsidRDefault="00E55EBF" w:rsidP="00E55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55EBF" w:rsidRPr="001C1142" w:rsidRDefault="00E55EBF" w:rsidP="00E55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55EBF" w:rsidRPr="001C1142" w:rsidRDefault="00E55EBF" w:rsidP="00E55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E55EBF" w:rsidRPr="001C1142" w:rsidRDefault="00E55EBF" w:rsidP="00E55E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55EBF" w:rsidRPr="001C1142" w:rsidRDefault="00E55EBF" w:rsidP="00E55E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5D2A5F" w:rsidRPr="001C1142" w:rsidTr="005236E7">
        <w:trPr>
          <w:trHeight w:val="255"/>
        </w:trPr>
        <w:tc>
          <w:tcPr>
            <w:tcW w:w="7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D2A5F" w:rsidRPr="001C1142" w:rsidRDefault="005D2A5F" w:rsidP="005D2A5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0"/>
                <w:szCs w:val="20"/>
                <w:lang w:eastAsia="sk-SK"/>
              </w:rPr>
              <w:t>Dopad na výdavky verejnej správy celkom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D2A5F" w:rsidRPr="001C1142" w:rsidRDefault="00BD1CD3" w:rsidP="005D2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C1142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D2A5F" w:rsidRPr="001C1142" w:rsidRDefault="00BD1CD3" w:rsidP="005D2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C1142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D2A5F" w:rsidRPr="001C1142" w:rsidRDefault="00BD1CD3" w:rsidP="005D2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C1142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5D2A5F" w:rsidRPr="001C1142" w:rsidRDefault="00BD1CD3" w:rsidP="005D2A5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sk-SK"/>
              </w:rPr>
            </w:pPr>
            <w:r w:rsidRPr="001C1142">
              <w:rPr>
                <w:rFonts w:ascii="Times New Roman" w:hAnsi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5D2A5F" w:rsidRPr="001C1142" w:rsidRDefault="005D2A5F" w:rsidP="005D2A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</w:tbl>
    <w:p w:rsidR="007D5748" w:rsidRPr="001C1142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1C1142">
        <w:rPr>
          <w:rFonts w:ascii="Times New Roman" w:hAnsi="Times New Roman"/>
          <w:bCs/>
          <w:sz w:val="20"/>
          <w:szCs w:val="20"/>
          <w:lang w:eastAsia="sk-SK"/>
        </w:rPr>
        <w:t>2 –  výdavky rozpísať až do položiek platnej ekonomickej klasifikácie</w:t>
      </w:r>
    </w:p>
    <w:p w:rsidR="007D5748" w:rsidRPr="001C1142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p w:rsidR="007D5748" w:rsidRPr="001C1142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/>
          <w:bCs/>
          <w:sz w:val="20"/>
          <w:szCs w:val="20"/>
          <w:lang w:eastAsia="sk-SK"/>
        </w:rPr>
      </w:pPr>
      <w:r w:rsidRPr="001C1142">
        <w:rPr>
          <w:rFonts w:ascii="Times New Roman" w:hAnsi="Times New Roman"/>
          <w:b/>
          <w:bCs/>
          <w:sz w:val="24"/>
          <w:szCs w:val="20"/>
          <w:lang w:eastAsia="sk-SK"/>
        </w:rPr>
        <w:t>Poznámka:</w:t>
      </w:r>
    </w:p>
    <w:p w:rsidR="007D5748" w:rsidRPr="001C1142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  <w:r w:rsidRPr="001C1142">
        <w:rPr>
          <w:rFonts w:ascii="Times New Roman" w:hAnsi="Times New Roman"/>
          <w:bCs/>
          <w:sz w:val="24"/>
          <w:szCs w:val="20"/>
          <w:lang w:eastAsia="sk-SK"/>
        </w:rPr>
        <w:t>Ak sa vplyv týka viacerých subjektov verejnej správy, vypĺňa sa samostatná tabuľka za každý subjekt.</w:t>
      </w:r>
    </w:p>
    <w:p w:rsidR="007D5748" w:rsidRPr="001C1142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1C1142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1C1142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1C1142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1C1142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1C1142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1C1142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1C1142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1C1142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1C1142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1C1142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1C1142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1C1142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1C1142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1C1142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1C1142" w:rsidRDefault="007D5748" w:rsidP="007D5748">
      <w:pPr>
        <w:tabs>
          <w:tab w:val="num" w:pos="1080"/>
        </w:tabs>
        <w:spacing w:after="0" w:line="240" w:lineRule="auto"/>
        <w:ind w:left="-900"/>
        <w:jc w:val="both"/>
        <w:rPr>
          <w:rFonts w:ascii="Times New Roman" w:hAnsi="Times New Roman"/>
          <w:bCs/>
          <w:sz w:val="20"/>
          <w:szCs w:val="20"/>
          <w:lang w:eastAsia="sk-SK"/>
        </w:rPr>
      </w:pPr>
    </w:p>
    <w:p w:rsidR="007D5748" w:rsidRPr="001C1142" w:rsidRDefault="007D5748" w:rsidP="007D5748">
      <w:pPr>
        <w:tabs>
          <w:tab w:val="num" w:pos="1080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eastAsia="sk-SK"/>
        </w:rPr>
      </w:pPr>
      <w:r w:rsidRPr="001C1142">
        <w:rPr>
          <w:rFonts w:ascii="Times New Roman" w:hAnsi="Times New Roman"/>
          <w:bCs/>
          <w:sz w:val="24"/>
          <w:szCs w:val="24"/>
          <w:lang w:eastAsia="sk-SK"/>
        </w:rPr>
        <w:t xml:space="preserve">                 Tabuľka č. 5 </w:t>
      </w:r>
    </w:p>
    <w:p w:rsidR="007D5748" w:rsidRPr="001C1142" w:rsidRDefault="007D5748" w:rsidP="007D5748">
      <w:pPr>
        <w:tabs>
          <w:tab w:val="num" w:pos="1080"/>
        </w:tabs>
        <w:spacing w:after="0" w:line="240" w:lineRule="auto"/>
        <w:jc w:val="both"/>
        <w:rPr>
          <w:rFonts w:ascii="Times New Roman" w:hAnsi="Times New Roman"/>
          <w:bCs/>
          <w:sz w:val="24"/>
          <w:szCs w:val="20"/>
          <w:lang w:eastAsia="sk-SK"/>
        </w:rPr>
      </w:pPr>
    </w:p>
    <w:tbl>
      <w:tblPr>
        <w:tblW w:w="15434" w:type="dxa"/>
        <w:tblInd w:w="-784" w:type="dxa"/>
        <w:tblCellMar>
          <w:left w:w="70" w:type="dxa"/>
          <w:right w:w="70" w:type="dxa"/>
        </w:tblCellMar>
        <w:tblLook w:val="0000"/>
      </w:tblPr>
      <w:tblGrid>
        <w:gridCol w:w="6188"/>
        <w:gridCol w:w="1698"/>
        <w:gridCol w:w="1788"/>
        <w:gridCol w:w="720"/>
        <w:gridCol w:w="1375"/>
        <w:gridCol w:w="323"/>
        <w:gridCol w:w="1722"/>
        <w:gridCol w:w="630"/>
        <w:gridCol w:w="990"/>
      </w:tblGrid>
      <w:tr w:rsidR="007D5748" w:rsidRPr="001C1142" w:rsidTr="005666F6">
        <w:trPr>
          <w:cantSplit/>
          <w:trHeight w:val="255"/>
        </w:trPr>
        <w:tc>
          <w:tcPr>
            <w:tcW w:w="6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D5748" w:rsidRPr="001C1142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Zamestnanosť</w:t>
            </w:r>
          </w:p>
        </w:tc>
        <w:tc>
          <w:tcPr>
            <w:tcW w:w="762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D5748" w:rsidRPr="001C1142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Vplyv na rozpočet verejnej správy</w:t>
            </w:r>
          </w:p>
        </w:tc>
        <w:tc>
          <w:tcPr>
            <w:tcW w:w="16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7D5748" w:rsidRPr="001C1142" w:rsidRDefault="007D5748" w:rsidP="007D574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poznámka</w:t>
            </w:r>
          </w:p>
        </w:tc>
      </w:tr>
      <w:tr w:rsidR="007809AB" w:rsidRPr="001C1142" w:rsidTr="009F5292">
        <w:trPr>
          <w:cantSplit/>
          <w:trHeight w:val="255"/>
        </w:trPr>
        <w:tc>
          <w:tcPr>
            <w:tcW w:w="6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09AB" w:rsidRPr="001C1142" w:rsidRDefault="007809AB" w:rsidP="007809A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09AB" w:rsidRPr="001C1142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2020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09AB" w:rsidRPr="001C1142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2021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09AB" w:rsidRPr="001C1142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2022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809AB" w:rsidRPr="001C1142" w:rsidRDefault="007809AB" w:rsidP="007809A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2023</w:t>
            </w:r>
          </w:p>
        </w:tc>
        <w:tc>
          <w:tcPr>
            <w:tcW w:w="16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809AB" w:rsidRPr="001C1142" w:rsidRDefault="007809AB" w:rsidP="007809AB">
            <w:pPr>
              <w:spacing w:after="0" w:line="240" w:lineRule="auto"/>
              <w:rPr>
                <w:rFonts w:ascii="Times New Roman" w:hAnsi="Times New Roman"/>
                <w:b/>
                <w:bCs/>
                <w:color w:val="FFFFFF"/>
                <w:sz w:val="24"/>
                <w:szCs w:val="24"/>
                <w:lang w:eastAsia="sk-SK"/>
              </w:rPr>
            </w:pPr>
          </w:p>
        </w:tc>
      </w:tr>
      <w:tr w:rsidR="000F24D8" w:rsidRPr="001C1142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4D8" w:rsidRPr="001C1142" w:rsidRDefault="000F24D8" w:rsidP="000F24D8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Počet zamestnancov celkom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4D8" w:rsidRPr="001C1142" w:rsidRDefault="00BD1CD3" w:rsidP="000F2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4D8" w:rsidRPr="001C1142" w:rsidRDefault="00BD1CD3" w:rsidP="000F2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4D8" w:rsidRPr="001C1142" w:rsidRDefault="00BD1CD3" w:rsidP="000F24D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F24D8" w:rsidRPr="001C1142" w:rsidRDefault="00BD1CD3" w:rsidP="005D2A5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62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noWrap/>
          </w:tcPr>
          <w:p w:rsidR="000F24D8" w:rsidRPr="001C1142" w:rsidRDefault="000F24D8" w:rsidP="000F24D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sk-SK"/>
              </w:rPr>
            </w:pPr>
          </w:p>
        </w:tc>
      </w:tr>
      <w:tr w:rsidR="00BD1CD3" w:rsidRPr="001C1142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3" w:rsidRPr="001C1142" w:rsidRDefault="00BD1CD3" w:rsidP="00BD1C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CD3" w:rsidRPr="001C1142" w:rsidRDefault="00BD1CD3" w:rsidP="00BD1C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CD3" w:rsidRPr="001C1142" w:rsidRDefault="00BD1CD3" w:rsidP="00BD1C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CD3" w:rsidRPr="001C1142" w:rsidRDefault="00BD1CD3" w:rsidP="00BD1C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CD3" w:rsidRPr="001C1142" w:rsidRDefault="00BD1CD3" w:rsidP="00BD1C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D1CD3" w:rsidRPr="001C1142" w:rsidRDefault="00BD1CD3" w:rsidP="00BD1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BD1CD3" w:rsidRPr="001C1142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3" w:rsidRPr="001C1142" w:rsidRDefault="00BD1CD3" w:rsidP="00BD1CD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Priemerný mzdový výdavok (v eurách)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CD3" w:rsidRPr="001C1142" w:rsidRDefault="00BD1CD3" w:rsidP="00BD1C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CD3" w:rsidRPr="001C1142" w:rsidRDefault="00BD1CD3" w:rsidP="00BD1C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CD3" w:rsidRPr="001C1142" w:rsidRDefault="00BD1CD3" w:rsidP="00BD1C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CD3" w:rsidRPr="001C1142" w:rsidRDefault="00BD1CD3" w:rsidP="00BD1C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620" w:type="dxa"/>
            <w:gridSpan w:val="2"/>
            <w:vMerge/>
            <w:tcBorders>
              <w:left w:val="nil"/>
              <w:right w:val="single" w:sz="4" w:space="0" w:color="auto"/>
            </w:tcBorders>
            <w:noWrap/>
            <w:vAlign w:val="bottom"/>
          </w:tcPr>
          <w:p w:rsidR="00BD1CD3" w:rsidRPr="001C1142" w:rsidRDefault="00BD1CD3" w:rsidP="00BD1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BD1CD3" w:rsidRPr="001C1142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1CD3" w:rsidRPr="001C1142" w:rsidRDefault="00BD1CD3" w:rsidP="00BD1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CD3" w:rsidRPr="001C1142" w:rsidRDefault="00BD1CD3" w:rsidP="00BD1C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CD3" w:rsidRPr="001C1142" w:rsidRDefault="00BD1CD3" w:rsidP="00BD1C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20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CD3" w:rsidRPr="001C1142" w:rsidRDefault="00BD1CD3" w:rsidP="00BD1C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D1CD3" w:rsidRPr="001C1142" w:rsidRDefault="00BD1CD3" w:rsidP="00BD1CD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620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D1CD3" w:rsidRPr="001C1142" w:rsidRDefault="00BD1CD3" w:rsidP="00BD1C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24129A" w:rsidRPr="001C1142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129A" w:rsidRPr="001C1142" w:rsidRDefault="0024129A" w:rsidP="002412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Osobné výdavky celkom (v eurách)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129A" w:rsidRPr="001C1142" w:rsidRDefault="0024129A" w:rsidP="0024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129A" w:rsidRPr="001C1142" w:rsidRDefault="0024129A" w:rsidP="0024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129A" w:rsidRPr="001C1142" w:rsidRDefault="0024129A" w:rsidP="0024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4129A" w:rsidRPr="001C1142" w:rsidRDefault="0024129A" w:rsidP="0024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</w:tcPr>
          <w:p w:rsidR="0024129A" w:rsidRPr="001C1142" w:rsidRDefault="0024129A" w:rsidP="002412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24129A" w:rsidRPr="001C1142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9A" w:rsidRPr="001C1142" w:rsidRDefault="0024129A" w:rsidP="002412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Mzdy, platy, služobné príjmy a ostatné osobné vyrovnania (610)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29A" w:rsidRPr="001C1142" w:rsidRDefault="0024129A" w:rsidP="0024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29A" w:rsidRPr="001C1142" w:rsidRDefault="0024129A" w:rsidP="0024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29A" w:rsidRPr="001C1142" w:rsidRDefault="0024129A" w:rsidP="0024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29A" w:rsidRPr="001C1142" w:rsidRDefault="0024129A" w:rsidP="0024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29A" w:rsidRPr="001C1142" w:rsidRDefault="0024129A" w:rsidP="002412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24129A" w:rsidRPr="001C1142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9A" w:rsidRPr="001C1142" w:rsidRDefault="0024129A" w:rsidP="0024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29A" w:rsidRPr="001C1142" w:rsidRDefault="0024129A" w:rsidP="0024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29A" w:rsidRPr="001C1142" w:rsidRDefault="0024129A" w:rsidP="0024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29A" w:rsidRPr="001C1142" w:rsidRDefault="0024129A" w:rsidP="0024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29A" w:rsidRPr="001C1142" w:rsidRDefault="0024129A" w:rsidP="0024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x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29A" w:rsidRPr="001C1142" w:rsidRDefault="0024129A" w:rsidP="0024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4129A" w:rsidRPr="001C1142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9A" w:rsidRPr="001C1142" w:rsidRDefault="0024129A" w:rsidP="002412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Poistné a príspevok do poisťovní (620)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29A" w:rsidRPr="001C1142" w:rsidRDefault="0024129A" w:rsidP="0024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29A" w:rsidRPr="001C1142" w:rsidRDefault="0024129A" w:rsidP="0024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29A" w:rsidRPr="001C1142" w:rsidRDefault="0024129A" w:rsidP="0024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29A" w:rsidRPr="001C1142" w:rsidRDefault="0024129A" w:rsidP="0024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29A" w:rsidRPr="001C1142" w:rsidRDefault="0024129A" w:rsidP="002412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</w:tr>
      <w:tr w:rsidR="0024129A" w:rsidRPr="001C1142" w:rsidTr="00066F09">
        <w:trPr>
          <w:trHeight w:val="255"/>
        </w:trPr>
        <w:tc>
          <w:tcPr>
            <w:tcW w:w="61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129A" w:rsidRPr="001C1142" w:rsidRDefault="0024129A" w:rsidP="0024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 xml:space="preserve">   z toho vplyv na ŠR</w:t>
            </w:r>
          </w:p>
        </w:tc>
        <w:tc>
          <w:tcPr>
            <w:tcW w:w="1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29A" w:rsidRPr="001C1142" w:rsidRDefault="0024129A" w:rsidP="0024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29A" w:rsidRPr="001C1142" w:rsidRDefault="0024129A" w:rsidP="0024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20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29A" w:rsidRPr="001C1142" w:rsidRDefault="0024129A" w:rsidP="0024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4129A" w:rsidRPr="001C1142" w:rsidRDefault="0024129A" w:rsidP="0024129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4129A" w:rsidRPr="001C1142" w:rsidRDefault="0024129A" w:rsidP="0024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</w:tr>
      <w:tr w:rsidR="0024129A" w:rsidRPr="001C1142" w:rsidTr="00066F0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129A" w:rsidRPr="001C1142" w:rsidRDefault="0024129A" w:rsidP="0024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129A" w:rsidRPr="001C1142" w:rsidRDefault="0024129A" w:rsidP="0024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129A" w:rsidRPr="001C1142" w:rsidRDefault="0024129A" w:rsidP="0024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129A" w:rsidRPr="001C1142" w:rsidRDefault="0024129A" w:rsidP="0024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129A" w:rsidRPr="001C1142" w:rsidRDefault="0024129A" w:rsidP="0024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129A" w:rsidRPr="001C1142" w:rsidRDefault="0024129A" w:rsidP="0024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24129A" w:rsidRPr="001C1142" w:rsidTr="00066F09">
        <w:trPr>
          <w:trHeight w:val="255"/>
        </w:trPr>
        <w:tc>
          <w:tcPr>
            <w:tcW w:w="6188" w:type="dxa"/>
            <w:tcBorders>
              <w:top w:val="nil"/>
              <w:left w:val="nil"/>
              <w:bottom w:val="nil"/>
              <w:right w:val="nil"/>
            </w:tcBorders>
          </w:tcPr>
          <w:p w:rsidR="0024129A" w:rsidRPr="001C1142" w:rsidRDefault="0024129A" w:rsidP="0024129A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Poznámky:</w:t>
            </w: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129A" w:rsidRPr="001C1142" w:rsidRDefault="0024129A" w:rsidP="0024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129A" w:rsidRPr="001C1142" w:rsidRDefault="0024129A" w:rsidP="0024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129A" w:rsidRPr="001C1142" w:rsidRDefault="0024129A" w:rsidP="0024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04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129A" w:rsidRPr="001C1142" w:rsidRDefault="0024129A" w:rsidP="0024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129A" w:rsidRPr="001C1142" w:rsidRDefault="0024129A" w:rsidP="0024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24129A" w:rsidRPr="001C1142" w:rsidTr="005666F6">
        <w:trPr>
          <w:trHeight w:val="255"/>
        </w:trPr>
        <w:tc>
          <w:tcPr>
            <w:tcW w:w="1381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</w:tcPr>
          <w:p w:rsidR="0024129A" w:rsidRPr="001C1142" w:rsidRDefault="0024129A" w:rsidP="0024129A">
            <w:pPr>
              <w:tabs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</w:pPr>
            <w:r w:rsidRPr="001C1142">
              <w:rPr>
                <w:rFonts w:ascii="Times New Roman" w:hAnsi="Times New Roman"/>
                <w:bCs/>
                <w:sz w:val="24"/>
                <w:szCs w:val="20"/>
                <w:lang w:eastAsia="sk-SK"/>
              </w:rPr>
              <w:t>Ak sa vplyv týka viacerých subjektov verejnej správy, vypĺňa sa samostatná tabuľka za každý subjekt. Ak sa týka rôznych skupín zamestnancov, je potrebné počty, mzdy a poistné rozpísať samostatne podľa spôsobu odmeňovania (napr. policajti, colníci ...).</w:t>
            </w:r>
          </w:p>
          <w:p w:rsidR="0024129A" w:rsidRPr="001C1142" w:rsidRDefault="0024129A" w:rsidP="0024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sz w:val="24"/>
                <w:szCs w:val="24"/>
                <w:lang w:eastAsia="sk-SK"/>
              </w:rPr>
              <w:t>Priemerný mzdový výdavok je tvorený podielom mzdových výdavkov na jedného zamestnanca na jeden kalendárny mesiac bežného roka.</w:t>
            </w:r>
          </w:p>
        </w:tc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129A" w:rsidRPr="001C1142" w:rsidRDefault="0024129A" w:rsidP="0024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24129A" w:rsidRPr="007D5748" w:rsidTr="005666F6">
        <w:trPr>
          <w:trHeight w:val="255"/>
        </w:trPr>
        <w:tc>
          <w:tcPr>
            <w:tcW w:w="10394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129A" w:rsidRPr="007D5748" w:rsidRDefault="0024129A" w:rsidP="0024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1C1142">
              <w:rPr>
                <w:rFonts w:ascii="Times New Roman" w:hAnsi="Times New Roman"/>
                <w:sz w:val="24"/>
                <w:szCs w:val="24"/>
                <w:lang w:eastAsia="sk-SK"/>
              </w:rPr>
              <w:t>Kategórie 610 a 620 sú z tejto prílohy prenášané do príslušných kategórií prílohy „výdavky“.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129A" w:rsidRPr="007D5748" w:rsidRDefault="0024129A" w:rsidP="0024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235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129A" w:rsidRPr="007D5748" w:rsidRDefault="0024129A" w:rsidP="0024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24129A" w:rsidRPr="007D5748" w:rsidRDefault="0024129A" w:rsidP="002412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CB3623" w:rsidRPr="005D5D87" w:rsidRDefault="00CB3623" w:rsidP="005D5D87">
      <w:pPr>
        <w:spacing w:after="0" w:line="240" w:lineRule="auto"/>
        <w:jc w:val="center"/>
      </w:pPr>
    </w:p>
    <w:sectPr w:rsidR="00CB3623" w:rsidRPr="005D5D87" w:rsidSect="005D5D8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DD0" w:rsidRDefault="00D23DD0">
      <w:pPr>
        <w:spacing w:after="0" w:line="240" w:lineRule="auto"/>
      </w:pPr>
      <w:r>
        <w:separator/>
      </w:r>
    </w:p>
  </w:endnote>
  <w:endnote w:type="continuationSeparator" w:id="0">
    <w:p w:rsidR="00D23DD0" w:rsidRDefault="00D23D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6E7" w:rsidRDefault="00CF0020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 w:rsidR="005236E7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5236E7">
      <w:rPr>
        <w:rStyle w:val="slostrany"/>
        <w:noProof/>
      </w:rPr>
      <w:t>10</w:t>
    </w:r>
    <w:r>
      <w:rPr>
        <w:rStyle w:val="slostrany"/>
      </w:rPr>
      <w:fldChar w:fldCharType="end"/>
    </w:r>
  </w:p>
  <w:p w:rsidR="005236E7" w:rsidRDefault="005236E7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6E7" w:rsidRDefault="00CF0020">
    <w:pPr>
      <w:pStyle w:val="Pta"/>
      <w:jc w:val="right"/>
    </w:pPr>
    <w:r>
      <w:fldChar w:fldCharType="begin"/>
    </w:r>
    <w:r w:rsidR="005236E7">
      <w:instrText>PAGE   \* MERGEFORMAT</w:instrText>
    </w:r>
    <w:r>
      <w:fldChar w:fldCharType="separate"/>
    </w:r>
    <w:r w:rsidR="000D2FC2">
      <w:rPr>
        <w:noProof/>
      </w:rPr>
      <w:t>1</w:t>
    </w:r>
    <w:r>
      <w:fldChar w:fldCharType="end"/>
    </w:r>
  </w:p>
  <w:p w:rsidR="005236E7" w:rsidRDefault="005236E7">
    <w:pPr>
      <w:pStyle w:val="Pt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6E7" w:rsidRDefault="00CF0020">
    <w:pPr>
      <w:pStyle w:val="Pta"/>
      <w:jc w:val="right"/>
    </w:pPr>
    <w:r>
      <w:fldChar w:fldCharType="begin"/>
    </w:r>
    <w:r w:rsidR="005236E7">
      <w:instrText>PAGE   \* MERGEFORMAT</w:instrText>
    </w:r>
    <w:r>
      <w:fldChar w:fldCharType="separate"/>
    </w:r>
    <w:r w:rsidR="005236E7">
      <w:rPr>
        <w:noProof/>
      </w:rPr>
      <w:t>0</w:t>
    </w:r>
    <w:r>
      <w:fldChar w:fldCharType="end"/>
    </w:r>
  </w:p>
  <w:p w:rsidR="005236E7" w:rsidRDefault="005236E7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DD0" w:rsidRDefault="00D23DD0">
      <w:pPr>
        <w:spacing w:after="0" w:line="240" w:lineRule="auto"/>
      </w:pPr>
      <w:r>
        <w:separator/>
      </w:r>
    </w:p>
  </w:footnote>
  <w:footnote w:type="continuationSeparator" w:id="0">
    <w:p w:rsidR="00D23DD0" w:rsidRDefault="00D23D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6E7" w:rsidRDefault="005236E7" w:rsidP="005666F6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  <w:p w:rsidR="005236E7" w:rsidRPr="00EB59C8" w:rsidRDefault="005236E7" w:rsidP="005666F6">
    <w:pPr>
      <w:pStyle w:val="Hlavika"/>
      <w:jc w:val="right"/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36E7" w:rsidRPr="000A15AE" w:rsidRDefault="005236E7" w:rsidP="005666F6">
    <w:pPr>
      <w:pStyle w:val="Hlavika"/>
      <w:jc w:val="right"/>
      <w:rPr>
        <w:sz w:val="24"/>
        <w:szCs w:val="24"/>
      </w:rPr>
    </w:pPr>
    <w:r>
      <w:rPr>
        <w:sz w:val="24"/>
        <w:szCs w:val="24"/>
      </w:rPr>
      <w:t>Príloha č.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741B6"/>
    <w:multiLevelType w:val="hybridMultilevel"/>
    <w:tmpl w:val="06040940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EC70E7"/>
    <w:multiLevelType w:val="hybridMultilevel"/>
    <w:tmpl w:val="2FD8FA2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F310D1"/>
    <w:multiLevelType w:val="hybridMultilevel"/>
    <w:tmpl w:val="6E842E44"/>
    <w:lvl w:ilvl="0" w:tplc="A55A0126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33E46802"/>
    <w:multiLevelType w:val="hybridMultilevel"/>
    <w:tmpl w:val="A8C2C7C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36D12712"/>
    <w:multiLevelType w:val="hybridMultilevel"/>
    <w:tmpl w:val="93661344"/>
    <w:lvl w:ilvl="0" w:tplc="1FE272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ACB6800"/>
    <w:multiLevelType w:val="hybridMultilevel"/>
    <w:tmpl w:val="952A195E"/>
    <w:lvl w:ilvl="0" w:tplc="785CEE1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05EC"/>
    <w:rsid w:val="00001DC6"/>
    <w:rsid w:val="00003E4E"/>
    <w:rsid w:val="00005D4F"/>
    <w:rsid w:val="00015B6B"/>
    <w:rsid w:val="00016788"/>
    <w:rsid w:val="00020670"/>
    <w:rsid w:val="00021154"/>
    <w:rsid w:val="00022F5C"/>
    <w:rsid w:val="00025B86"/>
    <w:rsid w:val="00031175"/>
    <w:rsid w:val="00033722"/>
    <w:rsid w:val="00035EB6"/>
    <w:rsid w:val="00037E6D"/>
    <w:rsid w:val="000411A2"/>
    <w:rsid w:val="000433D1"/>
    <w:rsid w:val="0004372D"/>
    <w:rsid w:val="00046815"/>
    <w:rsid w:val="00053957"/>
    <w:rsid w:val="00057135"/>
    <w:rsid w:val="00061C0C"/>
    <w:rsid w:val="00066F09"/>
    <w:rsid w:val="00067214"/>
    <w:rsid w:val="00071A4D"/>
    <w:rsid w:val="0007228E"/>
    <w:rsid w:val="000725D7"/>
    <w:rsid w:val="00072C3A"/>
    <w:rsid w:val="00073D79"/>
    <w:rsid w:val="000756B8"/>
    <w:rsid w:val="00090065"/>
    <w:rsid w:val="00097D86"/>
    <w:rsid w:val="000A15AE"/>
    <w:rsid w:val="000A350F"/>
    <w:rsid w:val="000B0DE6"/>
    <w:rsid w:val="000B1C21"/>
    <w:rsid w:val="000B7559"/>
    <w:rsid w:val="000C36DA"/>
    <w:rsid w:val="000C3B65"/>
    <w:rsid w:val="000C4352"/>
    <w:rsid w:val="000D2FC2"/>
    <w:rsid w:val="000D4747"/>
    <w:rsid w:val="000D6567"/>
    <w:rsid w:val="000F21E9"/>
    <w:rsid w:val="000F24D8"/>
    <w:rsid w:val="001127A8"/>
    <w:rsid w:val="001354C5"/>
    <w:rsid w:val="00143540"/>
    <w:rsid w:val="00150CF0"/>
    <w:rsid w:val="00152726"/>
    <w:rsid w:val="00165979"/>
    <w:rsid w:val="00170D2B"/>
    <w:rsid w:val="00192D83"/>
    <w:rsid w:val="001A6601"/>
    <w:rsid w:val="001B6FFF"/>
    <w:rsid w:val="001C1142"/>
    <w:rsid w:val="001C6AD7"/>
    <w:rsid w:val="001C72C1"/>
    <w:rsid w:val="001D33BE"/>
    <w:rsid w:val="001D33EC"/>
    <w:rsid w:val="001D6442"/>
    <w:rsid w:val="001D7459"/>
    <w:rsid w:val="001F6A0A"/>
    <w:rsid w:val="00200898"/>
    <w:rsid w:val="00201332"/>
    <w:rsid w:val="002063DC"/>
    <w:rsid w:val="00212894"/>
    <w:rsid w:val="00216FD2"/>
    <w:rsid w:val="00236580"/>
    <w:rsid w:val="0024129A"/>
    <w:rsid w:val="002502F8"/>
    <w:rsid w:val="00253B6D"/>
    <w:rsid w:val="00257ED0"/>
    <w:rsid w:val="00272467"/>
    <w:rsid w:val="00274B48"/>
    <w:rsid w:val="00281EED"/>
    <w:rsid w:val="00283513"/>
    <w:rsid w:val="0028419C"/>
    <w:rsid w:val="002965BE"/>
    <w:rsid w:val="002B1592"/>
    <w:rsid w:val="002B6618"/>
    <w:rsid w:val="002B73A5"/>
    <w:rsid w:val="002C41B0"/>
    <w:rsid w:val="002D51B3"/>
    <w:rsid w:val="002F5114"/>
    <w:rsid w:val="002F63CB"/>
    <w:rsid w:val="00302DC1"/>
    <w:rsid w:val="003140F1"/>
    <w:rsid w:val="00316354"/>
    <w:rsid w:val="0031688F"/>
    <w:rsid w:val="0031784D"/>
    <w:rsid w:val="00317B90"/>
    <w:rsid w:val="00321114"/>
    <w:rsid w:val="0034376C"/>
    <w:rsid w:val="00351709"/>
    <w:rsid w:val="00352D97"/>
    <w:rsid w:val="00353680"/>
    <w:rsid w:val="00386709"/>
    <w:rsid w:val="00391548"/>
    <w:rsid w:val="00393416"/>
    <w:rsid w:val="00393894"/>
    <w:rsid w:val="003A0808"/>
    <w:rsid w:val="003B1575"/>
    <w:rsid w:val="003B3BB5"/>
    <w:rsid w:val="003C09E2"/>
    <w:rsid w:val="003D42F8"/>
    <w:rsid w:val="003E3380"/>
    <w:rsid w:val="003E3660"/>
    <w:rsid w:val="003F0D4F"/>
    <w:rsid w:val="00404106"/>
    <w:rsid w:val="00414873"/>
    <w:rsid w:val="0042254E"/>
    <w:rsid w:val="0042409E"/>
    <w:rsid w:val="0044684E"/>
    <w:rsid w:val="00464111"/>
    <w:rsid w:val="00466F73"/>
    <w:rsid w:val="0047576F"/>
    <w:rsid w:val="004809FF"/>
    <w:rsid w:val="004844A5"/>
    <w:rsid w:val="00487203"/>
    <w:rsid w:val="004A4923"/>
    <w:rsid w:val="004B689C"/>
    <w:rsid w:val="004C0E31"/>
    <w:rsid w:val="004D10F1"/>
    <w:rsid w:val="004D1948"/>
    <w:rsid w:val="004D27CD"/>
    <w:rsid w:val="004D4727"/>
    <w:rsid w:val="004F5C66"/>
    <w:rsid w:val="005005EC"/>
    <w:rsid w:val="0050299C"/>
    <w:rsid w:val="005236E7"/>
    <w:rsid w:val="005246E7"/>
    <w:rsid w:val="00526305"/>
    <w:rsid w:val="0053207D"/>
    <w:rsid w:val="00533E33"/>
    <w:rsid w:val="0054033C"/>
    <w:rsid w:val="005475D1"/>
    <w:rsid w:val="0055285D"/>
    <w:rsid w:val="00563994"/>
    <w:rsid w:val="005664B8"/>
    <w:rsid w:val="005666F6"/>
    <w:rsid w:val="0057328D"/>
    <w:rsid w:val="00574821"/>
    <w:rsid w:val="005804BB"/>
    <w:rsid w:val="0059108A"/>
    <w:rsid w:val="005A3CF1"/>
    <w:rsid w:val="005A5662"/>
    <w:rsid w:val="005A622C"/>
    <w:rsid w:val="005B18F1"/>
    <w:rsid w:val="005B4ABF"/>
    <w:rsid w:val="005C0665"/>
    <w:rsid w:val="005D2A5F"/>
    <w:rsid w:val="005D5D87"/>
    <w:rsid w:val="005D757F"/>
    <w:rsid w:val="005E0451"/>
    <w:rsid w:val="005F59A9"/>
    <w:rsid w:val="00602036"/>
    <w:rsid w:val="006079D5"/>
    <w:rsid w:val="00611B2B"/>
    <w:rsid w:val="00612A96"/>
    <w:rsid w:val="00621144"/>
    <w:rsid w:val="006264F5"/>
    <w:rsid w:val="00631FC4"/>
    <w:rsid w:val="006439CB"/>
    <w:rsid w:val="00645267"/>
    <w:rsid w:val="00646BF5"/>
    <w:rsid w:val="00657114"/>
    <w:rsid w:val="00674D37"/>
    <w:rsid w:val="00675981"/>
    <w:rsid w:val="0068312F"/>
    <w:rsid w:val="006A5864"/>
    <w:rsid w:val="006A5981"/>
    <w:rsid w:val="006B04A1"/>
    <w:rsid w:val="006C1071"/>
    <w:rsid w:val="006D60E0"/>
    <w:rsid w:val="006D6CE9"/>
    <w:rsid w:val="006F5863"/>
    <w:rsid w:val="006F5EAD"/>
    <w:rsid w:val="006F6446"/>
    <w:rsid w:val="007025D1"/>
    <w:rsid w:val="00707C38"/>
    <w:rsid w:val="007246BD"/>
    <w:rsid w:val="00725774"/>
    <w:rsid w:val="0072606B"/>
    <w:rsid w:val="007273A1"/>
    <w:rsid w:val="007452DC"/>
    <w:rsid w:val="00761371"/>
    <w:rsid w:val="007617AE"/>
    <w:rsid w:val="00765F1C"/>
    <w:rsid w:val="007704F5"/>
    <w:rsid w:val="00772B1C"/>
    <w:rsid w:val="007758F6"/>
    <w:rsid w:val="0077799A"/>
    <w:rsid w:val="007809AB"/>
    <w:rsid w:val="007850C0"/>
    <w:rsid w:val="007A3DB0"/>
    <w:rsid w:val="007A4EF7"/>
    <w:rsid w:val="007A6C51"/>
    <w:rsid w:val="007C603E"/>
    <w:rsid w:val="007D5748"/>
    <w:rsid w:val="007E77CC"/>
    <w:rsid w:val="007F3038"/>
    <w:rsid w:val="008054A6"/>
    <w:rsid w:val="00806872"/>
    <w:rsid w:val="00816FF4"/>
    <w:rsid w:val="00827799"/>
    <w:rsid w:val="00833848"/>
    <w:rsid w:val="00842BC4"/>
    <w:rsid w:val="0085270F"/>
    <w:rsid w:val="00897363"/>
    <w:rsid w:val="008A387E"/>
    <w:rsid w:val="008B2D67"/>
    <w:rsid w:val="008B427A"/>
    <w:rsid w:val="008B4978"/>
    <w:rsid w:val="008C3837"/>
    <w:rsid w:val="008D339D"/>
    <w:rsid w:val="008E198F"/>
    <w:rsid w:val="008E2736"/>
    <w:rsid w:val="008E27E3"/>
    <w:rsid w:val="008F3B70"/>
    <w:rsid w:val="008F43AF"/>
    <w:rsid w:val="0091090C"/>
    <w:rsid w:val="00916AB9"/>
    <w:rsid w:val="00921223"/>
    <w:rsid w:val="00925DD9"/>
    <w:rsid w:val="00967AE8"/>
    <w:rsid w:val="009706B7"/>
    <w:rsid w:val="00974A05"/>
    <w:rsid w:val="00981164"/>
    <w:rsid w:val="009A015C"/>
    <w:rsid w:val="009A143B"/>
    <w:rsid w:val="009D01BA"/>
    <w:rsid w:val="009D3296"/>
    <w:rsid w:val="009D6A69"/>
    <w:rsid w:val="009F5292"/>
    <w:rsid w:val="009F5F6D"/>
    <w:rsid w:val="00A10B9C"/>
    <w:rsid w:val="00A17AC5"/>
    <w:rsid w:val="00A17BC1"/>
    <w:rsid w:val="00A320CF"/>
    <w:rsid w:val="00A421FE"/>
    <w:rsid w:val="00A4773A"/>
    <w:rsid w:val="00A527BA"/>
    <w:rsid w:val="00A56C88"/>
    <w:rsid w:val="00A81390"/>
    <w:rsid w:val="00A820E9"/>
    <w:rsid w:val="00A841DC"/>
    <w:rsid w:val="00AA4556"/>
    <w:rsid w:val="00AB356F"/>
    <w:rsid w:val="00AC0058"/>
    <w:rsid w:val="00AC081C"/>
    <w:rsid w:val="00AC15EE"/>
    <w:rsid w:val="00B06AAD"/>
    <w:rsid w:val="00B127E4"/>
    <w:rsid w:val="00B33EDA"/>
    <w:rsid w:val="00B5535C"/>
    <w:rsid w:val="00B70453"/>
    <w:rsid w:val="00B7054C"/>
    <w:rsid w:val="00B728F1"/>
    <w:rsid w:val="00B74F48"/>
    <w:rsid w:val="00B913DE"/>
    <w:rsid w:val="00B96AD4"/>
    <w:rsid w:val="00BB5115"/>
    <w:rsid w:val="00BC06DF"/>
    <w:rsid w:val="00BD1CD3"/>
    <w:rsid w:val="00BD32A3"/>
    <w:rsid w:val="00BE0280"/>
    <w:rsid w:val="00BE29EF"/>
    <w:rsid w:val="00BE4662"/>
    <w:rsid w:val="00BF72A7"/>
    <w:rsid w:val="00C06DE7"/>
    <w:rsid w:val="00C15212"/>
    <w:rsid w:val="00C42FB5"/>
    <w:rsid w:val="00C50A84"/>
    <w:rsid w:val="00C51FD4"/>
    <w:rsid w:val="00C60550"/>
    <w:rsid w:val="00C635D2"/>
    <w:rsid w:val="00C661D7"/>
    <w:rsid w:val="00C720DA"/>
    <w:rsid w:val="00C73A70"/>
    <w:rsid w:val="00C760C5"/>
    <w:rsid w:val="00C83F0F"/>
    <w:rsid w:val="00C87BC5"/>
    <w:rsid w:val="00C91F78"/>
    <w:rsid w:val="00C93CE4"/>
    <w:rsid w:val="00CB2FCC"/>
    <w:rsid w:val="00CB3623"/>
    <w:rsid w:val="00CC0B46"/>
    <w:rsid w:val="00CE299A"/>
    <w:rsid w:val="00CF0020"/>
    <w:rsid w:val="00CF183B"/>
    <w:rsid w:val="00CF4E46"/>
    <w:rsid w:val="00D019E8"/>
    <w:rsid w:val="00D23DD0"/>
    <w:rsid w:val="00D300ED"/>
    <w:rsid w:val="00D36ABD"/>
    <w:rsid w:val="00D43460"/>
    <w:rsid w:val="00D44B8D"/>
    <w:rsid w:val="00D545A1"/>
    <w:rsid w:val="00D55109"/>
    <w:rsid w:val="00D6682F"/>
    <w:rsid w:val="00D71609"/>
    <w:rsid w:val="00D80FD0"/>
    <w:rsid w:val="00D92D2C"/>
    <w:rsid w:val="00DA58EB"/>
    <w:rsid w:val="00DB251C"/>
    <w:rsid w:val="00DC183F"/>
    <w:rsid w:val="00DE5BF1"/>
    <w:rsid w:val="00DF2AD1"/>
    <w:rsid w:val="00E06CA5"/>
    <w:rsid w:val="00E07CE9"/>
    <w:rsid w:val="00E406ED"/>
    <w:rsid w:val="00E46785"/>
    <w:rsid w:val="00E55EBF"/>
    <w:rsid w:val="00E563FC"/>
    <w:rsid w:val="00E60C44"/>
    <w:rsid w:val="00E633FC"/>
    <w:rsid w:val="00E84F45"/>
    <w:rsid w:val="00E93045"/>
    <w:rsid w:val="00E963A3"/>
    <w:rsid w:val="00EA1E90"/>
    <w:rsid w:val="00EA2EEB"/>
    <w:rsid w:val="00EB59C8"/>
    <w:rsid w:val="00ED4157"/>
    <w:rsid w:val="00F01A11"/>
    <w:rsid w:val="00F03525"/>
    <w:rsid w:val="00F165B5"/>
    <w:rsid w:val="00F221C1"/>
    <w:rsid w:val="00F36E6A"/>
    <w:rsid w:val="00F40136"/>
    <w:rsid w:val="00F40FEA"/>
    <w:rsid w:val="00F63923"/>
    <w:rsid w:val="00F66481"/>
    <w:rsid w:val="00F77770"/>
    <w:rsid w:val="00F80876"/>
    <w:rsid w:val="00F855F7"/>
    <w:rsid w:val="00F90A48"/>
    <w:rsid w:val="00F90D8E"/>
    <w:rsid w:val="00F97DC5"/>
    <w:rsid w:val="00FA29A0"/>
    <w:rsid w:val="00FA39B6"/>
    <w:rsid w:val="00FC4B15"/>
    <w:rsid w:val="00FD40B1"/>
    <w:rsid w:val="00FE2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236E7"/>
    <w:rPr>
      <w:rFonts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7D5748"/>
    <w:rPr>
      <w:rFonts w:ascii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D5748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  <w:lang w:eastAsia="sk-SK"/>
    </w:rPr>
  </w:style>
  <w:style w:type="character" w:customStyle="1" w:styleId="PtaChar">
    <w:name w:val="Päta Char"/>
    <w:basedOn w:val="Predvolenpsmoodseku"/>
    <w:link w:val="Pta"/>
    <w:uiPriority w:val="99"/>
    <w:locked/>
    <w:rsid w:val="007D5748"/>
    <w:rPr>
      <w:rFonts w:ascii="Times New Roman" w:hAnsi="Times New Roman" w:cs="Times New Roman"/>
      <w:sz w:val="20"/>
      <w:szCs w:val="20"/>
      <w:lang w:eastAsia="sk-SK"/>
    </w:rPr>
  </w:style>
  <w:style w:type="character" w:styleId="slostrany">
    <w:name w:val="page number"/>
    <w:basedOn w:val="Predvolenpsmoodseku"/>
    <w:uiPriority w:val="99"/>
    <w:rsid w:val="007D5748"/>
    <w:rPr>
      <w:rFonts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17B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317B90"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D4747"/>
    <w:pPr>
      <w:spacing w:after="0" w:line="240" w:lineRule="auto"/>
    </w:pPr>
    <w:rPr>
      <w:rFonts w:ascii="Arial" w:hAnsi="Arial"/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0D4747"/>
    <w:rPr>
      <w:rFonts w:ascii="Arial" w:hAnsi="Arial" w:cs="Times New Roman"/>
      <w:b/>
      <w:bCs/>
      <w:sz w:val="20"/>
      <w:szCs w:val="20"/>
      <w:lang w:eastAsia="cs-CZ"/>
    </w:rPr>
  </w:style>
  <w:style w:type="paragraph" w:styleId="Odsekzoznamu">
    <w:name w:val="List Paragraph"/>
    <w:basedOn w:val="Normlny"/>
    <w:uiPriority w:val="34"/>
    <w:qFormat/>
    <w:rsid w:val="00D43460"/>
    <w:pPr>
      <w:ind w:left="720"/>
      <w:contextualSpacing/>
    </w:pPr>
    <w:rPr>
      <w:rFonts w:ascii="Calibri" w:hAnsi="Calibri"/>
    </w:rPr>
  </w:style>
  <w:style w:type="paragraph" w:styleId="Normlnywebov">
    <w:name w:val="Normal (Web)"/>
    <w:basedOn w:val="Normlny"/>
    <w:uiPriority w:val="99"/>
    <w:unhideWhenUsed/>
    <w:rsid w:val="0053207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sk-SK"/>
    </w:rPr>
  </w:style>
  <w:style w:type="character" w:customStyle="1" w:styleId="awspan1">
    <w:name w:val="awspan1"/>
    <w:basedOn w:val="Predvolenpsmoodseku"/>
    <w:rsid w:val="0053207D"/>
    <w:rPr>
      <w:rFonts w:cs="Times New Roman"/>
      <w:color w:val="000000"/>
      <w:sz w:val="24"/>
      <w:szCs w:val="24"/>
    </w:rPr>
  </w:style>
  <w:style w:type="character" w:customStyle="1" w:styleId="h1a">
    <w:name w:val="h1a"/>
    <w:basedOn w:val="Predvolenpsmoodseku"/>
    <w:rsid w:val="0053207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51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analýza_rozpočet"/>
    <f:field ref="objsubject" par="" edit="true" text=""/>
    <f:field ref="objcreatedby" par="" text="Hambalekova, Alena"/>
    <f:field ref="objcreatedat" par="" text="7.8.2020 9:41:31"/>
    <f:field ref="objchangedby" par="" text="Administrator, System"/>
    <f:field ref="objmodifiedat" par="" text="7.8.2020 9:41:31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BF8FA31B-925D-4888-ACF9-DDC7D05C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2020-11-19T21:17:00Z</dcterms:created>
  <dcterms:modified xsi:type="dcterms:W3CDTF">2020-11-19T21:17:00Z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/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2020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Obchodné právo_x000d_
Občianske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Alena Hambalekova</vt:lpwstr>
  </property>
  <property fmtid="{D5CDD505-2E9C-101B-9397-08002B2CF9AE}" pid="12" name="FSC#SKEDITIONSLOVLEX@103.510:zodppredkladatel">
    <vt:lpwstr>Mária Kolíková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dočasnej ochrane životaschopných podnikov a ktorým sa menia a dopĺňajú niektoré zákony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spravodlivosti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Programové vyhlásenie vlády Slovenskej republiky na roky 2020 až 2024</vt:lpwstr>
  </property>
  <property fmtid="{D5CDD505-2E9C-101B-9397-08002B2CF9AE}" pid="23" name="FSC#SKEDITIONSLOVLEX@103.510:plnynazovpredpis">
    <vt:lpwstr> Zákon o dočasnej ochrane životaschopných podnikov a ktorým sa menia a dopĺňajú niektoré zákony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24107/2020/110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LP/2020/320</vt:lpwstr>
  </property>
  <property fmtid="{D5CDD505-2E9C-101B-9397-08002B2CF9AE}" pid="37" name="FSC#SKEDITIONSLOVLEX@103.510:typsprievdok">
    <vt:lpwstr>Doložka vplyvov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nie je upravený v práve Európskej únie</vt:lpwstr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úplne</vt:lpwstr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ministerka spravodlivosti Slovenskej republiky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ministerka spravodlivosti Slovenskej republiky</vt:lpwstr>
  </property>
  <property fmtid="{D5CDD505-2E9C-101B-9397-08002B2CF9AE}" pid="142" name="FSC#SKEDITIONSLOVLEX@103.510:funkciaZodpPredAkuzativ">
    <vt:lpwstr>ministerke spravodlivosti Slovenskej republiky</vt:lpwstr>
  </property>
  <property fmtid="{D5CDD505-2E9C-101B-9397-08002B2CF9AE}" pid="143" name="FSC#SKEDITIONSLOVLEX@103.510:funkciaZodpPredDativ">
    <vt:lpwstr>ministerke spravodlivosti Slovenskej republiky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Mária Kolíková_x000d_
ministerka spravodlivosti Slovenskej republiky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 style="text-align: justify;"&gt;Ministerstvo spravodlivosti Slovenskej republiky predkladá do medzirezortného pripomienkového konania návrh zákona o&amp;nbsp;dočasnej ochrane životaschopných podnikov a&amp;nbsp;ktorým sa menia a&amp;nbsp;dopĺňajú niektoré zákony (ďal</vt:lpwstr>
  </property>
  <property fmtid="{D5CDD505-2E9C-101B-9397-08002B2CF9AE}" pid="150" name="FSC#SKEDITIONSLOVLEX@103.510:vytvorenedna">
    <vt:lpwstr>7. 8. 2020</vt:lpwstr>
  </property>
  <property fmtid="{D5CDD505-2E9C-101B-9397-08002B2CF9AE}" pid="151" name="FSC#COOSYSTEM@1.1:Container">
    <vt:lpwstr>COO.2145.1000.3.3961927</vt:lpwstr>
  </property>
  <property fmtid="{D5CDD505-2E9C-101B-9397-08002B2CF9AE}" pid="152" name="FSC#FSCFOLIO@1.1001:docpropproject">
    <vt:lpwstr/>
  </property>
</Properties>
</file>