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59" w:rsidRPr="000741B0" w:rsidRDefault="00132159" w:rsidP="001321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B0">
        <w:rPr>
          <w:rFonts w:ascii="Times New Roman" w:hAnsi="Times New Roman" w:cs="Times New Roman"/>
          <w:b/>
          <w:bCs/>
          <w:sz w:val="28"/>
          <w:szCs w:val="28"/>
        </w:rPr>
        <w:t>Doložka vybraných vplyvov</w:t>
      </w:r>
    </w:p>
    <w:p w:rsidR="00132159" w:rsidRPr="000741B0" w:rsidRDefault="00132159" w:rsidP="00132159">
      <w:pPr>
        <w:pStyle w:val="Odsekzoznamu"/>
        <w:ind w:left="426"/>
        <w:rPr>
          <w:rFonts w:ascii="Times New Roman" w:hAnsi="Times New Roman" w:cs="Times New Roman"/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717"/>
        <w:gridCol w:w="569"/>
        <w:gridCol w:w="1417"/>
        <w:gridCol w:w="1560"/>
      </w:tblGrid>
      <w:tr w:rsidR="00132159" w:rsidRPr="000741B0" w:rsidTr="00B10032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bottom w:val="single" w:sz="4" w:space="0" w:color="FFFFFF" w:themeColor="background1"/>
            </w:tcBorders>
            <w:shd w:val="clear" w:color="auto" w:fill="E2E2E2"/>
          </w:tcPr>
          <w:p w:rsidR="00132159" w:rsidRPr="000741B0" w:rsidRDefault="00132159" w:rsidP="00B1003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132159" w:rsidRPr="000741B0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3F315C">
              <w:rPr>
                <w:rFonts w:ascii="Times New Roman" w:hAnsi="Times New Roman" w:cs="Times New Roman"/>
              </w:rPr>
              <w:t>ariadeni</w:t>
            </w:r>
            <w:r>
              <w:rPr>
                <w:rFonts w:ascii="Times New Roman" w:hAnsi="Times New Roman" w:cs="Times New Roman"/>
              </w:rPr>
              <w:t>e</w:t>
            </w:r>
            <w:r w:rsidRPr="003F315C">
              <w:rPr>
                <w:rFonts w:ascii="Times New Roman" w:hAnsi="Times New Roman" w:cs="Times New Roman"/>
              </w:rPr>
              <w:t xml:space="preserve"> vlády</w:t>
            </w:r>
            <w:r>
              <w:rPr>
                <w:rFonts w:ascii="Times New Roman" w:hAnsi="Times New Roman" w:cs="Times New Roman"/>
              </w:rPr>
              <w:t xml:space="preserve"> Slovenskej republiky</w:t>
            </w:r>
            <w:r w:rsidRPr="003F315C">
              <w:rPr>
                <w:rFonts w:ascii="Times New Roman" w:hAnsi="Times New Roman" w:cs="Times New Roman"/>
              </w:rPr>
              <w:t xml:space="preserve">, ktorým sa mení a dopĺňa nariadenie vlády </w:t>
            </w:r>
            <w:r>
              <w:rPr>
                <w:rFonts w:ascii="Times New Roman" w:hAnsi="Times New Roman" w:cs="Times New Roman"/>
              </w:rPr>
              <w:t xml:space="preserve">Slovenskej republiky č. </w:t>
            </w:r>
            <w:r w:rsidRPr="003F315C">
              <w:rPr>
                <w:rFonts w:ascii="Times New Roman" w:hAnsi="Times New Roman" w:cs="Times New Roman"/>
              </w:rPr>
              <w:t>195/2018 Z.</w:t>
            </w:r>
            <w:r w:rsidR="00801413">
              <w:rPr>
                <w:rFonts w:ascii="Times New Roman" w:hAnsi="Times New Roman" w:cs="Times New Roman"/>
              </w:rPr>
              <w:t xml:space="preserve"> </w:t>
            </w:r>
            <w:r w:rsidRPr="003F315C">
              <w:rPr>
                <w:rFonts w:ascii="Times New Roman" w:hAnsi="Times New Roman" w:cs="Times New Roman"/>
              </w:rPr>
              <w:t>z., ktorým sa ustanovujú podmienky na poskytnutie investičnej pomoci, maximálna intenzita investičnej pomoci a maximálna výška investičnej pomoci v regiónoch Slovenskej republiky</w:t>
            </w:r>
            <w:bookmarkStart w:id="0" w:name="_GoBack"/>
            <w:bookmarkEnd w:id="0"/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32159" w:rsidRPr="000741B0" w:rsidRDefault="00132159" w:rsidP="00B1003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Ministerstvo h</w:t>
            </w:r>
            <w:r>
              <w:rPr>
                <w:rFonts w:ascii="Times New Roman" w:hAnsi="Times New Roman" w:cs="Times New Roman"/>
              </w:rPr>
              <w:t>ospodárstva Slovenskej republiky</w:t>
            </w:r>
          </w:p>
        </w:tc>
      </w:tr>
      <w:tr w:rsidR="00132159" w:rsidRPr="000741B0" w:rsidTr="00B10032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132159" w:rsidRPr="000741B0" w:rsidRDefault="00132159" w:rsidP="00B1003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 w:cs="Times New Roman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32159" w:rsidRPr="000741B0" w:rsidRDefault="00132159" w:rsidP="00B1003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Materiál nelegislatívnej povahy</w:t>
            </w:r>
          </w:p>
        </w:tc>
      </w:tr>
      <w:tr w:rsidR="00132159" w:rsidRPr="000741B0" w:rsidTr="00B10032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32159" w:rsidRPr="000741B0" w:rsidRDefault="00132159" w:rsidP="00B1003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ind w:left="175" w:hanging="175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Materiál legislatívnej povahy</w:t>
            </w:r>
          </w:p>
        </w:tc>
      </w:tr>
      <w:tr w:rsidR="00132159" w:rsidRPr="000741B0" w:rsidTr="00B10032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132159" w:rsidRPr="000741B0" w:rsidRDefault="00132159" w:rsidP="00B1003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741B0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Transpozícia práva EÚ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  <w:i/>
              </w:rPr>
              <w:t>V prípade transpozície uveďte zo</w:t>
            </w:r>
            <w:r>
              <w:rPr>
                <w:rFonts w:ascii="Times New Roman" w:hAnsi="Times New Roman" w:cs="Times New Roman"/>
                <w:i/>
              </w:rPr>
              <w:t>znam transponovaných predpisov:</w:t>
            </w:r>
          </w:p>
        </w:tc>
      </w:tr>
      <w:tr w:rsidR="00132159" w:rsidRPr="000741B0" w:rsidTr="00B10032">
        <w:tc>
          <w:tcPr>
            <w:tcW w:w="563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i/>
              </w:rPr>
            </w:pPr>
            <w:r w:rsidRPr="000741B0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132159" w:rsidRPr="000741B0" w:rsidTr="00B10032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Predpokladaný termín predloženia na MPK*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i/>
              </w:rPr>
            </w:pPr>
            <w:r w:rsidRPr="000741B0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132159" w:rsidRPr="000741B0" w:rsidTr="00B10032"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59" w:rsidRPr="000741B0" w:rsidRDefault="000B71E4" w:rsidP="00B1003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december </w:t>
            </w:r>
            <w:r w:rsidR="00132159" w:rsidRPr="000741B0">
              <w:rPr>
                <w:rFonts w:ascii="Times New Roman" w:hAnsi="Times New Roman" w:cs="Times New Roman"/>
                <w:i/>
              </w:rPr>
              <w:t>2020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</w:rPr>
            </w:pP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Definovanie problému</w:t>
            </w:r>
          </w:p>
        </w:tc>
      </w:tr>
      <w:tr w:rsidR="00132159" w:rsidRPr="000741B0" w:rsidTr="00B10032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 základné problémy, na ktoré navrhovaná regulácia reaguje.</w:t>
            </w:r>
          </w:p>
          <w:p w:rsidR="00132159" w:rsidRPr="000741B0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V súvislosti s nepredvídateľne negatívnym ekonomickým dopadom pandémie COVID-19 na prijímateľov investičnej pomoci je potrebné umožniť určitú mieru flexibility v prípade už podporených investičných zámerov, ktoré musia plniť podmienky vyplývajúce s rozhodnutí a príslušnej legislatívy. Negatívny dopad sa môže prejaviť aj v neistote z budúcich období a to predovšetkým v oblasti plánovania investícií. Z toho dôvodu je potrebná aj dočasná flexibilita v prípade budúcich investícií.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132159" w:rsidRPr="000741B0" w:rsidTr="00B10032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 hlavné ciele navrhovaného predpisu (aký výsledný stav chcete reguláciou dosiahnuť).</w:t>
            </w:r>
          </w:p>
          <w:p w:rsidR="00132159" w:rsidRPr="000741B0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 xml:space="preserve">Cieľom je poskytnúť podporeným a dočasne aj budúcim investíciám flexibilitu pri plnení podmienok na poskytnutie investičnej pomoci a povinností prijímateľov investičnej pomoci tak, aby bol negatívny </w:t>
            </w:r>
            <w:r>
              <w:rPr>
                <w:rFonts w:ascii="Times New Roman" w:hAnsi="Times New Roman" w:cs="Times New Roman"/>
              </w:rPr>
              <w:t>vplyv</w:t>
            </w:r>
            <w:r w:rsidRPr="000741B0">
              <w:rPr>
                <w:rFonts w:ascii="Times New Roman" w:hAnsi="Times New Roman" w:cs="Times New Roman"/>
              </w:rPr>
              <w:t xml:space="preserve"> pandémie na prijímateľov investičnej pomoci čo najmenší a zároveň a sa zachoval cieľ investičnej pomoci</w:t>
            </w:r>
            <w:r>
              <w:rPr>
                <w:rFonts w:ascii="Times New Roman" w:hAnsi="Times New Roman" w:cs="Times New Roman"/>
              </w:rPr>
              <w:t xml:space="preserve"> t. j</w:t>
            </w:r>
            <w:r w:rsidRPr="000741B0">
              <w:rPr>
                <w:rFonts w:ascii="Times New Roman" w:hAnsi="Times New Roman" w:cs="Times New Roman"/>
              </w:rPr>
              <w:t>. podpora konkurencieschopnosti a znižovanie regionálnych rozdielov.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 subjekty, ktorých sa zmeny návrhu dotknú priamo aj nepriamo:</w:t>
            </w:r>
          </w:p>
          <w:p w:rsidR="00132159" w:rsidRPr="008117B9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Prijímatelia investičnej pomoci..</w:t>
            </w:r>
            <w:r w:rsidRPr="008117B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132159" w:rsidRPr="000741B0" w:rsidTr="00B10032">
        <w:trPr>
          <w:trHeight w:val="709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Uveďte, aké alternatívne spôsoby na odstránenie definovaného problému boli identifikované a posudzované.</w:t>
            </w:r>
          </w:p>
          <w:p w:rsidR="00132159" w:rsidRPr="000741B0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Alternatívy neexistujú</w:t>
            </w:r>
            <w:r w:rsidRPr="000741B0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132159" w:rsidRPr="000741B0" w:rsidTr="00B10032">
        <w:tc>
          <w:tcPr>
            <w:tcW w:w="6203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2159" w:rsidRPr="000741B0" w:rsidRDefault="00801413" w:rsidP="00B1003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5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2159" w:rsidRPr="000741B0">
              <w:rPr>
                <w:rFonts w:ascii="Times New Roman" w:hAnsi="Times New Roman" w:cs="Times New Roman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2159" w:rsidRPr="000741B0" w:rsidRDefault="00801413" w:rsidP="00B1003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159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132159" w:rsidRPr="000741B0">
              <w:rPr>
                <w:rFonts w:ascii="Times New Roman" w:hAnsi="Times New Roman" w:cs="Times New Roman"/>
              </w:rPr>
              <w:t xml:space="preserve">  Nie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Ak áno, uveďte ktoré oblasti budú nimi upravené, resp. ktorých vykonávacích predpisov sa zmena dotkne:</w:t>
            </w:r>
          </w:p>
          <w:p w:rsidR="00132159" w:rsidRPr="000741B0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32159" w:rsidRPr="000741B0" w:rsidTr="00B10032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</w:rPr>
            </w:pPr>
            <w:r w:rsidRPr="008117B9">
              <w:rPr>
                <w:rFonts w:ascii="Times New Roman" w:hAnsi="Times New Roman" w:cs="Times New Roman"/>
              </w:rPr>
              <w:t>Uveďte, v ktorých ustanoveniach ide národná právna úprava nad rámec minimálnych požiadaviek EÚ spolu s odôvodnením.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132159">
            <w:pPr>
              <w:pStyle w:val="Odsekzoznamu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Preskúmanie účelnosti**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2159" w:rsidRPr="000741B0" w:rsidTr="00B10032">
        <w:trPr>
          <w:trHeight w:val="71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ind w:left="142" w:hanging="142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* vyplniť iba v prípade, ak materiál nie je zahrnutý do Plánu práce vlády Slovensk</w:t>
            </w:r>
            <w:r>
              <w:rPr>
                <w:rFonts w:ascii="Times New Roman" w:hAnsi="Times New Roman" w:cs="Times New Roman"/>
              </w:rPr>
              <w:t xml:space="preserve">ej republiky alebo Plánu </w:t>
            </w:r>
            <w:r w:rsidRPr="000741B0">
              <w:rPr>
                <w:rFonts w:ascii="Times New Roman" w:hAnsi="Times New Roman" w:cs="Times New Roman"/>
              </w:rPr>
              <w:t xml:space="preserve">legislatívnych úloh vlády Slovenskej republiky. </w:t>
            </w:r>
          </w:p>
          <w:p w:rsidR="00132159" w:rsidRPr="000741B0" w:rsidRDefault="00132159" w:rsidP="00B10032">
            <w:pPr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>** nepovinné</w:t>
            </w:r>
          </w:p>
        </w:tc>
      </w:tr>
      <w:tr w:rsidR="00132159" w:rsidRPr="000741B0" w:rsidTr="00B10032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Mriekatabuky1"/>
        <w:tblW w:w="9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32159" w:rsidRPr="004735E1" w:rsidTr="00B10032">
        <w:trPr>
          <w:trHeight w:val="577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132159" w:rsidRPr="004735E1" w:rsidRDefault="00132159" w:rsidP="00132159">
            <w:pPr>
              <w:pStyle w:val="Odsekzoznamu"/>
              <w:numPr>
                <w:ilvl w:val="0"/>
                <w:numId w:val="1"/>
              </w:numPr>
              <w:ind w:left="455"/>
              <w:rPr>
                <w:rFonts w:ascii="Times New Roman" w:hAnsi="Times New Roman" w:cs="Times New Roman"/>
                <w:b/>
              </w:rPr>
            </w:pPr>
            <w:r w:rsidRPr="004735E1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132159" w:rsidRPr="004735E1" w:rsidTr="00B1003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9" w:rsidRPr="004735E1" w:rsidRDefault="00132159" w:rsidP="00B1003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9" w:rsidRPr="004735E1" w:rsidRDefault="00132159" w:rsidP="00B1003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9" w:rsidRPr="004735E1" w:rsidRDefault="00132159" w:rsidP="00B1003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9" w:rsidRPr="004735E1" w:rsidRDefault="00132159" w:rsidP="00B1003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9" w:rsidRPr="004735E1" w:rsidRDefault="00132159" w:rsidP="00B1003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9" w:rsidRPr="004735E1" w:rsidRDefault="00132159" w:rsidP="00B1003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2159" w:rsidRPr="004735E1" w:rsidRDefault="00132159" w:rsidP="00B100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2159" w:rsidRPr="004735E1" w:rsidRDefault="00132159" w:rsidP="00B1003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159" w:rsidRPr="004735E1" w:rsidRDefault="00132159" w:rsidP="00B1003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132159" w:rsidRPr="004735E1" w:rsidTr="00B1003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32159" w:rsidRPr="004735E1" w:rsidTr="00B1003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32159" w:rsidRPr="004735E1" w:rsidTr="00B1003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132159" w:rsidRPr="004735E1" w:rsidRDefault="00132159" w:rsidP="00B10032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35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manželstvo, rodičovstvo a 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168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99733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76843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32159" w:rsidRPr="004735E1" w:rsidRDefault="00132159" w:rsidP="00B10032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735E1">
                  <w:rPr>
                    <w:rFonts w:ascii="Segoe UI Symbol" w:eastAsia="Times New Roman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59" w:rsidRPr="004735E1" w:rsidRDefault="00132159" w:rsidP="00B10032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735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32159" w:rsidRPr="000741B0" w:rsidTr="00B1003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10. Poznámky</w:t>
            </w:r>
          </w:p>
        </w:tc>
      </w:tr>
      <w:tr w:rsidR="00132159" w:rsidRPr="000741B0" w:rsidTr="00B1003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32159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741B0">
              <w:rPr>
                <w:rFonts w:ascii="Times New Roman" w:hAnsi="Times New Roman" w:cs="Times New Roman"/>
              </w:rPr>
              <w:t xml:space="preserve">Návrh </w:t>
            </w:r>
            <w:r>
              <w:rPr>
                <w:rFonts w:ascii="Times New Roman" w:hAnsi="Times New Roman" w:cs="Times New Roman"/>
              </w:rPr>
              <w:t xml:space="preserve">novely nariadenia vlády, ako vykonávajúci predpis, </w:t>
            </w:r>
            <w:r w:rsidRPr="00A72A0C">
              <w:rPr>
                <w:rFonts w:ascii="Times New Roman" w:hAnsi="Times New Roman" w:cs="Times New Roman"/>
              </w:rPr>
              <w:t xml:space="preserve">nepredpokladá vplyvy na rozpočet verejnej správy. </w:t>
            </w:r>
            <w:r>
              <w:rPr>
                <w:rFonts w:ascii="Times New Roman" w:hAnsi="Times New Roman" w:cs="Times New Roman"/>
              </w:rPr>
              <w:t>Vplyv na rozpočet verejnej správy bude vychádzať až zo samotných opatrení investičnej pomoci</w:t>
            </w:r>
            <w:r w:rsidR="00312A2C">
              <w:rPr>
                <w:rFonts w:ascii="Times New Roman" w:hAnsi="Times New Roman" w:cs="Times New Roman"/>
              </w:rPr>
              <w:t>. Výdavky na investičnú pomoc budú kryté v rámci schválených limitov kapitol na príslušné rozpočtové roky.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2159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Vplyv na podnikateľské prostredie budú mať rovnako až jednotlivé opatrenia investičnej pomoci. Z pohľadu nákladov regulácie neidentifikujeme žiadne vplyvy. </w:t>
            </w:r>
          </w:p>
          <w:p w:rsidR="00132159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Novela nariadenia vlády poskytuje priestor pre uchádzanie sa o investičnú pomoc v prípade väčšieho množstva počiatočných investícií. To vytvára predpoklad pre podporu a vznik väčšieho množstva pracovných príležitostí. Aj v prípade sociálnych vplyvov budú však tieto vznikať až v prípade konkrétnych opatrení investičnej pomoci. </w:t>
            </w:r>
          </w:p>
          <w:p w:rsidR="00132159" w:rsidRPr="000741B0" w:rsidRDefault="00132159" w:rsidP="00B1003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Jednotlivé návrhy na poskytnutie investičnej pomoci sú v rámci schvaľovacieho procesu predkladané na riadne pripomienko</w:t>
            </w:r>
            <w:r w:rsidR="00312A2C">
              <w:rPr>
                <w:rFonts w:ascii="Times New Roman" w:hAnsi="Times New Roman" w:cs="Times New Roman"/>
              </w:rPr>
              <w:t>vé konanie a rokovanie vlády SR</w:t>
            </w:r>
            <w:r>
              <w:rPr>
                <w:rFonts w:ascii="Times New Roman" w:hAnsi="Times New Roman" w:cs="Times New Roman"/>
              </w:rPr>
              <w:t>, vrátane samostatnej doložky vybraných vplyvov</w:t>
            </w:r>
            <w:r w:rsidR="00312A2C">
              <w:rPr>
                <w:rFonts w:ascii="Times New Roman" w:hAnsi="Times New Roman" w:cs="Times New Roman"/>
              </w:rPr>
              <w:t>.</w:t>
            </w:r>
          </w:p>
        </w:tc>
      </w:tr>
      <w:tr w:rsidR="00132159" w:rsidRPr="000741B0" w:rsidTr="00B1003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11. Kontakt na spracovateľa</w:t>
            </w:r>
          </w:p>
        </w:tc>
      </w:tr>
      <w:tr w:rsidR="00132159" w:rsidRPr="000741B0" w:rsidTr="00B10032">
        <w:trPr>
          <w:trHeight w:val="39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i/>
              </w:rPr>
            </w:pPr>
            <w:r w:rsidRPr="000741B0">
              <w:rPr>
                <w:rFonts w:ascii="Times New Roman" w:hAnsi="Times New Roman" w:cs="Times New Roman"/>
                <w:i/>
              </w:rPr>
              <w:t>Boris Škoda boris.skoda</w:t>
            </w:r>
            <w:r>
              <w:rPr>
                <w:rFonts w:ascii="Times New Roman" w:hAnsi="Times New Roman" w:cs="Times New Roman"/>
                <w:i/>
              </w:rPr>
              <w:t>@</w:t>
            </w:r>
            <w:r w:rsidRPr="000741B0">
              <w:rPr>
                <w:rFonts w:ascii="Times New Roman" w:hAnsi="Times New Roman" w:cs="Times New Roman"/>
                <w:i/>
              </w:rPr>
              <w:t>mhsr.sk</w:t>
            </w:r>
          </w:p>
        </w:tc>
      </w:tr>
      <w:tr w:rsidR="00132159" w:rsidRPr="000741B0" w:rsidTr="00B1003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12. Zdroje</w:t>
            </w:r>
          </w:p>
        </w:tc>
      </w:tr>
      <w:tr w:rsidR="00132159" w:rsidRPr="000741B0" w:rsidTr="00B10032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0741B0" w:rsidRDefault="00132159" w:rsidP="00B1003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i/>
              </w:rPr>
              <w:t>Uveďte zdroje (štatistiky, prieskumy, spoluprácu s odborníkmi a iné), z ktorých ste pri vypracovávaní doložky, príp. analýz vplyvov vychádzali.</w:t>
            </w:r>
          </w:p>
        </w:tc>
      </w:tr>
      <w:tr w:rsidR="00132159" w:rsidRPr="000741B0" w:rsidTr="00B1003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132159" w:rsidRPr="000741B0" w:rsidRDefault="00132159" w:rsidP="00B10032">
            <w:pPr>
              <w:rPr>
                <w:rFonts w:ascii="Times New Roman" w:hAnsi="Times New Roman" w:cs="Times New Roman"/>
                <w:b/>
              </w:rPr>
            </w:pPr>
            <w:r w:rsidRPr="000741B0">
              <w:rPr>
                <w:rFonts w:ascii="Times New Roman" w:hAnsi="Times New Roman" w:cs="Times New Roman"/>
                <w:b/>
              </w:rPr>
              <w:t>13. Stanovisko Komisie pre posudzovanie vybraných vplyvov z PPK</w:t>
            </w:r>
          </w:p>
        </w:tc>
      </w:tr>
      <w:tr w:rsidR="00132159" w:rsidRPr="000741B0" w:rsidTr="00B10032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2159" w:rsidRPr="008117B9" w:rsidRDefault="00132159" w:rsidP="00B10032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Komisia vyjadrila s návrhom súhlasné stanovisko.</w:t>
            </w:r>
          </w:p>
        </w:tc>
      </w:tr>
    </w:tbl>
    <w:p w:rsidR="00E81C18" w:rsidRDefault="00E81C18"/>
    <w:sectPr w:rsidR="00E81C18" w:rsidSect="002371C0"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59"/>
    <w:rsid w:val="000B71E4"/>
    <w:rsid w:val="00132159"/>
    <w:rsid w:val="00312A2C"/>
    <w:rsid w:val="00801413"/>
    <w:rsid w:val="00E8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159"/>
    <w:pPr>
      <w:ind w:left="720"/>
      <w:contextualSpacing/>
    </w:pPr>
  </w:style>
  <w:style w:type="paragraph" w:customStyle="1" w:styleId="paragraph">
    <w:name w:val="paragraph"/>
    <w:basedOn w:val="Normlny"/>
    <w:rsid w:val="001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32159"/>
  </w:style>
  <w:style w:type="table" w:styleId="Mriekatabuky">
    <w:name w:val="Table Grid"/>
    <w:basedOn w:val="Normlnatabuka"/>
    <w:uiPriority w:val="59"/>
    <w:rsid w:val="001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2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159"/>
    <w:pPr>
      <w:ind w:left="720"/>
      <w:contextualSpacing/>
    </w:pPr>
  </w:style>
  <w:style w:type="paragraph" w:customStyle="1" w:styleId="paragraph">
    <w:name w:val="paragraph"/>
    <w:basedOn w:val="Normlny"/>
    <w:rsid w:val="0013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32159"/>
  </w:style>
  <w:style w:type="table" w:styleId="Mriekatabuky">
    <w:name w:val="Table Grid"/>
    <w:basedOn w:val="Normlnatabuka"/>
    <w:uiPriority w:val="59"/>
    <w:rsid w:val="001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13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3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2020-11-18T10:48:00Z</dcterms:created>
  <dcterms:modified xsi:type="dcterms:W3CDTF">2020-12-02T08:25:00Z</dcterms:modified>
</cp:coreProperties>
</file>