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50" w:rsidRPr="00F8535B" w:rsidRDefault="00445E50" w:rsidP="00445E50">
      <w:pPr>
        <w:spacing w:after="160" w:line="259" w:lineRule="auto"/>
        <w:jc w:val="center"/>
        <w:rPr>
          <w:b/>
          <w:bCs/>
          <w:color w:val="FF0000"/>
        </w:rPr>
      </w:pPr>
      <w:r w:rsidRPr="00F8535B">
        <w:rPr>
          <w:b/>
          <w:bCs/>
        </w:rPr>
        <w:t>Doložka vybraných vplyvov</w:t>
      </w:r>
    </w:p>
    <w:p w:rsidR="00445E50" w:rsidRPr="00BB5CBB" w:rsidRDefault="00445E50" w:rsidP="00445E50">
      <w:pPr>
        <w:ind w:left="426"/>
        <w:contextualSpacing/>
        <w:rPr>
          <w:b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BC5A3D">
              <w:rPr>
                <w:b/>
              </w:rPr>
              <w:t>Zá</w:t>
            </w:r>
            <w:r w:rsidRPr="00D5254E">
              <w:rPr>
                <w:b/>
              </w:rPr>
              <w:t>kladné údaje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206AB5">
            <w:pPr>
              <w:ind w:left="142"/>
              <w:contextualSpacing/>
              <w:rPr>
                <w:b/>
              </w:rPr>
            </w:pPr>
            <w:r w:rsidRPr="00D5254E">
              <w:rPr>
                <w:b/>
              </w:rPr>
              <w:t>Názov materiálu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445E50" w:rsidRPr="00D5254E" w:rsidRDefault="00445E50" w:rsidP="00206AB5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D5254E">
              <w:rPr>
                <w:color w:val="000000"/>
                <w:sz w:val="20"/>
                <w:szCs w:val="20"/>
              </w:rPr>
              <w:t xml:space="preserve">Návrh nariadenia vlády Slovenskej republiky, </w:t>
            </w:r>
            <w:r w:rsidRPr="008E63DC">
              <w:rPr>
                <w:color w:val="000000"/>
                <w:sz w:val="20"/>
                <w:szCs w:val="20"/>
              </w:rPr>
              <w:t>ktorým sa mení nariadenie vlády č. 50/2002 Z.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63DC">
              <w:rPr>
                <w:color w:val="000000"/>
                <w:sz w:val="20"/>
                <w:szCs w:val="20"/>
              </w:rPr>
              <w:t>z. o úhrade za dobývací priestor, úhrade za vydobyté nerasty a o úhrade za uskladňovanie plynov alebo kvapalín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206AB5">
            <w:pPr>
              <w:ind w:left="142"/>
              <w:contextualSpacing/>
              <w:rPr>
                <w:b/>
              </w:rPr>
            </w:pPr>
            <w:r w:rsidRPr="00D5254E">
              <w:rPr>
                <w:b/>
              </w:rPr>
              <w:t>Predkladateľ (a spolupredkladateľ)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Ministerstvo hospodárstva Slovenskej republiky </w:t>
            </w:r>
          </w:p>
        </w:tc>
      </w:tr>
      <w:tr w:rsidR="00445E50" w:rsidRPr="00D5254E" w:rsidTr="00206AB5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45E50" w:rsidRPr="00D5254E" w:rsidRDefault="00445E50" w:rsidP="00206AB5">
            <w:pPr>
              <w:ind w:left="142"/>
              <w:contextualSpacing/>
              <w:rPr>
                <w:b/>
              </w:rPr>
            </w:pPr>
            <w:r w:rsidRPr="00D5254E">
              <w:rPr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Materiál nelegislatívnej povahy</w:t>
            </w:r>
          </w:p>
        </w:tc>
      </w:tr>
      <w:tr w:rsidR="00445E50" w:rsidRPr="00D5254E" w:rsidTr="00206AB5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445E50" w:rsidRPr="00D5254E" w:rsidRDefault="00445E50" w:rsidP="00206AB5">
            <w:pPr>
              <w:ind w:left="175" w:hanging="175"/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Materiál legislatívnej povahy</w:t>
            </w:r>
          </w:p>
        </w:tc>
      </w:tr>
      <w:tr w:rsidR="00445E50" w:rsidRPr="00D5254E" w:rsidTr="00206AB5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Transpozícia práva EÚ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V prípade transpozície uveďte zoznam transponovaných predpisov:</w:t>
            </w:r>
          </w:p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  <w:vAlign w:val="center"/>
          </w:tcPr>
          <w:p w:rsidR="00445E50" w:rsidRPr="00D5254E" w:rsidRDefault="00445E50" w:rsidP="00206AB5">
            <w:pPr>
              <w:ind w:left="142"/>
              <w:contextualSpacing/>
              <w:rPr>
                <w:b/>
              </w:rPr>
            </w:pPr>
            <w:r w:rsidRPr="00D5254E"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vAlign w:val="center"/>
          </w:tcPr>
          <w:p w:rsidR="00445E50" w:rsidRPr="00D5254E" w:rsidRDefault="00445E50" w:rsidP="00206AB5">
            <w:r w:rsidRPr="00D5254E">
              <w:t>október 20</w:t>
            </w:r>
            <w:r>
              <w:t>20</w:t>
            </w:r>
          </w:p>
        </w:tc>
      </w:tr>
      <w:tr w:rsidR="00445E50" w:rsidRPr="00D5254E" w:rsidTr="00206AB5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45E50" w:rsidRPr="00D5254E" w:rsidRDefault="00445E50" w:rsidP="00206AB5">
            <w:pPr>
              <w:ind w:left="142"/>
              <w:contextualSpacing/>
              <w:rPr>
                <w:b/>
              </w:rPr>
            </w:pPr>
            <w:r w:rsidRPr="00D5254E"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vAlign w:val="center"/>
          </w:tcPr>
          <w:p w:rsidR="00445E50" w:rsidRPr="00D5254E" w:rsidRDefault="00445E50" w:rsidP="00206AB5">
            <w:r w:rsidRPr="00D5254E">
              <w:t xml:space="preserve">október </w:t>
            </w:r>
            <w:r>
              <w:t xml:space="preserve">– november </w:t>
            </w:r>
            <w:r w:rsidRPr="00D5254E">
              <w:t>20</w:t>
            </w:r>
            <w:r>
              <w:t>20</w:t>
            </w:r>
          </w:p>
        </w:tc>
      </w:tr>
      <w:tr w:rsidR="00445E50" w:rsidRPr="00D5254E" w:rsidTr="00206AB5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45E50" w:rsidRPr="00D5254E" w:rsidRDefault="00445E50" w:rsidP="00206AB5">
            <w:pPr>
              <w:ind w:left="142"/>
              <w:contextualSpacing/>
              <w:rPr>
                <w:b/>
              </w:rPr>
            </w:pPr>
            <w:r w:rsidRPr="00D5254E">
              <w:rPr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vAlign w:val="center"/>
          </w:tcPr>
          <w:p w:rsidR="00445E50" w:rsidRPr="00D5254E" w:rsidRDefault="00445E50" w:rsidP="00206AB5">
            <w:r w:rsidRPr="00D5254E">
              <w:t>november - december  20</w:t>
            </w:r>
            <w:r>
              <w:t>20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Definícia problému</w:t>
            </w:r>
          </w:p>
        </w:tc>
      </w:tr>
      <w:tr w:rsidR="00445E50" w:rsidRPr="00D5254E" w:rsidTr="00206AB5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45E50" w:rsidRPr="00FC49B9" w:rsidRDefault="00445E50" w:rsidP="00206AB5">
            <w:pPr>
              <w:rPr>
                <w:i/>
                <w:sz w:val="20"/>
                <w:szCs w:val="20"/>
              </w:rPr>
            </w:pPr>
            <w:r w:rsidRPr="00FC49B9">
              <w:rPr>
                <w:i/>
                <w:sz w:val="20"/>
                <w:szCs w:val="20"/>
              </w:rPr>
              <w:t>Uveďte základné problémy, na ktoré navrhovaná regulácia reaguje.</w:t>
            </w:r>
          </w:p>
          <w:p w:rsidR="00445E50" w:rsidRPr="00FC49B9" w:rsidRDefault="00445E50" w:rsidP="00206AB5">
            <w:pPr>
              <w:jc w:val="both"/>
              <w:rPr>
                <w:sz w:val="20"/>
                <w:szCs w:val="20"/>
              </w:rPr>
            </w:pPr>
            <w:r w:rsidRPr="00FC49B9">
              <w:rPr>
                <w:sz w:val="20"/>
                <w:szCs w:val="20"/>
              </w:rPr>
              <w:t>Návrh nariadenia vlády Slovenskej republiky, ktorým sa mení nariadenie vlády č. 50/2002 Z.</w:t>
            </w:r>
            <w:r>
              <w:rPr>
                <w:sz w:val="20"/>
                <w:szCs w:val="20"/>
              </w:rPr>
              <w:t xml:space="preserve"> </w:t>
            </w:r>
            <w:r w:rsidRPr="00FC49B9">
              <w:rPr>
                <w:sz w:val="20"/>
                <w:szCs w:val="20"/>
              </w:rPr>
              <w:t xml:space="preserve">z. o úhrade za dobývací priestor, úhrade za vydobyté nerasty a o úhrade za uskladňovanie plynov alebo kvapalín sa predkladá z dôvodov: </w:t>
            </w:r>
          </w:p>
          <w:p w:rsidR="00445E50" w:rsidRPr="00FC49B9" w:rsidRDefault="00445E50" w:rsidP="00445E50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  <w:r w:rsidRPr="00FC49B9">
              <w:rPr>
                <w:sz w:val="20"/>
                <w:szCs w:val="20"/>
              </w:rPr>
              <w:t xml:space="preserve">pre ďalšie časovo neohraničené trvanie zníženia sadzby úhrady za vydobyté nerasty nie sú objektívne dôvody  </w:t>
            </w:r>
          </w:p>
          <w:p w:rsidR="00445E50" w:rsidRPr="00FC49B9" w:rsidRDefault="00445E50" w:rsidP="00445E50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  <w:r w:rsidRPr="00FC49B9">
              <w:rPr>
                <w:sz w:val="20"/>
                <w:szCs w:val="20"/>
              </w:rPr>
              <w:t>zavedenie časového ohraničenia trvania zníženia sadzby úhrady pre lignit a uhlie do roku 2023 je v súlade s definovaným všeobecným hospodá</w:t>
            </w:r>
            <w:bookmarkStart w:id="0" w:name="_GoBack"/>
            <w:bookmarkEnd w:id="0"/>
            <w:r w:rsidRPr="00FC49B9">
              <w:rPr>
                <w:sz w:val="20"/>
                <w:szCs w:val="20"/>
              </w:rPr>
              <w:t>rskym záujmom v zmysle uznesenia vlády č. 580 z 12. 12. 2018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Ciele a výsledný stav</w:t>
            </w:r>
          </w:p>
        </w:tc>
      </w:tr>
      <w:tr w:rsidR="00445E50" w:rsidRPr="00D5254E" w:rsidTr="00206AB5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45E50" w:rsidRPr="00FC49B9" w:rsidRDefault="00445E50" w:rsidP="00206AB5">
            <w:pPr>
              <w:rPr>
                <w:i/>
                <w:sz w:val="20"/>
                <w:szCs w:val="20"/>
              </w:rPr>
            </w:pPr>
            <w:r w:rsidRPr="00FC49B9">
              <w:rPr>
                <w:i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445E50" w:rsidRPr="00FC49B9" w:rsidRDefault="00445E50" w:rsidP="00206AB5">
            <w:pPr>
              <w:rPr>
                <w:sz w:val="20"/>
                <w:szCs w:val="20"/>
              </w:rPr>
            </w:pPr>
            <w:r w:rsidRPr="00FC49B9">
              <w:rPr>
                <w:sz w:val="20"/>
                <w:szCs w:val="20"/>
              </w:rPr>
              <w:t>Zrušenie časovo neobmedzeného trvania prechodného ustanovenia nariadenia vlády</w:t>
            </w:r>
            <w:r>
              <w:rPr>
                <w:sz w:val="20"/>
                <w:szCs w:val="20"/>
              </w:rPr>
              <w:t>,</w:t>
            </w:r>
            <w:r w:rsidRPr="00FC49B9">
              <w:rPr>
                <w:sz w:val="20"/>
                <w:szCs w:val="20"/>
              </w:rPr>
              <w:t xml:space="preserve"> a tým uplatňovanie sadzby úhrad v súlade s prílohou č. 2 nariadenia vlády.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Dotknuté subjekty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 subjekty, ktorých sa zmeny návrhu dotknú priamo aj nepriamo:</w:t>
            </w:r>
          </w:p>
          <w:p w:rsidR="00445E50" w:rsidRDefault="00445E50" w:rsidP="00206AB5">
            <w:pPr>
              <w:rPr>
                <w:sz w:val="20"/>
                <w:szCs w:val="20"/>
              </w:rPr>
            </w:pPr>
            <w:r w:rsidRPr="00AE4A33">
              <w:rPr>
                <w:sz w:val="20"/>
                <w:szCs w:val="20"/>
              </w:rPr>
              <w:t>Podnikateľské subjekty ťažiace nerasty, z ktorých možno priemyselne vyrábať kovy, s výnimkou rúd zlata a striebra a lignit a uhlie</w:t>
            </w:r>
            <w:r>
              <w:rPr>
                <w:sz w:val="20"/>
                <w:szCs w:val="20"/>
              </w:rPr>
              <w:t>.</w:t>
            </w:r>
          </w:p>
          <w:p w:rsidR="00445E50" w:rsidRPr="002260E4" w:rsidRDefault="00445E50" w:rsidP="0020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životného prostredia SR ako správca Environmentálneho fondu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Alternatívne riešenia</w:t>
            </w:r>
          </w:p>
        </w:tc>
      </w:tr>
      <w:tr w:rsidR="00445E50" w:rsidRPr="00D5254E" w:rsidTr="00206AB5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Aké alternatívne riešenia boli posudzované?</w:t>
            </w:r>
          </w:p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445E50" w:rsidRPr="00D5254E" w:rsidRDefault="00445E50" w:rsidP="00206AB5">
            <w:pPr>
              <w:jc w:val="both"/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  <w:u w:val="single"/>
              </w:rPr>
              <w:t>Alternatíva 0:</w:t>
            </w:r>
            <w:r w:rsidRPr="00D5254E">
              <w:rPr>
                <w:sz w:val="20"/>
                <w:szCs w:val="20"/>
              </w:rPr>
              <w:t xml:space="preserve"> zachovani</w:t>
            </w:r>
            <w:r>
              <w:rPr>
                <w:sz w:val="20"/>
                <w:szCs w:val="20"/>
              </w:rPr>
              <w:t>e</w:t>
            </w:r>
            <w:r w:rsidRPr="00D5254E">
              <w:rPr>
                <w:sz w:val="20"/>
                <w:szCs w:val="20"/>
              </w:rPr>
              <w:t xml:space="preserve"> súčasného </w:t>
            </w:r>
            <w:r>
              <w:rPr>
                <w:sz w:val="20"/>
                <w:szCs w:val="20"/>
              </w:rPr>
              <w:t>stavu</w:t>
            </w:r>
          </w:p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Vykonávacie predpisy</w:t>
            </w:r>
          </w:p>
        </w:tc>
      </w:tr>
      <w:tr w:rsidR="00445E50" w:rsidRPr="00D5254E" w:rsidTr="00206AB5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</w:rPr>
              <w:t>☐</w:t>
            </w:r>
            <w:r w:rsidRPr="00D5254E">
              <w:rPr>
                <w:sz w:val="20"/>
                <w:szCs w:val="20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</w:rPr>
              <w:t>☒</w:t>
            </w:r>
            <w:r w:rsidRPr="00D5254E">
              <w:rPr>
                <w:sz w:val="20"/>
                <w:szCs w:val="20"/>
              </w:rPr>
              <w:t xml:space="preserve">  Nie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445E50" w:rsidRPr="00D5254E" w:rsidRDefault="00445E50" w:rsidP="00206AB5">
            <w:pPr>
              <w:jc w:val="both"/>
              <w:rPr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 xml:space="preserve">Transpozícia práva EÚ </w:t>
            </w:r>
          </w:p>
        </w:tc>
      </w:tr>
      <w:tr w:rsidR="00445E50" w:rsidRPr="00D5254E" w:rsidTr="00206AB5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445E50" w:rsidRPr="00D5254E" w:rsidTr="00206AB5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Preskúmanie účelnosti**</w:t>
            </w: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</w:tc>
      </w:tr>
      <w:tr w:rsidR="00445E50" w:rsidRPr="00D5254E" w:rsidTr="00206AB5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45E50" w:rsidRPr="00D5254E" w:rsidRDefault="00445E50" w:rsidP="00206AB5">
            <w:pPr>
              <w:ind w:left="142" w:hanging="142"/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* vyplniť iba v prípade, ak materiál nie je zahrnutý do Plánu práce vlády Slovenskej republiky alebo Plánu legislatívnych úloh vlády Slovenskej republiky.</w:t>
            </w:r>
          </w:p>
          <w:p w:rsidR="00445E50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** nepovinné</w:t>
            </w:r>
          </w:p>
          <w:p w:rsidR="00C23A65" w:rsidRPr="00D5254E" w:rsidRDefault="00C23A65" w:rsidP="00206AB5">
            <w:pPr>
              <w:rPr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</w:p>
        </w:tc>
      </w:tr>
      <w:tr w:rsidR="00445E50" w:rsidRPr="00D5254E" w:rsidTr="00206AB5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Vplyvy navrhovaného materiálu</w:t>
            </w:r>
          </w:p>
        </w:tc>
      </w:tr>
      <w:tr w:rsidR="00445E50" w:rsidRPr="00D5254E" w:rsidTr="00206AB5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45E50" w:rsidRPr="00C13317" w:rsidRDefault="00445E50" w:rsidP="00206AB5">
            <w:pPr>
              <w:rPr>
                <w:b/>
                <w:sz w:val="20"/>
                <w:szCs w:val="20"/>
              </w:rPr>
            </w:pPr>
            <w:r w:rsidRPr="00C13317">
              <w:rPr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vAlign w:val="center"/>
          </w:tcPr>
          <w:p w:rsidR="00445E50" w:rsidRPr="00FC49B9" w:rsidRDefault="00445E50" w:rsidP="00206AB5">
            <w:pPr>
              <w:jc w:val="center"/>
              <w:rPr>
                <w:sz w:val="20"/>
                <w:szCs w:val="20"/>
              </w:rPr>
            </w:pPr>
            <w:r w:rsidRPr="00FC49B9">
              <w:rPr>
                <w:rFonts w:eastAsia="MS Mincho" w:hAnsi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rPr>
                <w:b/>
                <w:sz w:val="20"/>
                <w:szCs w:val="20"/>
              </w:rPr>
            </w:pPr>
            <w:r w:rsidRPr="00FC49B9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FC49B9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rPr>
                <w:b/>
                <w:sz w:val="20"/>
                <w:szCs w:val="20"/>
              </w:rPr>
            </w:pPr>
            <w:r w:rsidRPr="00FC49B9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C49B9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D5254E" w:rsidRDefault="00445E50" w:rsidP="00206AB5">
            <w:pPr>
              <w:ind w:left="34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445E50" w:rsidRPr="00C13317" w:rsidRDefault="00445E50" w:rsidP="00206AB5">
            <w:pPr>
              <w:rPr>
                <w:sz w:val="20"/>
                <w:szCs w:val="20"/>
              </w:rPr>
            </w:pPr>
            <w:r w:rsidRPr="00C13317">
              <w:rPr>
                <w:sz w:val="20"/>
                <w:szCs w:val="20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vAlign w:val="center"/>
          </w:tcPr>
          <w:p w:rsidR="00445E50" w:rsidRPr="00FC49B9" w:rsidRDefault="00445E50" w:rsidP="00206AB5">
            <w:pPr>
              <w:jc w:val="center"/>
              <w:rPr>
                <w:sz w:val="20"/>
                <w:szCs w:val="20"/>
              </w:rPr>
            </w:pPr>
            <w:r w:rsidRPr="00FC49B9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rPr>
                <w:sz w:val="20"/>
                <w:szCs w:val="20"/>
              </w:rPr>
            </w:pPr>
            <w:r w:rsidRPr="00FC49B9">
              <w:rPr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FC49B9" w:rsidRDefault="00206AB5" w:rsidP="00206AB5">
            <w:pPr>
              <w:jc w:val="center"/>
              <w:rPr>
                <w:sz w:val="20"/>
                <w:szCs w:val="20"/>
              </w:rPr>
            </w:pPr>
            <w:r w:rsidRPr="00FC49B9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rPr>
                <w:sz w:val="20"/>
                <w:szCs w:val="20"/>
              </w:rPr>
            </w:pPr>
            <w:r w:rsidRPr="00FC49B9">
              <w:rPr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FC49B9" w:rsidRDefault="00445E50" w:rsidP="00206AB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C49B9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D5254E" w:rsidRDefault="00445E50" w:rsidP="00206AB5">
            <w:pPr>
              <w:ind w:left="34"/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Čiastočne</w:t>
            </w:r>
          </w:p>
        </w:tc>
      </w:tr>
      <w:tr w:rsidR="00445E50" w:rsidRPr="00D5254E" w:rsidTr="00206AB5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vAlign w:val="center"/>
          </w:tcPr>
          <w:p w:rsidR="00445E50" w:rsidRPr="00A65A3B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A65A3B">
              <w:rPr>
                <w:rFonts w:eastAsia="MS Mincho" w:hAnsi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A65A3B" w:rsidRDefault="00445E50" w:rsidP="00206AB5">
            <w:pPr>
              <w:ind w:right="-108"/>
              <w:rPr>
                <w:b/>
                <w:sz w:val="20"/>
                <w:szCs w:val="20"/>
              </w:rPr>
            </w:pPr>
            <w:r w:rsidRPr="00A65A3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A65A3B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A65A3B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A65A3B" w:rsidRDefault="00445E50" w:rsidP="00206AB5">
            <w:pPr>
              <w:rPr>
                <w:b/>
                <w:sz w:val="20"/>
                <w:szCs w:val="20"/>
              </w:rPr>
            </w:pPr>
            <w:r w:rsidRPr="00A65A3B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055541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A65A3B">
              <w:rPr>
                <w:rFonts w:eastAsia="MS Mincho" w:hAnsi="MS Mincho" w:hint="eastAsia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055541" w:rsidRDefault="00445E50" w:rsidP="00206AB5">
            <w:pPr>
              <w:ind w:left="54"/>
              <w:rPr>
                <w:b/>
                <w:sz w:val="20"/>
                <w:szCs w:val="20"/>
              </w:rPr>
            </w:pPr>
            <w:r w:rsidRPr="00055541">
              <w:rPr>
                <w:b/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ind w:right="-108"/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206AB5" w:rsidP="00206AB5">
            <w:pPr>
              <w:jc w:val="center"/>
              <w:rPr>
                <w:sz w:val="20"/>
                <w:szCs w:val="20"/>
              </w:rPr>
            </w:pPr>
            <w:r w:rsidRPr="00D5254E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D5254E" w:rsidRDefault="00445E50" w:rsidP="00206AB5">
            <w:pPr>
              <w:ind w:left="54"/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ind w:right="-108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D5254E" w:rsidRDefault="00445E50" w:rsidP="00206AB5">
            <w:pPr>
              <w:ind w:left="54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shd w:val="clear" w:color="auto" w:fill="E2E2E2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ind w:right="-108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D5254E" w:rsidRDefault="00445E50" w:rsidP="00206AB5">
            <w:pPr>
              <w:ind w:left="54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shd w:val="clear" w:color="auto" w:fill="D9D9D9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ind w:right="-108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445E50" w:rsidRPr="00D5254E" w:rsidRDefault="00445E50" w:rsidP="00206AB5">
            <w:pPr>
              <w:ind w:left="54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tcBorders>
              <w:bottom w:val="nil"/>
            </w:tcBorders>
            <w:shd w:val="clear" w:color="auto" w:fill="D9D9D9"/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45E50" w:rsidRPr="00D5254E" w:rsidRDefault="00445E50" w:rsidP="00206AB5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3812" w:type="dxa"/>
            <w:tcBorders>
              <w:top w:val="nil"/>
              <w:bottom w:val="nil"/>
            </w:tcBorders>
            <w:shd w:val="clear" w:color="auto" w:fill="D9D9D9"/>
          </w:tcPr>
          <w:p w:rsidR="00445E50" w:rsidRPr="00D5254E" w:rsidRDefault="00445E50" w:rsidP="00206AB5">
            <w:pPr>
              <w:ind w:left="196" w:hanging="196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ind w:right="-108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45E50" w:rsidRPr="00D5254E" w:rsidRDefault="00445E50" w:rsidP="00206AB5">
            <w:pPr>
              <w:ind w:left="54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Negatívne</w:t>
            </w:r>
          </w:p>
        </w:tc>
      </w:tr>
      <w:tr w:rsidR="00445E50" w:rsidRPr="00D5254E" w:rsidTr="00206AB5">
        <w:tc>
          <w:tcPr>
            <w:tcW w:w="3812" w:type="dxa"/>
            <w:tcBorders>
              <w:top w:val="nil"/>
            </w:tcBorders>
            <w:shd w:val="clear" w:color="auto" w:fill="D9D9D9"/>
          </w:tcPr>
          <w:p w:rsidR="00445E50" w:rsidRPr="00D5254E" w:rsidRDefault="00445E50" w:rsidP="00206AB5">
            <w:pPr>
              <w:ind w:left="168" w:hanging="168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445E50" w:rsidRPr="00D5254E" w:rsidRDefault="00445E50" w:rsidP="00206AB5">
            <w:pPr>
              <w:ind w:right="-108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D5254E">
              <w:rPr>
                <w:rFonts w:eastAsia="MS Mincho" w:hAnsi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445E50" w:rsidRPr="00D5254E" w:rsidRDefault="00445E50" w:rsidP="00206AB5">
            <w:pPr>
              <w:ind w:left="54"/>
              <w:rPr>
                <w:b/>
                <w:sz w:val="20"/>
                <w:szCs w:val="20"/>
              </w:rPr>
            </w:pPr>
            <w:r w:rsidRPr="00D5254E">
              <w:rPr>
                <w:b/>
                <w:sz w:val="20"/>
                <w:szCs w:val="20"/>
              </w:rPr>
              <w:t>Negatívne</w:t>
            </w:r>
          </w:p>
        </w:tc>
      </w:tr>
    </w:tbl>
    <w:p w:rsidR="00445E50" w:rsidRPr="00D5254E" w:rsidRDefault="00445E50" w:rsidP="00445E50">
      <w:pPr>
        <w:ind w:right="141"/>
        <w:rPr>
          <w:b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445E50" w:rsidRPr="00D5254E" w:rsidTr="00206AB5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Poznámky</w:t>
            </w:r>
          </w:p>
        </w:tc>
      </w:tr>
      <w:tr w:rsidR="00445E50" w:rsidRPr="00D5254E" w:rsidTr="00206AB5">
        <w:trPr>
          <w:trHeight w:val="830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445E50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V prípade potreby uveďte doplňujúce informácie k návrhu.</w:t>
            </w:r>
          </w:p>
          <w:p w:rsidR="004E1A6E" w:rsidRPr="00206AB5" w:rsidRDefault="00206AB5" w:rsidP="00206AB5">
            <w:pPr>
              <w:jc w:val="both"/>
              <w:rPr>
                <w:sz w:val="20"/>
                <w:szCs w:val="20"/>
              </w:rPr>
            </w:pPr>
            <w:r w:rsidRPr="00206AB5">
              <w:rPr>
                <w:sz w:val="20"/>
                <w:szCs w:val="20"/>
              </w:rPr>
              <w:t xml:space="preserve">Odstránenie prechodného zníženia sadzby </w:t>
            </w:r>
            <w:r w:rsidR="00C7158E">
              <w:rPr>
                <w:sz w:val="20"/>
                <w:szCs w:val="20"/>
              </w:rPr>
              <w:t>ruší</w:t>
            </w:r>
            <w:r w:rsidRPr="00206AB5">
              <w:rPr>
                <w:sz w:val="20"/>
                <w:szCs w:val="20"/>
              </w:rPr>
              <w:t xml:space="preserve"> časovo neobmedzenú výnimku na platbu úhrad za vydobyté nerasty len pre niektoré podnikateľské subjekty. Vzniknutým vplyvom na podnikateľské prostredie je výlučne finančný dopad na úzku skupinu podnikateľov – podľa aktuálnych informácií sa jedná o dve </w:t>
            </w:r>
            <w:proofErr w:type="spellStart"/>
            <w:r w:rsidRPr="00206AB5">
              <w:rPr>
                <w:sz w:val="20"/>
                <w:szCs w:val="20"/>
              </w:rPr>
              <w:t>ťažiarske</w:t>
            </w:r>
            <w:proofErr w:type="spellEnd"/>
            <w:r w:rsidRPr="00206AB5">
              <w:rPr>
                <w:sz w:val="20"/>
                <w:szCs w:val="20"/>
              </w:rPr>
              <w:t xml:space="preserve"> spoločnosti. Odstraňuje sa tým časovo neobmedzené zvýhodnenie vybraných podnikateľských subjektov, čo je potrebné považovať za pozitívny vpl</w:t>
            </w:r>
            <w:r w:rsidR="004E1A6E">
              <w:rPr>
                <w:sz w:val="20"/>
                <w:szCs w:val="20"/>
              </w:rPr>
              <w:t xml:space="preserve">yv na </w:t>
            </w:r>
            <w:r w:rsidR="004E1A6E" w:rsidRPr="004E1A6E">
              <w:rPr>
                <w:sz w:val="20"/>
                <w:szCs w:val="20"/>
              </w:rPr>
              <w:t>podnikateľské prostredie. Nedochádza k zmene sadzieb úhrad určených Prílohou č. 2 nariadenia, a teda sa plošne nemení podnikateľské prostredie pre ostatné subjekty podnikajúce v oblasti ťažby nerastných surovín, a to ani v kategórii MSP.</w:t>
            </w:r>
          </w:p>
          <w:p w:rsidR="00953CAD" w:rsidRPr="00953CAD" w:rsidRDefault="004E1A6E" w:rsidP="00953CAD">
            <w:pPr>
              <w:jc w:val="both"/>
              <w:rPr>
                <w:sz w:val="20"/>
                <w:szCs w:val="20"/>
              </w:rPr>
            </w:pPr>
            <w:r w:rsidRPr="00953CAD">
              <w:rPr>
                <w:sz w:val="20"/>
                <w:szCs w:val="20"/>
              </w:rPr>
              <w:t>Zmenou nariadenia nie je vyvolaný priamy ani nepria</w:t>
            </w:r>
            <w:r w:rsidR="008118D4" w:rsidRPr="00953CAD">
              <w:rPr>
                <w:sz w:val="20"/>
                <w:szCs w:val="20"/>
              </w:rPr>
              <w:t xml:space="preserve">my vplyv na životné prostredie. </w:t>
            </w:r>
            <w:r w:rsidR="00953CAD" w:rsidRPr="00953CAD">
              <w:rPr>
                <w:sz w:val="20"/>
                <w:szCs w:val="20"/>
              </w:rPr>
              <w:t>V súlade s platnou banskou legislatívou (zákon o ochrane a využití nerastného bohatstva (banský zákon) 44/1988</w:t>
            </w:r>
            <w:r w:rsidR="00326684">
              <w:rPr>
                <w:sz w:val="20"/>
                <w:szCs w:val="20"/>
              </w:rPr>
              <w:t xml:space="preserve"> Zb., zákon o banskej činnosti, </w:t>
            </w:r>
            <w:r w:rsidR="00953CAD" w:rsidRPr="00953CAD">
              <w:rPr>
                <w:sz w:val="20"/>
                <w:szCs w:val="20"/>
              </w:rPr>
              <w:t>výbušninách a o štátnej banskej správe 51/1988 Zb., vyhláška Slovenského banského úradu o racionálnom využívaní výhradných ložísk, o povoľovaní a ohlasovaní banskej činnosti a ohlasovaní činnosti vykonávanej banským spôsobom 88/1988 Zb.) je organizácia, t. j.</w:t>
            </w:r>
            <w:r w:rsidR="00953CAD">
              <w:rPr>
                <w:sz w:val="20"/>
                <w:szCs w:val="20"/>
              </w:rPr>
              <w:t xml:space="preserve"> podnikateľský subjekt povinný</w:t>
            </w:r>
            <w:r w:rsidR="00B26D70">
              <w:rPr>
                <w:sz w:val="20"/>
                <w:szCs w:val="20"/>
              </w:rPr>
              <w:t xml:space="preserve"> okrem iného</w:t>
            </w:r>
            <w:r w:rsidR="00953CAD" w:rsidRPr="00953CAD">
              <w:rPr>
                <w:sz w:val="20"/>
                <w:szCs w:val="20"/>
              </w:rPr>
              <w:t xml:space="preserve"> dodržiavať zásady ochrany a využitia nerastného bohatstva, požiadavky racionáln</w:t>
            </w:r>
            <w:r w:rsidR="00B26D70">
              <w:rPr>
                <w:sz w:val="20"/>
                <w:szCs w:val="20"/>
              </w:rPr>
              <w:t>eho využívania ložísk nerastov</w:t>
            </w:r>
            <w:r w:rsidR="00953CAD" w:rsidRPr="00953CAD">
              <w:rPr>
                <w:sz w:val="20"/>
                <w:szCs w:val="20"/>
              </w:rPr>
              <w:t>, ako aj požiadavky ochrany pracovného a životného prostredia.</w:t>
            </w:r>
          </w:p>
          <w:p w:rsidR="00953CAD" w:rsidRPr="00953CAD" w:rsidRDefault="008118D4" w:rsidP="00953CAD">
            <w:pPr>
              <w:jc w:val="both"/>
              <w:rPr>
                <w:sz w:val="20"/>
                <w:szCs w:val="20"/>
              </w:rPr>
            </w:pPr>
            <w:r w:rsidRPr="00953CAD">
              <w:rPr>
                <w:sz w:val="20"/>
                <w:szCs w:val="20"/>
              </w:rPr>
              <w:t xml:space="preserve">Podľa platnej legislatívy je príjemcom úhrad Environmentálny fond, ktorý rozhoduje </w:t>
            </w:r>
            <w:r w:rsidR="004E1A6E" w:rsidRPr="00953CAD">
              <w:rPr>
                <w:sz w:val="20"/>
                <w:szCs w:val="20"/>
              </w:rPr>
              <w:t>o poskytovaní fin</w:t>
            </w:r>
            <w:r w:rsidRPr="00953CAD">
              <w:rPr>
                <w:sz w:val="20"/>
                <w:szCs w:val="20"/>
              </w:rPr>
              <w:t>ančných prostriedkov žiadateľom.</w:t>
            </w:r>
          </w:p>
        </w:tc>
      </w:tr>
      <w:tr w:rsidR="00445E50" w:rsidRPr="00D5254E" w:rsidTr="00206AB5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Kontakt na spracovateľa</w:t>
            </w:r>
          </w:p>
        </w:tc>
      </w:tr>
      <w:tr w:rsidR="00445E50" w:rsidRPr="00D5254E" w:rsidTr="00206AB5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445E50" w:rsidRPr="002A3697" w:rsidRDefault="00445E50" w:rsidP="00206AB5">
            <w:pPr>
              <w:rPr>
                <w:color w:val="FF0000"/>
                <w:sz w:val="20"/>
                <w:szCs w:val="20"/>
              </w:rPr>
            </w:pPr>
            <w:r w:rsidRPr="006C794B">
              <w:rPr>
                <w:sz w:val="20"/>
                <w:szCs w:val="20"/>
              </w:rPr>
              <w:t>JUDr. Lukáš Mato, MH SR, e-mail:</w:t>
            </w:r>
            <w:r w:rsidRPr="002A3697"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EB43B2">
                <w:rPr>
                  <w:rStyle w:val="Hypertextovprepojenie"/>
                  <w:sz w:val="20"/>
                  <w:szCs w:val="20"/>
                </w:rPr>
                <w:t>lukas.mato@mhsr.sk</w:t>
              </w:r>
            </w:hyperlink>
            <w:r w:rsidRPr="006C794B">
              <w:rPr>
                <w:sz w:val="20"/>
                <w:szCs w:val="20"/>
              </w:rPr>
              <w:t>, tel. 4854 1925</w:t>
            </w:r>
          </w:p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Zdroje</w:t>
            </w:r>
          </w:p>
        </w:tc>
      </w:tr>
      <w:tr w:rsidR="00445E50" w:rsidRPr="00D5254E" w:rsidTr="00206AB5">
        <w:trPr>
          <w:trHeight w:val="70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45E50" w:rsidRPr="00D5254E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 zdroje(štatistiky, prieskumy, spoluprácu s odborníkmi a iné), z ktorých ste pri vypracovávaní doložky, príp. analýz vplyvov vychádzali.</w:t>
            </w:r>
          </w:p>
        </w:tc>
      </w:tr>
      <w:tr w:rsidR="00445E50" w:rsidRPr="00D5254E" w:rsidTr="00206AB5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45E50" w:rsidRPr="00D5254E" w:rsidRDefault="00445E50" w:rsidP="00445E50">
            <w:pPr>
              <w:numPr>
                <w:ilvl w:val="0"/>
                <w:numId w:val="2"/>
              </w:numPr>
              <w:ind w:left="426"/>
              <w:contextualSpacing/>
              <w:rPr>
                <w:b/>
              </w:rPr>
            </w:pPr>
            <w:r w:rsidRPr="00D5254E">
              <w:rPr>
                <w:b/>
              </w:rPr>
              <w:t>Stanovisko Komisie pre posudzovanie vybraných vplyvov z PPK</w:t>
            </w:r>
          </w:p>
        </w:tc>
      </w:tr>
      <w:tr w:rsidR="00445E50" w:rsidRPr="00D5254E" w:rsidTr="00206AB5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45E50" w:rsidRDefault="00445E50" w:rsidP="00206AB5">
            <w:pPr>
              <w:rPr>
                <w:i/>
                <w:sz w:val="20"/>
                <w:szCs w:val="20"/>
              </w:rPr>
            </w:pPr>
            <w:r w:rsidRPr="00D5254E">
              <w:rPr>
                <w:i/>
                <w:sz w:val="20"/>
                <w:szCs w:val="20"/>
              </w:rPr>
              <w:t>Uveďte stanovisko Komisie pre posudzovanie vybraných vplyvov, ktoré Vám bolo zaslané v rámci predbežného pripomienkového konania</w:t>
            </w:r>
          </w:p>
          <w:p w:rsidR="00973B28" w:rsidRDefault="00973B28" w:rsidP="00973B2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vyjadrila nesúhlasné stanovisko s materiálom predloženým na predbežné pripomienkové konanie s odporúčaním na jeho dopracovanie.</w:t>
            </w:r>
          </w:p>
          <w:p w:rsidR="00D30CDF" w:rsidRDefault="00D30CDF" w:rsidP="00D30CD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uplatnila k materiálu nasledujúce pripomienky a odporúčania:</w:t>
            </w:r>
          </w:p>
          <w:p w:rsidR="00D30CDF" w:rsidRPr="00D30CDF" w:rsidRDefault="00D30CDF" w:rsidP="00D30CDF">
            <w:pPr>
              <w:jc w:val="both"/>
              <w:rPr>
                <w:b/>
                <w:bCs/>
                <w:sz w:val="20"/>
                <w:szCs w:val="20"/>
              </w:rPr>
            </w:pPr>
            <w:r w:rsidRPr="00D30CDF">
              <w:rPr>
                <w:b/>
                <w:bCs/>
                <w:sz w:val="20"/>
                <w:szCs w:val="20"/>
              </w:rPr>
              <w:t xml:space="preserve">K doložke vybraných vplyvov </w:t>
            </w:r>
          </w:p>
          <w:p w:rsidR="00D30CDF" w:rsidRPr="00D30CDF" w:rsidRDefault="00D30CDF" w:rsidP="00D30CDF">
            <w:pPr>
              <w:jc w:val="both"/>
              <w:rPr>
                <w:bCs/>
                <w:sz w:val="20"/>
                <w:szCs w:val="20"/>
              </w:rPr>
            </w:pPr>
            <w:r w:rsidRPr="00D30CDF">
              <w:rPr>
                <w:bCs/>
                <w:sz w:val="20"/>
                <w:szCs w:val="20"/>
              </w:rPr>
              <w:t xml:space="preserve">Komisia žiada dopracovať analýzu vplyvov na rozpočet verejnej správy a analýzu vplyvov na podnikateľské prostredie v súlade s Jednotnou metodikou na posudzovanie vybraných vplyvov. Predkladateľ v doložke vybraných vplyvov vyznačil pozitívne, nezabezpečené vplyvy na rozpočet verejnej správy a pozitívne aj </w:t>
            </w:r>
            <w:r w:rsidRPr="00D30CDF">
              <w:rPr>
                <w:bCs/>
                <w:sz w:val="20"/>
                <w:szCs w:val="20"/>
              </w:rPr>
              <w:lastRenderedPageBreak/>
              <w:t>negatívne vplyvy na podnikateľské prostredie. Tieto stručne pomenoval v časti 10. Poznámky, no v súlade s Jednotnou metodikou je potrebné k týmto vplyvom vypracovať analýzy vplyvov.</w:t>
            </w:r>
          </w:p>
          <w:p w:rsidR="00D30CDF" w:rsidRPr="00D30CDF" w:rsidRDefault="00D30CDF" w:rsidP="00D30CDF">
            <w:pPr>
              <w:jc w:val="both"/>
              <w:rPr>
                <w:bCs/>
                <w:sz w:val="20"/>
                <w:szCs w:val="20"/>
              </w:rPr>
            </w:pPr>
            <w:r w:rsidRPr="00D30CDF">
              <w:rPr>
                <w:bCs/>
                <w:sz w:val="20"/>
                <w:szCs w:val="20"/>
              </w:rPr>
              <w:t>Požadujeme tiež vyznačiť vplyvy na životné prostredie a vypracovať súvisiacu analýzu. Odstránenie prechodného zníženia úhrad za vydobyté nerasty bude po schválení materiálu znamenať zvýšenie nákladov pre skupinu podnikateľov v súčasnosti čerpajúcu výhody. Dá sa preto predpokladať, že to nepriamo povedie k pozitívnym vplyvom na životné prostredie (menšia záťaž na nerasty).</w:t>
            </w:r>
          </w:p>
          <w:p w:rsidR="00D30CDF" w:rsidRPr="00627C94" w:rsidRDefault="00D30CDF" w:rsidP="00D30CDF">
            <w:pPr>
              <w:rPr>
                <w:bCs/>
                <w:sz w:val="20"/>
                <w:szCs w:val="20"/>
              </w:rPr>
            </w:pPr>
            <w:r w:rsidRPr="00627C94">
              <w:rPr>
                <w:bCs/>
                <w:sz w:val="20"/>
                <w:szCs w:val="20"/>
              </w:rPr>
              <w:t>Zároveň v bode 9. doložky vybraných vplyvov žiadame neoznačovať „z toho rozpočtovo zabezpečené vplyvy“ z dôvodu, že ide o pozitívny vplyv na príjmy rozpočtu verejnej správy.</w:t>
            </w:r>
          </w:p>
          <w:p w:rsidR="00445E50" w:rsidRPr="00627C94" w:rsidRDefault="00D30CDF" w:rsidP="00627C94">
            <w:pPr>
              <w:rPr>
                <w:sz w:val="20"/>
                <w:szCs w:val="20"/>
              </w:rPr>
            </w:pPr>
            <w:r w:rsidRPr="00627C94">
              <w:rPr>
                <w:bCs/>
                <w:sz w:val="20"/>
                <w:szCs w:val="20"/>
              </w:rPr>
              <w:t xml:space="preserve">Vyjadrenie predkladateľa: Čiastočne akceptované. Analýza vplyvov na rozpočet verejnej správy a vplyvov na podnikateľské prostredie bola dopracovaná. V bode 9. doložky vybraných vplyvov sa neoznačuje „z toho rozpočtovo zabezpečené vplyvy“. </w:t>
            </w:r>
            <w:r w:rsidRPr="00627C94">
              <w:rPr>
                <w:sz w:val="20"/>
                <w:szCs w:val="20"/>
              </w:rPr>
              <w:t>Zmenou nariadenia nie je vyvolaný vplyv na životné prostred</w:t>
            </w:r>
            <w:r w:rsidR="00627C94" w:rsidRPr="00627C94">
              <w:rPr>
                <w:sz w:val="20"/>
                <w:szCs w:val="20"/>
              </w:rPr>
              <w:t>ie. Odhad dodatočne zvýšených nákladov predstavuje menej ako 1 % zverejnen</w:t>
            </w:r>
            <w:r w:rsidR="00513ECF">
              <w:rPr>
                <w:sz w:val="20"/>
                <w:szCs w:val="20"/>
              </w:rPr>
              <w:t>ých tržieb dotknutých subjektov, p</w:t>
            </w:r>
            <w:r w:rsidR="00F870F6">
              <w:rPr>
                <w:sz w:val="20"/>
                <w:szCs w:val="20"/>
              </w:rPr>
              <w:t>reto sa nedá kauzálne očakávať</w:t>
            </w:r>
            <w:r w:rsidR="00513ECF">
              <w:rPr>
                <w:sz w:val="20"/>
                <w:szCs w:val="20"/>
              </w:rPr>
              <w:t xml:space="preserve"> zmena správania dotknutých subjektov. </w:t>
            </w:r>
            <w:r w:rsidR="00627C94" w:rsidRPr="00627C94">
              <w:rPr>
                <w:sz w:val="20"/>
                <w:szCs w:val="20"/>
              </w:rPr>
              <w:t>V súlade s platnou banskou legislatívou musí organizácia, t. j. podnikateľský subjekt okrem iného dodržiavať zásady ochrany a využitia nerastného bohatstva, požiadavky racionálneho využívania ložísk nerastov, ako aj požiadavky ochrany pracovného a životného prostredia.</w:t>
            </w:r>
          </w:p>
          <w:p w:rsidR="00627C94" w:rsidRPr="00627C94" w:rsidRDefault="00627C94" w:rsidP="00627C94">
            <w:pPr>
              <w:rPr>
                <w:b/>
                <w:sz w:val="20"/>
                <w:szCs w:val="20"/>
              </w:rPr>
            </w:pPr>
            <w:r w:rsidRPr="00627C94">
              <w:rPr>
                <w:b/>
                <w:sz w:val="20"/>
                <w:szCs w:val="20"/>
              </w:rPr>
              <w:t xml:space="preserve">K analýze vplyvov </w:t>
            </w:r>
            <w:r w:rsidR="00CB03A4">
              <w:rPr>
                <w:b/>
                <w:sz w:val="20"/>
                <w:szCs w:val="20"/>
              </w:rPr>
              <w:t xml:space="preserve">na </w:t>
            </w:r>
            <w:r w:rsidRPr="00627C94">
              <w:rPr>
                <w:b/>
                <w:sz w:val="20"/>
                <w:szCs w:val="20"/>
              </w:rPr>
              <w:t xml:space="preserve">rozpočet verejnej správy </w:t>
            </w:r>
          </w:p>
          <w:p w:rsidR="00627C94" w:rsidRPr="00627C94" w:rsidRDefault="00627C94" w:rsidP="00627C94">
            <w:pPr>
              <w:rPr>
                <w:sz w:val="20"/>
                <w:szCs w:val="20"/>
              </w:rPr>
            </w:pPr>
            <w:r w:rsidRPr="00627C94">
              <w:rPr>
                <w:sz w:val="20"/>
                <w:szCs w:val="20"/>
              </w:rPr>
              <w:t xml:space="preserve">V doložke vybraných vplyvov je uvedené, že predložený materiál bude mať pozitívny vplyv na rozpočet verejnej správy. V analýze vplyvov na rozpočet verejnej správy sú kvantifikované príjmy vo výške 141 474 eur na roky 2021 až 2023 a vo výške 392 654 na rok 2024.  </w:t>
            </w:r>
          </w:p>
          <w:p w:rsidR="00627C94" w:rsidRPr="00627C94" w:rsidRDefault="00627C94" w:rsidP="00627C94">
            <w:pPr>
              <w:rPr>
                <w:sz w:val="20"/>
                <w:szCs w:val="20"/>
              </w:rPr>
            </w:pPr>
            <w:r w:rsidRPr="00627C94">
              <w:rPr>
                <w:sz w:val="20"/>
                <w:szCs w:val="20"/>
              </w:rPr>
              <w:t>V súlade s Jednotnou metodikou na posudzovanie vybraných vplyvov je potrebné analýzu vplyvov na rozpočet verejnej správy vypracovať na bežný rok a tri nasledujúce roky, t. j. 2020 až 2023, čo žiadame upraviť.</w:t>
            </w:r>
          </w:p>
          <w:p w:rsidR="00627C94" w:rsidRDefault="00627C94" w:rsidP="006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Vyjadrenie predkladateľa: Akceptované.</w:t>
            </w:r>
          </w:p>
          <w:p w:rsidR="00627C94" w:rsidRPr="00627C94" w:rsidRDefault="00326684" w:rsidP="006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Pripomienky a odporúčania </w:t>
            </w:r>
            <w:r w:rsidR="006401E5">
              <w:rPr>
                <w:sz w:val="20"/>
                <w:szCs w:val="20"/>
              </w:rPr>
              <w:t xml:space="preserve">Komisie </w:t>
            </w:r>
            <w:r>
              <w:rPr>
                <w:sz w:val="20"/>
                <w:szCs w:val="20"/>
              </w:rPr>
              <w:t xml:space="preserve">boli </w:t>
            </w:r>
            <w:r w:rsidR="00513ECF">
              <w:rPr>
                <w:sz w:val="20"/>
                <w:szCs w:val="20"/>
              </w:rPr>
              <w:t xml:space="preserve">predkladateľom </w:t>
            </w:r>
            <w:r>
              <w:rPr>
                <w:sz w:val="20"/>
                <w:szCs w:val="20"/>
              </w:rPr>
              <w:t>zohľadnené v materiáli predloženom na medzirezortné pripomienkové konanie.</w:t>
            </w:r>
          </w:p>
        </w:tc>
      </w:tr>
    </w:tbl>
    <w:p w:rsidR="00445E50" w:rsidRDefault="00445E50" w:rsidP="00445E50">
      <w:pPr>
        <w:jc w:val="center"/>
        <w:rPr>
          <w:b/>
          <w:bCs/>
          <w:sz w:val="28"/>
          <w:szCs w:val="28"/>
        </w:rPr>
      </w:pPr>
    </w:p>
    <w:p w:rsidR="00445E50" w:rsidRDefault="00445E50" w:rsidP="00445E50">
      <w:pPr>
        <w:jc w:val="center"/>
        <w:rPr>
          <w:b/>
          <w:bCs/>
          <w:color w:val="FF0000"/>
          <w:sz w:val="28"/>
          <w:szCs w:val="28"/>
        </w:rPr>
      </w:pPr>
    </w:p>
    <w:p w:rsidR="00445E50" w:rsidRDefault="00445E50" w:rsidP="00445E50">
      <w:pPr>
        <w:jc w:val="center"/>
        <w:rPr>
          <w:b/>
          <w:bCs/>
          <w:color w:val="FF0000"/>
          <w:sz w:val="28"/>
          <w:szCs w:val="28"/>
        </w:rPr>
      </w:pPr>
    </w:p>
    <w:p w:rsidR="00445E50" w:rsidRDefault="00445E50" w:rsidP="00445E50">
      <w:pPr>
        <w:jc w:val="center"/>
        <w:rPr>
          <w:b/>
          <w:bCs/>
          <w:color w:val="FF0000"/>
          <w:sz w:val="28"/>
          <w:szCs w:val="28"/>
        </w:rPr>
      </w:pPr>
    </w:p>
    <w:p w:rsidR="00445E50" w:rsidRDefault="00445E50" w:rsidP="00423721">
      <w:pPr>
        <w:rPr>
          <w:b/>
          <w:bCs/>
          <w:color w:val="FF0000"/>
          <w:sz w:val="28"/>
          <w:szCs w:val="28"/>
        </w:rPr>
      </w:pPr>
    </w:p>
    <w:p w:rsidR="00445E50" w:rsidRDefault="00445E50" w:rsidP="00445E50">
      <w:pPr>
        <w:jc w:val="center"/>
        <w:rPr>
          <w:b/>
          <w:bCs/>
          <w:sz w:val="28"/>
          <w:szCs w:val="28"/>
        </w:rPr>
      </w:pPr>
    </w:p>
    <w:p w:rsidR="00445E50" w:rsidRDefault="00445E50" w:rsidP="00445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5E50" w:rsidRPr="00A65A3B" w:rsidRDefault="00445E50" w:rsidP="00445E50">
      <w:pPr>
        <w:jc w:val="center"/>
        <w:rPr>
          <w:b/>
          <w:bCs/>
          <w:sz w:val="28"/>
          <w:szCs w:val="28"/>
        </w:rPr>
      </w:pPr>
      <w:r w:rsidRPr="00A65A3B">
        <w:rPr>
          <w:b/>
          <w:bCs/>
          <w:sz w:val="28"/>
          <w:szCs w:val="28"/>
        </w:rPr>
        <w:lastRenderedPageBreak/>
        <w:t>Analýza vplyvov na rozpočet verejnej správy,</w:t>
      </w:r>
    </w:p>
    <w:p w:rsidR="00445E50" w:rsidRPr="00BB5CBB" w:rsidRDefault="00445E50" w:rsidP="00445E50">
      <w:pPr>
        <w:jc w:val="center"/>
        <w:rPr>
          <w:b/>
          <w:bCs/>
          <w:color w:val="FF0000"/>
          <w:sz w:val="28"/>
          <w:szCs w:val="28"/>
        </w:rPr>
      </w:pPr>
      <w:r w:rsidRPr="00A65A3B">
        <w:rPr>
          <w:b/>
          <w:bCs/>
          <w:sz w:val="28"/>
          <w:szCs w:val="28"/>
        </w:rPr>
        <w:t>na zamestnanosť vo verejnej správe a financovanie návrhu</w:t>
      </w:r>
    </w:p>
    <w:p w:rsidR="00445E50" w:rsidRPr="00D5254E" w:rsidRDefault="00445E50" w:rsidP="00445E50">
      <w:pPr>
        <w:jc w:val="right"/>
        <w:rPr>
          <w:b/>
          <w:bCs/>
        </w:rPr>
      </w:pPr>
    </w:p>
    <w:p w:rsidR="00445E50" w:rsidRPr="00D5254E" w:rsidRDefault="00445E50" w:rsidP="00445E50">
      <w:pPr>
        <w:rPr>
          <w:b/>
          <w:bCs/>
        </w:rPr>
      </w:pPr>
      <w:r w:rsidRPr="00D5254E">
        <w:rPr>
          <w:b/>
          <w:bCs/>
        </w:rPr>
        <w:t>2.1 Zhrnutie vplyvov na rozpočet verejnej správy v návrhu</w:t>
      </w:r>
    </w:p>
    <w:p w:rsidR="00445E50" w:rsidRPr="00D5254E" w:rsidRDefault="00445E50" w:rsidP="00445E50">
      <w:pPr>
        <w:jc w:val="right"/>
        <w:rPr>
          <w:sz w:val="20"/>
          <w:szCs w:val="20"/>
        </w:rPr>
      </w:pPr>
    </w:p>
    <w:p w:rsidR="00445E50" w:rsidRPr="00D5254E" w:rsidRDefault="00445E50" w:rsidP="00445E50">
      <w:pPr>
        <w:jc w:val="right"/>
      </w:pPr>
      <w:r w:rsidRPr="00D5254E">
        <w:t xml:space="preserve">Tabuľka č. 1 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309"/>
        <w:gridCol w:w="1276"/>
        <w:gridCol w:w="1134"/>
        <w:gridCol w:w="1358"/>
      </w:tblGrid>
      <w:tr w:rsidR="00445E50" w:rsidRPr="00D5254E" w:rsidTr="00206AB5">
        <w:trPr>
          <w:cantSplit/>
          <w:trHeight w:val="194"/>
          <w:jc w:val="center"/>
        </w:trPr>
        <w:tc>
          <w:tcPr>
            <w:tcW w:w="4961" w:type="dxa"/>
            <w:vMerge w:val="restart"/>
            <w:shd w:val="clear" w:color="auto" w:fill="BFBFBF"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bookmarkStart w:id="1" w:name="OLE_LINK1"/>
            <w:r w:rsidRPr="00D5254E">
              <w:rPr>
                <w:b/>
                <w:bCs/>
              </w:rPr>
              <w:t>Vplyvy na rozpočet verejnej správy</w:t>
            </w:r>
          </w:p>
        </w:tc>
        <w:tc>
          <w:tcPr>
            <w:tcW w:w="5077" w:type="dxa"/>
            <w:gridSpan w:val="4"/>
            <w:shd w:val="clear" w:color="auto" w:fill="BFBFBF"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Vplyv na rozpočet verejnej správy (v eurách)</w:t>
            </w:r>
          </w:p>
        </w:tc>
      </w:tr>
      <w:tr w:rsidR="00445E50" w:rsidRPr="00D5254E" w:rsidTr="00206AB5">
        <w:trPr>
          <w:cantSplit/>
          <w:trHeight w:val="70"/>
          <w:jc w:val="center"/>
        </w:trPr>
        <w:tc>
          <w:tcPr>
            <w:tcW w:w="4961" w:type="dxa"/>
            <w:vMerge/>
            <w:shd w:val="clear" w:color="auto" w:fill="BFBFBF"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BFBFBF"/>
            <w:vAlign w:val="center"/>
          </w:tcPr>
          <w:p w:rsidR="00445E50" w:rsidRPr="00E45267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E45267" w:rsidRDefault="00445E50" w:rsidP="007928D5">
            <w:pPr>
              <w:jc w:val="center"/>
              <w:rPr>
                <w:b/>
                <w:bCs/>
              </w:rPr>
            </w:pPr>
            <w:r w:rsidRPr="00E45267">
              <w:rPr>
                <w:b/>
                <w:bCs/>
              </w:rPr>
              <w:t>202</w:t>
            </w:r>
            <w:r w:rsidR="007928D5"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45E50" w:rsidRPr="00E45267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E45267" w:rsidRDefault="007928D5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5E50" w:rsidRPr="00E45267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E45267" w:rsidRDefault="007928D5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358" w:type="dxa"/>
            <w:shd w:val="clear" w:color="auto" w:fill="BFBFBF"/>
            <w:vAlign w:val="center"/>
          </w:tcPr>
          <w:p w:rsidR="00445E50" w:rsidRPr="00E45267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E45267" w:rsidRDefault="007928D5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45E50" w:rsidRPr="00D5254E" w:rsidTr="00206AB5">
        <w:trPr>
          <w:trHeight w:val="70"/>
          <w:jc w:val="center"/>
        </w:trPr>
        <w:tc>
          <w:tcPr>
            <w:tcW w:w="4961" w:type="dxa"/>
            <w:shd w:val="clear" w:color="auto" w:fill="C0C0C0"/>
            <w:noWrap/>
            <w:vAlign w:val="center"/>
          </w:tcPr>
          <w:p w:rsidR="00445E50" w:rsidRPr="00D5254E" w:rsidRDefault="00445E50" w:rsidP="00206AB5">
            <w:r w:rsidRPr="00D5254E">
              <w:rPr>
                <w:b/>
                <w:bCs/>
              </w:rPr>
              <w:t>Príjmy verejnej správy celkom</w:t>
            </w:r>
          </w:p>
        </w:tc>
        <w:tc>
          <w:tcPr>
            <w:tcW w:w="1309" w:type="dxa"/>
            <w:shd w:val="clear" w:color="auto" w:fill="C0C0C0"/>
            <w:vAlign w:val="center"/>
          </w:tcPr>
          <w:p w:rsidR="00445E50" w:rsidRPr="00E45267" w:rsidRDefault="007928D5" w:rsidP="00206A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5E50" w:rsidRPr="00E45267" w:rsidRDefault="00445E50" w:rsidP="00206AB5">
            <w:pPr>
              <w:jc w:val="right"/>
              <w:rPr>
                <w:b/>
                <w:bCs/>
              </w:rPr>
            </w:pPr>
            <w:r w:rsidRPr="00E45267">
              <w:rPr>
                <w:b/>
                <w:bCs/>
              </w:rPr>
              <w:t>141 474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445E50" w:rsidRPr="00E45267" w:rsidRDefault="00445E50" w:rsidP="00206AB5">
            <w:pPr>
              <w:jc w:val="right"/>
              <w:rPr>
                <w:b/>
                <w:bCs/>
              </w:rPr>
            </w:pPr>
            <w:r w:rsidRPr="00E45267">
              <w:rPr>
                <w:b/>
                <w:bCs/>
              </w:rPr>
              <w:t xml:space="preserve">141 474  </w:t>
            </w:r>
          </w:p>
        </w:tc>
        <w:tc>
          <w:tcPr>
            <w:tcW w:w="1358" w:type="dxa"/>
            <w:shd w:val="clear" w:color="auto" w:fill="C0C0C0"/>
            <w:vAlign w:val="center"/>
          </w:tcPr>
          <w:p w:rsidR="00445E50" w:rsidRPr="007928D5" w:rsidRDefault="00445E50" w:rsidP="00206AB5">
            <w:pPr>
              <w:jc w:val="right"/>
              <w:rPr>
                <w:b/>
                <w:bCs/>
              </w:rPr>
            </w:pPr>
            <w:r w:rsidRPr="00E45267">
              <w:rPr>
                <w:b/>
                <w:bCs/>
              </w:rPr>
              <w:t xml:space="preserve">  </w:t>
            </w:r>
            <w:r w:rsidR="007928D5" w:rsidRPr="007928D5">
              <w:rPr>
                <w:b/>
                <w:bCs/>
              </w:rPr>
              <w:t>141 474</w:t>
            </w:r>
          </w:p>
        </w:tc>
      </w:tr>
      <w:tr w:rsidR="00445E50" w:rsidRPr="00E45267" w:rsidTr="00206AB5">
        <w:trPr>
          <w:trHeight w:val="132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r w:rsidRPr="00D5254E">
              <w:t>v tom: za každý subjekt verejnej správy zvlášť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rPr>
                <w:b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rPr>
                <w:b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rPr>
                <w:b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ind w:left="259"/>
              <w:rPr>
                <w:b/>
                <w:bCs/>
                <w:i/>
                <w:iCs/>
              </w:rPr>
            </w:pPr>
            <w:r w:rsidRPr="00D5254E">
              <w:rPr>
                <w:bCs/>
                <w:i/>
                <w:iCs/>
              </w:rPr>
              <w:t>Rozpočtové prostriedky</w:t>
            </w:r>
            <w:r>
              <w:rPr>
                <w:bCs/>
                <w:i/>
                <w:iCs/>
              </w:rPr>
              <w:t xml:space="preserve"> (MŽP SR)</w:t>
            </w:r>
          </w:p>
        </w:tc>
        <w:tc>
          <w:tcPr>
            <w:tcW w:w="1309" w:type="dxa"/>
            <w:noWrap/>
            <w:vAlign w:val="center"/>
          </w:tcPr>
          <w:p w:rsidR="00445E50" w:rsidRPr="0030169E" w:rsidRDefault="007928D5" w:rsidP="00206AB5">
            <w:pPr>
              <w:jc w:val="right"/>
              <w:rPr>
                <w:bCs/>
                <w:i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30169E" w:rsidRDefault="00445E50" w:rsidP="00206AB5">
            <w:pPr>
              <w:jc w:val="right"/>
              <w:rPr>
                <w:bCs/>
                <w:iCs/>
              </w:rPr>
            </w:pPr>
            <w:r w:rsidRPr="0030169E">
              <w:rPr>
                <w:bCs/>
              </w:rPr>
              <w:t>141 474</w:t>
            </w:r>
          </w:p>
        </w:tc>
        <w:tc>
          <w:tcPr>
            <w:tcW w:w="1134" w:type="dxa"/>
            <w:noWrap/>
            <w:vAlign w:val="center"/>
          </w:tcPr>
          <w:p w:rsidR="00445E50" w:rsidRPr="0030169E" w:rsidRDefault="00445E50" w:rsidP="00206AB5">
            <w:pPr>
              <w:jc w:val="right"/>
              <w:rPr>
                <w:bCs/>
                <w:iCs/>
              </w:rPr>
            </w:pPr>
            <w:r w:rsidRPr="0030169E">
              <w:rPr>
                <w:bCs/>
              </w:rPr>
              <w:t>141 474</w:t>
            </w:r>
          </w:p>
        </w:tc>
        <w:tc>
          <w:tcPr>
            <w:tcW w:w="1358" w:type="dxa"/>
            <w:noWrap/>
            <w:vAlign w:val="center"/>
          </w:tcPr>
          <w:p w:rsidR="00445E50" w:rsidRPr="0030169E" w:rsidRDefault="007928D5" w:rsidP="00206AB5">
            <w:pPr>
              <w:jc w:val="right"/>
              <w:rPr>
                <w:bCs/>
                <w:iCs/>
              </w:rPr>
            </w:pPr>
            <w:r w:rsidRPr="0030169E">
              <w:rPr>
                <w:bCs/>
              </w:rPr>
              <w:t>141 474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ind w:left="259"/>
              <w:rPr>
                <w:bCs/>
                <w:i/>
                <w:iCs/>
              </w:rPr>
            </w:pPr>
            <w:r w:rsidRPr="00D5254E">
              <w:rPr>
                <w:bCs/>
                <w:i/>
                <w:iCs/>
              </w:rPr>
              <w:t>EÚ zdroje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ostatn</w:t>
            </w:r>
            <w:r>
              <w:rPr>
                <w:b/>
                <w:bCs/>
                <w:i/>
                <w:iCs/>
              </w:rPr>
              <w:t>é subjekty verejnej správy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shd w:val="clear" w:color="auto" w:fill="C0C0C0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Výdavky verejnej správy celkom</w:t>
            </w:r>
          </w:p>
        </w:tc>
        <w:tc>
          <w:tcPr>
            <w:tcW w:w="1309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358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r w:rsidRPr="00D5254E">
              <w:t>v tom: za každý subjekt verejnej správy / program zvlášť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ind w:left="259"/>
              <w:rPr>
                <w:b/>
                <w:bCs/>
                <w:i/>
                <w:iCs/>
              </w:rPr>
            </w:pPr>
            <w:r w:rsidRPr="00D5254E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Cs/>
                <w:i/>
                <w:iCs/>
              </w:rPr>
            </w:pPr>
            <w:r w:rsidRPr="00D5254E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Cs/>
                <w:i/>
                <w:iCs/>
              </w:rPr>
            </w:pPr>
            <w:r w:rsidRPr="00D5254E">
              <w:rPr>
                <w:bCs/>
                <w:i/>
                <w:iCs/>
              </w:rPr>
              <w:t>Spolufinancovanie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125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  <w:i/>
                <w:iCs/>
              </w:rPr>
              <w:t>- vplyv na o</w:t>
            </w:r>
            <w:r>
              <w:rPr>
                <w:b/>
                <w:bCs/>
                <w:i/>
                <w:iCs/>
              </w:rPr>
              <w:t>statné subjekty verejnej správy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shd w:val="clear" w:color="auto" w:fill="BFBFBF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309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358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shd w:val="clear" w:color="auto" w:fill="BFBFBF"/>
            <w:noWrap/>
            <w:vAlign w:val="center"/>
          </w:tcPr>
          <w:p w:rsidR="00445E50" w:rsidRPr="00D5254E" w:rsidRDefault="00445E50" w:rsidP="00206AB5">
            <w:pPr>
              <w:rPr>
                <w:b/>
              </w:rPr>
            </w:pPr>
            <w:r w:rsidRPr="00D5254E">
              <w:rPr>
                <w:b/>
              </w:rPr>
              <w:t>Vplyv na mzdové výdavky</w:t>
            </w:r>
          </w:p>
        </w:tc>
        <w:tc>
          <w:tcPr>
            <w:tcW w:w="1309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358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  <w:i/>
                <w:iCs/>
              </w:rPr>
            </w:pPr>
            <w:r w:rsidRPr="00D5254E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shd w:val="clear" w:color="auto" w:fill="C0C0C0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Financovanie zabezpečené v rozpočte</w:t>
            </w:r>
          </w:p>
        </w:tc>
        <w:tc>
          <w:tcPr>
            <w:tcW w:w="1309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358" w:type="dxa"/>
            <w:shd w:val="clear" w:color="auto" w:fill="C0C0C0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noWrap/>
            <w:vAlign w:val="center"/>
          </w:tcPr>
          <w:p w:rsidR="00445E50" w:rsidRPr="00D5254E" w:rsidRDefault="00445E50" w:rsidP="00206AB5"/>
        </w:tc>
        <w:tc>
          <w:tcPr>
            <w:tcW w:w="1309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276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134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  <w:tc>
          <w:tcPr>
            <w:tcW w:w="1358" w:type="dxa"/>
            <w:noWrap/>
            <w:vAlign w:val="center"/>
          </w:tcPr>
          <w:p w:rsidR="00445E50" w:rsidRPr="00E45267" w:rsidRDefault="00445E50" w:rsidP="00206AB5">
            <w:pPr>
              <w:jc w:val="right"/>
            </w:pPr>
            <w:r w:rsidRPr="00E45267"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shd w:val="clear" w:color="auto" w:fill="BFBFBF"/>
            <w:noWrap/>
            <w:vAlign w:val="center"/>
          </w:tcPr>
          <w:p w:rsidR="00445E50" w:rsidRPr="00D5254E" w:rsidRDefault="00445E50" w:rsidP="00206AB5">
            <w:pPr>
              <w:rPr>
                <w:b/>
              </w:rPr>
            </w:pPr>
            <w:r w:rsidRPr="00D5254E">
              <w:rPr>
                <w:b/>
              </w:rPr>
              <w:t>Iné ako rozpočtové zdroje</w:t>
            </w:r>
          </w:p>
        </w:tc>
        <w:tc>
          <w:tcPr>
            <w:tcW w:w="1309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358" w:type="dxa"/>
            <w:shd w:val="clear" w:color="auto" w:fill="BFBFBF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</w:tr>
      <w:tr w:rsidR="00445E50" w:rsidRPr="00E45267" w:rsidTr="00206AB5">
        <w:trPr>
          <w:trHeight w:val="70"/>
          <w:jc w:val="center"/>
        </w:trPr>
        <w:tc>
          <w:tcPr>
            <w:tcW w:w="4961" w:type="dxa"/>
            <w:shd w:val="clear" w:color="auto" w:fill="A6A6A6"/>
            <w:noWrap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Rozpočtovo nekrytý vplyv / úspora</w:t>
            </w:r>
          </w:p>
        </w:tc>
        <w:tc>
          <w:tcPr>
            <w:tcW w:w="1309" w:type="dxa"/>
            <w:shd w:val="clear" w:color="auto" w:fill="A6A6A6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</w:rPr>
            </w:pPr>
            <w:r w:rsidRPr="00E45267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6A6A6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  <w:tc>
          <w:tcPr>
            <w:tcW w:w="1358" w:type="dxa"/>
            <w:shd w:val="clear" w:color="auto" w:fill="A6A6A6"/>
            <w:noWrap/>
            <w:vAlign w:val="center"/>
          </w:tcPr>
          <w:p w:rsidR="00445E50" w:rsidRPr="00E45267" w:rsidRDefault="00445E50" w:rsidP="00206AB5">
            <w:pPr>
              <w:jc w:val="right"/>
              <w:rPr>
                <w:bCs/>
                <w:iCs/>
              </w:rPr>
            </w:pPr>
            <w:r w:rsidRPr="00E45267">
              <w:rPr>
                <w:bCs/>
                <w:iCs/>
              </w:rPr>
              <w:t>0</w:t>
            </w:r>
          </w:p>
        </w:tc>
      </w:tr>
      <w:bookmarkEnd w:id="1"/>
    </w:tbl>
    <w:p w:rsidR="00445E50" w:rsidRPr="00D5254E" w:rsidRDefault="00445E50" w:rsidP="00445E50">
      <w:pPr>
        <w:rPr>
          <w:b/>
          <w:bCs/>
        </w:rPr>
      </w:pPr>
    </w:p>
    <w:p w:rsidR="00445E50" w:rsidRPr="00D5254E" w:rsidRDefault="00445E50" w:rsidP="00445E50">
      <w:pPr>
        <w:jc w:val="both"/>
        <w:rPr>
          <w:b/>
          <w:bCs/>
        </w:rPr>
      </w:pPr>
    </w:p>
    <w:p w:rsidR="00445E50" w:rsidRPr="00D5254E" w:rsidRDefault="00445E50" w:rsidP="00445E50">
      <w:pPr>
        <w:jc w:val="both"/>
        <w:rPr>
          <w:b/>
          <w:bCs/>
        </w:rPr>
      </w:pPr>
    </w:p>
    <w:p w:rsidR="00445E50" w:rsidRPr="00D5254E" w:rsidRDefault="00445E50" w:rsidP="00445E50">
      <w:pPr>
        <w:jc w:val="both"/>
        <w:rPr>
          <w:b/>
          <w:bCs/>
        </w:rPr>
      </w:pPr>
    </w:p>
    <w:p w:rsidR="00445E50" w:rsidRPr="00D5254E" w:rsidRDefault="00445E50" w:rsidP="00445E50">
      <w:pPr>
        <w:jc w:val="both"/>
        <w:rPr>
          <w:b/>
          <w:bCs/>
        </w:rPr>
      </w:pPr>
    </w:p>
    <w:p w:rsidR="00445E50" w:rsidRPr="00D5254E" w:rsidRDefault="00445E50" w:rsidP="00445E50">
      <w:pPr>
        <w:jc w:val="both"/>
        <w:rPr>
          <w:b/>
          <w:bCs/>
        </w:rPr>
      </w:pPr>
    </w:p>
    <w:p w:rsidR="00445E50" w:rsidRDefault="00445E50" w:rsidP="00445E50">
      <w:pPr>
        <w:rPr>
          <w:b/>
          <w:bCs/>
        </w:rPr>
      </w:pPr>
    </w:p>
    <w:p w:rsidR="00C23A65" w:rsidRDefault="00C23A65" w:rsidP="00445E50">
      <w:pPr>
        <w:rPr>
          <w:b/>
          <w:bCs/>
        </w:rPr>
      </w:pPr>
    </w:p>
    <w:p w:rsidR="00445E50" w:rsidRPr="00D5254E" w:rsidRDefault="00445E50" w:rsidP="00445E50">
      <w:pPr>
        <w:rPr>
          <w:b/>
          <w:bCs/>
        </w:rPr>
      </w:pPr>
      <w:r w:rsidRPr="00D5254E">
        <w:rPr>
          <w:b/>
          <w:bCs/>
        </w:rPr>
        <w:t>2.1.1. Financovanie návrhu - Návrh na riešenie úbytku príjmov alebo zvýšených výdavkov podľa § 33 ods. 1 zákona č. 523/2004 Z. z. o rozpočtových pravidlách verejnej správy:</w:t>
      </w:r>
    </w:p>
    <w:p w:rsidR="00445E50" w:rsidRPr="00D5254E" w:rsidRDefault="00445E50" w:rsidP="00445E50">
      <w:pPr>
        <w:jc w:val="both"/>
        <w:rPr>
          <w:b/>
          <w:bCs/>
          <w:sz w:val="12"/>
        </w:rPr>
      </w:pPr>
    </w:p>
    <w:p w:rsidR="00445E50" w:rsidRPr="00D5254E" w:rsidRDefault="00445E50" w:rsidP="00445E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445E50" w:rsidRPr="00D5254E" w:rsidRDefault="00445E50" w:rsidP="00445E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445E50" w:rsidRPr="00D5254E" w:rsidRDefault="00445E50" w:rsidP="00445E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445E50" w:rsidRPr="00D5254E" w:rsidRDefault="00445E50" w:rsidP="00445E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445E50" w:rsidRPr="00D5254E" w:rsidRDefault="00445E50" w:rsidP="00445E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445E50" w:rsidRPr="00D5254E" w:rsidRDefault="00445E50" w:rsidP="00445E50">
      <w:pPr>
        <w:rPr>
          <w:b/>
          <w:bCs/>
        </w:rPr>
      </w:pPr>
      <w:r w:rsidRPr="00D5254E">
        <w:rPr>
          <w:b/>
          <w:bCs/>
        </w:rPr>
        <w:t>2.2. Popis a charakteristika návrhu</w:t>
      </w:r>
    </w:p>
    <w:p w:rsidR="00445E50" w:rsidRPr="00D5254E" w:rsidRDefault="00445E50" w:rsidP="00445E50"/>
    <w:p w:rsidR="00445E50" w:rsidRPr="00D5254E" w:rsidRDefault="00445E50" w:rsidP="00445E50">
      <w:pPr>
        <w:jc w:val="both"/>
        <w:rPr>
          <w:b/>
          <w:bCs/>
        </w:rPr>
      </w:pPr>
      <w:r w:rsidRPr="00D5254E">
        <w:rPr>
          <w:b/>
          <w:bCs/>
        </w:rPr>
        <w:t>2.2.1. Popis návrhu:</w:t>
      </w:r>
    </w:p>
    <w:p w:rsidR="00445E50" w:rsidRPr="00D5254E" w:rsidRDefault="00445E50" w:rsidP="00445E50">
      <w:pPr>
        <w:jc w:val="both"/>
        <w:rPr>
          <w:b/>
          <w:bCs/>
        </w:rPr>
      </w:pPr>
    </w:p>
    <w:p w:rsidR="00445E50" w:rsidRPr="00D5254E" w:rsidRDefault="00445E50" w:rsidP="00445E50">
      <w:pPr>
        <w:ind w:firstLine="708"/>
        <w:jc w:val="both"/>
      </w:pPr>
      <w:r w:rsidRPr="00D5254E">
        <w:t>Akú problematiku návrh rieši? Kto bude návrh implementovať? Kde sa budú služby poskytovať?</w:t>
      </w:r>
    </w:p>
    <w:p w:rsidR="00445E50" w:rsidRPr="00D5254E" w:rsidRDefault="00445E50" w:rsidP="00445E50">
      <w:pPr>
        <w:jc w:val="both"/>
      </w:pPr>
    </w:p>
    <w:p w:rsidR="00445E50" w:rsidRPr="00FC49B9" w:rsidRDefault="00445E50" w:rsidP="00445E50">
      <w:pPr>
        <w:ind w:firstLine="709"/>
        <w:jc w:val="both"/>
        <w:rPr>
          <w:bCs/>
        </w:rPr>
      </w:pPr>
      <w:r w:rsidRPr="00FC49B9">
        <w:t xml:space="preserve">Návrh nariadenia vlády Slovenskej republiky, ktorým sa </w:t>
      </w:r>
      <w:r>
        <w:t>dopĺňa</w:t>
      </w:r>
      <w:r w:rsidRPr="00FC49B9">
        <w:t xml:space="preserve"> nariadenie vlády č. 50/2002 Z.</w:t>
      </w:r>
      <w:r>
        <w:t xml:space="preserve"> </w:t>
      </w:r>
      <w:r w:rsidRPr="00FC49B9">
        <w:t>z. o úhrade za dobývací priestor, úhrade za vydobyté nerasty a o úhrade za uskladňovanie plynov alebo kvapalín určuje okrem iného aj výšku sadzieb za vydobyté nerasty. Sadzby sú určené v Prílohe č. 2 nariadenia vlády, a to pre jednotlivé nerasty. Zavedenie časového ohraničenia pre zníženie sadzi</w:t>
      </w:r>
      <w:r>
        <w:t>eb odstráni výhody</w:t>
      </w:r>
      <w:r w:rsidRPr="00FC49B9">
        <w:t xml:space="preserve"> pre niektoré podnikateľské subjekty, ktoré neboli prehodnocované takmer 17 rokov. Časové ohraničenie pre zníženie sadzby úhrady pre lignit a uhlie do </w:t>
      </w:r>
      <w:r>
        <w:t>konca roka</w:t>
      </w:r>
      <w:r w:rsidRPr="00FC49B9">
        <w:t xml:space="preserve"> 2023 sa zavádza </w:t>
      </w:r>
      <w:r>
        <w:rPr>
          <w:bCs/>
        </w:rPr>
        <w:t xml:space="preserve">vo vzťahu k ukončeniu podpory výroby elektriny z domáceho uhlia v elektrárni Nováky podľa uznesenia </w:t>
      </w:r>
      <w:r w:rsidRPr="00FC49B9">
        <w:rPr>
          <w:bCs/>
        </w:rPr>
        <w:t>vlády č. 580 z 12. decembra 2018 do roku 2023.</w:t>
      </w:r>
    </w:p>
    <w:p w:rsidR="00445E50" w:rsidRPr="00D5254E" w:rsidRDefault="00445E50" w:rsidP="00445E50">
      <w:pPr>
        <w:ind w:firstLine="708"/>
        <w:jc w:val="both"/>
      </w:pPr>
    </w:p>
    <w:p w:rsidR="00445E50" w:rsidRPr="00D5254E" w:rsidRDefault="00445E50" w:rsidP="00445E50">
      <w:pPr>
        <w:rPr>
          <w:b/>
          <w:bCs/>
        </w:rPr>
      </w:pPr>
      <w:r w:rsidRPr="00D5254E">
        <w:rPr>
          <w:b/>
          <w:bCs/>
        </w:rPr>
        <w:t>2.2.2. Charakteristika návrhu:</w:t>
      </w:r>
    </w:p>
    <w:p w:rsidR="00445E50" w:rsidRPr="00D5254E" w:rsidRDefault="00445E50" w:rsidP="00445E50"/>
    <w:p w:rsidR="00445E50" w:rsidRPr="00D5254E" w:rsidRDefault="00445E50" w:rsidP="00445E50"/>
    <w:p w:rsidR="00445E50" w:rsidRPr="00FA31CE" w:rsidRDefault="00445E50" w:rsidP="00445E50">
      <w:r w:rsidRPr="00FA31CE">
        <w:t xml:space="preserve"> </w:t>
      </w:r>
      <w:r w:rsidRPr="00FA31CE">
        <w:rPr>
          <w:bdr w:val="single" w:sz="4" w:space="0" w:color="auto"/>
        </w:rPr>
        <w:t>X</w:t>
      </w:r>
      <w:r w:rsidRPr="00FA31CE">
        <w:t xml:space="preserve"> zmena sadzby</w:t>
      </w:r>
    </w:p>
    <w:p w:rsidR="00445E50" w:rsidRPr="00D5254E" w:rsidRDefault="00445E50" w:rsidP="00445E50">
      <w:r w:rsidRPr="00D5254E">
        <w:t xml:space="preserve">  zmena v nároku</w:t>
      </w:r>
    </w:p>
    <w:p w:rsidR="00445E50" w:rsidRPr="00D5254E" w:rsidRDefault="00445E50" w:rsidP="00445E50">
      <w:r w:rsidRPr="00D5254E">
        <w:t xml:space="preserve"> </w:t>
      </w:r>
      <w:r>
        <w:t xml:space="preserve"> </w:t>
      </w:r>
      <w:r w:rsidRPr="00D5254E">
        <w:t>nová služba alebo nariadenie (alebo ich zrušenie)</w:t>
      </w:r>
    </w:p>
    <w:p w:rsidR="00445E50" w:rsidRPr="00D5254E" w:rsidRDefault="00445E50" w:rsidP="00445E50">
      <w:r w:rsidRPr="00D5254E">
        <w:t xml:space="preserve">  kombinovaný návrh</w:t>
      </w:r>
    </w:p>
    <w:p w:rsidR="00445E50" w:rsidRPr="00D5254E" w:rsidRDefault="00445E50" w:rsidP="00445E50">
      <w:r w:rsidRPr="00D5254E">
        <w:t xml:space="preserve">  iné</w:t>
      </w:r>
    </w:p>
    <w:p w:rsidR="00445E50" w:rsidRPr="00D5254E" w:rsidRDefault="00445E50" w:rsidP="00445E50"/>
    <w:p w:rsidR="00445E50" w:rsidRPr="00FC49B9" w:rsidRDefault="00445E50" w:rsidP="00445E50">
      <w:pPr>
        <w:ind w:firstLine="708"/>
        <w:jc w:val="both"/>
      </w:pPr>
      <w:r w:rsidRPr="00FC49B9">
        <w:t>Pre podnikateľské subjekty ťažiace nerasty, z ktorých možno priemyselne vyrábať kovy, s výnimkou rúd zlata a striebra prestane platiť výnimka zo sadzby úhrady za vydobyté nerasty podľa Prílohy č. 2 nariadenia vlády</w:t>
      </w:r>
      <w:r>
        <w:t xml:space="preserve"> od </w:t>
      </w:r>
      <w:r w:rsidRPr="00FC49B9">
        <w:t>1. januára 2021.</w:t>
      </w:r>
    </w:p>
    <w:p w:rsidR="00445E50" w:rsidRPr="00FC49B9" w:rsidRDefault="00445E50" w:rsidP="00445E50">
      <w:pPr>
        <w:jc w:val="both"/>
      </w:pPr>
      <w:r w:rsidRPr="00FC49B9">
        <w:t>Pre podnikateľské subjekty ťažiace lignit a uhlie p</w:t>
      </w:r>
      <w:r>
        <w:t>restane platiť výnimka zo sadzby</w:t>
      </w:r>
      <w:r w:rsidRPr="00FC49B9">
        <w:t xml:space="preserve"> úhrady za vydobyté nerasty podľa Prílohy č. 2 nariadenia vlády</w:t>
      </w:r>
      <w:r>
        <w:t xml:space="preserve"> od </w:t>
      </w:r>
      <w:r w:rsidRPr="00FC49B9">
        <w:t>1. januára 2024.</w:t>
      </w:r>
    </w:p>
    <w:p w:rsidR="00445E50" w:rsidRPr="00D5254E" w:rsidRDefault="00445E50" w:rsidP="00445E50">
      <w:pPr>
        <w:jc w:val="both"/>
      </w:pPr>
    </w:p>
    <w:p w:rsidR="00445E50" w:rsidRPr="00D5254E" w:rsidRDefault="00445E50" w:rsidP="00445E50">
      <w:r w:rsidRPr="00D5254E">
        <w:rPr>
          <w:b/>
          <w:bCs/>
        </w:rPr>
        <w:t>2.2.3. Predpoklady vývoja objemu aktivít:</w:t>
      </w:r>
    </w:p>
    <w:p w:rsidR="00445E50" w:rsidRPr="00D5254E" w:rsidRDefault="00445E50" w:rsidP="00445E50"/>
    <w:p w:rsidR="00445E50" w:rsidRPr="00D5254E" w:rsidRDefault="00445E50" w:rsidP="00445E50">
      <w:pPr>
        <w:ind w:firstLine="708"/>
        <w:jc w:val="both"/>
      </w:pPr>
      <w:r w:rsidRPr="00D5254E">
        <w:t>Jasne popíšte, v prípade potreby použite nižšie uvedenú tabuľku. Uveďte aj odhady základov daní a/alebo poplatkov, ak sa ich táto zmena týka.</w:t>
      </w:r>
    </w:p>
    <w:p w:rsidR="00445E50" w:rsidRPr="00D5254E" w:rsidRDefault="00445E50" w:rsidP="00445E50">
      <w:pPr>
        <w:jc w:val="right"/>
      </w:pPr>
      <w:r w:rsidRPr="00D5254E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445E50" w:rsidRPr="00D5254E" w:rsidTr="00206AB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Odhadované objemy</w:t>
            </w:r>
          </w:p>
        </w:tc>
      </w:tr>
      <w:tr w:rsidR="00445E50" w:rsidRPr="00D5254E" w:rsidTr="00206AB5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45E50" w:rsidRPr="00D5254E" w:rsidRDefault="00445E50" w:rsidP="00206AB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45E50" w:rsidRPr="00D5254E" w:rsidTr="00206AB5">
        <w:trPr>
          <w:trHeight w:val="70"/>
        </w:trPr>
        <w:tc>
          <w:tcPr>
            <w:tcW w:w="4530" w:type="dxa"/>
          </w:tcPr>
          <w:p w:rsidR="00445E50" w:rsidRPr="00D5254E" w:rsidRDefault="00445E50" w:rsidP="00206AB5">
            <w:pPr>
              <w:autoSpaceDE w:val="0"/>
              <w:autoSpaceDN w:val="0"/>
              <w:rPr>
                <w:color w:val="000000"/>
              </w:rPr>
            </w:pPr>
            <w:r w:rsidRPr="00D5254E">
              <w:rPr>
                <w:color w:val="000000"/>
              </w:rPr>
              <w:t>Indikátor ABC</w:t>
            </w: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45E50" w:rsidRPr="00D5254E" w:rsidTr="00206AB5">
        <w:trPr>
          <w:trHeight w:val="70"/>
        </w:trPr>
        <w:tc>
          <w:tcPr>
            <w:tcW w:w="4530" w:type="dxa"/>
          </w:tcPr>
          <w:p w:rsidR="00445E50" w:rsidRPr="00D5254E" w:rsidRDefault="00445E50" w:rsidP="00206AB5">
            <w:pPr>
              <w:autoSpaceDE w:val="0"/>
              <w:autoSpaceDN w:val="0"/>
              <w:rPr>
                <w:color w:val="000000"/>
              </w:rPr>
            </w:pPr>
            <w:r w:rsidRPr="00D5254E">
              <w:rPr>
                <w:color w:val="000000"/>
              </w:rPr>
              <w:t>Indikátor KLM</w:t>
            </w: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45E50" w:rsidRPr="00D5254E" w:rsidTr="00206AB5">
        <w:trPr>
          <w:trHeight w:val="70"/>
        </w:trPr>
        <w:tc>
          <w:tcPr>
            <w:tcW w:w="4530" w:type="dxa"/>
          </w:tcPr>
          <w:p w:rsidR="00445E50" w:rsidRPr="00D5254E" w:rsidRDefault="00445E50" w:rsidP="00206AB5">
            <w:pPr>
              <w:autoSpaceDE w:val="0"/>
              <w:autoSpaceDN w:val="0"/>
              <w:rPr>
                <w:color w:val="000000"/>
              </w:rPr>
            </w:pPr>
            <w:r w:rsidRPr="00D5254E">
              <w:rPr>
                <w:color w:val="000000"/>
              </w:rPr>
              <w:lastRenderedPageBreak/>
              <w:t>Indikátor XYZ</w:t>
            </w: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445E50" w:rsidRPr="00D5254E" w:rsidRDefault="00445E50" w:rsidP="00206AB5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</w:tbl>
    <w:p w:rsidR="00445E50" w:rsidRPr="00D5254E" w:rsidRDefault="00445E50" w:rsidP="00445E50">
      <w:pPr>
        <w:rPr>
          <w:b/>
          <w:bCs/>
        </w:rPr>
      </w:pPr>
    </w:p>
    <w:p w:rsidR="00445E50" w:rsidRPr="00D5254E" w:rsidRDefault="00445E50" w:rsidP="00445E50">
      <w:pPr>
        <w:rPr>
          <w:b/>
          <w:bCs/>
        </w:rPr>
      </w:pPr>
    </w:p>
    <w:p w:rsidR="00445E50" w:rsidRDefault="00445E50" w:rsidP="00445E50">
      <w:pPr>
        <w:rPr>
          <w:b/>
          <w:bCs/>
        </w:rPr>
      </w:pPr>
    </w:p>
    <w:p w:rsidR="00445E50" w:rsidRPr="00D5254E" w:rsidRDefault="00445E50" w:rsidP="00445E50">
      <w:pPr>
        <w:rPr>
          <w:b/>
          <w:bCs/>
        </w:rPr>
      </w:pPr>
      <w:r w:rsidRPr="00D5254E">
        <w:rPr>
          <w:b/>
          <w:bCs/>
        </w:rPr>
        <w:t>2.2.4. Výpočty vplyvov na verejné financie</w:t>
      </w:r>
    </w:p>
    <w:p w:rsidR="00445E50" w:rsidRPr="00D5254E" w:rsidRDefault="00445E50" w:rsidP="00445E50"/>
    <w:p w:rsidR="00445E50" w:rsidRPr="006A0A11" w:rsidRDefault="00445E50" w:rsidP="00445E50">
      <w:pPr>
        <w:jc w:val="both"/>
      </w:pPr>
      <w:r w:rsidRPr="00D5254E">
        <w:t>Uveďte najdôležitejšie výpočty, ktoré boli použité na stanovenie vplyvov na príjmy a výdavky, ako aj predpoklady, z ktorých ste vychádzali. Predkladateľ by mal jasne odlíšiť podklady od kapitol a organizácií, aby bolo jasne vi</w:t>
      </w:r>
      <w:r>
        <w:t>dieť základ použitý na výpočty.</w:t>
      </w:r>
    </w:p>
    <w:p w:rsidR="00445E50" w:rsidRPr="00C35755" w:rsidRDefault="00445E50" w:rsidP="00445E50">
      <w:pPr>
        <w:jc w:val="both"/>
        <w:rPr>
          <w:bCs/>
          <w:color w:val="FF0000"/>
        </w:rPr>
      </w:pPr>
    </w:p>
    <w:p w:rsidR="00445E50" w:rsidRPr="00C35755" w:rsidRDefault="00445E50" w:rsidP="00445E50">
      <w:pPr>
        <w:jc w:val="both"/>
        <w:rPr>
          <w:bCs/>
          <w:color w:val="FF0000"/>
        </w:rPr>
      </w:pPr>
    </w:p>
    <w:p w:rsidR="00445E50" w:rsidRDefault="00445E50" w:rsidP="00445E50">
      <w:pPr>
        <w:ind w:firstLine="708"/>
        <w:jc w:val="both"/>
        <w:rPr>
          <w:bCs/>
        </w:rPr>
      </w:pPr>
      <w:r w:rsidRPr="009519CD">
        <w:rPr>
          <w:bCs/>
        </w:rPr>
        <w:t>Návrh nariadenia vlády Slovenskej republiky, ktorým sa dopĺňa nariadenie vlády č. 50/2002 Z. z. o úhrade za dobývací priestor, úhrade za vydobyté nerasty a o úhrade za uskladňovanie plynov alebo kvapalín určuje okrem iného aj výšku sadzieb za vydobyté nerast</w:t>
      </w:r>
      <w:r>
        <w:rPr>
          <w:bCs/>
        </w:rPr>
        <w:t xml:space="preserve">y. Sadzby sú určené v Prílohe </w:t>
      </w:r>
      <w:r w:rsidRPr="009519CD">
        <w:rPr>
          <w:bCs/>
        </w:rPr>
        <w:t>č. 2 nariadenia vlády, a to pre jednotlivé nerasty</w:t>
      </w:r>
      <w:r>
        <w:rPr>
          <w:bCs/>
        </w:rPr>
        <w:t xml:space="preserve">. </w:t>
      </w:r>
    </w:p>
    <w:p w:rsidR="00D30B15" w:rsidRDefault="00445E50" w:rsidP="00C23A65">
      <w:pPr>
        <w:ind w:firstLine="709"/>
        <w:jc w:val="both"/>
        <w:rPr>
          <w:bCs/>
        </w:rPr>
      </w:pPr>
      <w:r>
        <w:rPr>
          <w:bCs/>
        </w:rPr>
        <w:t>Základom použitým na výpočty</w:t>
      </w:r>
      <w:r w:rsidRPr="00A91BA7">
        <w:rPr>
          <w:bCs/>
        </w:rPr>
        <w:t xml:space="preserve"> </w:t>
      </w:r>
      <w:r>
        <w:rPr>
          <w:bCs/>
        </w:rPr>
        <w:t>sú podklady o úhradách od obvodných banských úradov za referenčný rok 2019. Zohľadňujú</w:t>
      </w:r>
      <w:r w:rsidRPr="00A91BA7">
        <w:rPr>
          <w:bCs/>
        </w:rPr>
        <w:t xml:space="preserve"> časové ohraničenie </w:t>
      </w:r>
      <w:r>
        <w:rPr>
          <w:bCs/>
        </w:rPr>
        <w:t>platnosti zníženej</w:t>
      </w:r>
      <w:r w:rsidRPr="00A91BA7">
        <w:rPr>
          <w:bCs/>
        </w:rPr>
        <w:t xml:space="preserve"> sadzby úhrady s prihliadnutím na špecifickosť problematiky ťažby domáceho hnedé</w:t>
      </w:r>
      <w:r>
        <w:rPr>
          <w:bCs/>
        </w:rPr>
        <w:t xml:space="preserve">ho uhlia v Slovenskej republike a predpokladaný útlm ťažby domáceho uhlia v regióne hornej Nitry vo vzťahu k ukončeniu podpory výroby elektriny z domáceho uhlia v elektrárni Nováky podľa uznesenia </w:t>
      </w:r>
      <w:r w:rsidRPr="00FC49B9">
        <w:rPr>
          <w:bCs/>
        </w:rPr>
        <w:t>vlády č. 580 z 12. decembra 2018 do roku 2023.</w:t>
      </w:r>
      <w:r w:rsidR="00C23A65">
        <w:rPr>
          <w:bCs/>
        </w:rPr>
        <w:t xml:space="preserve"> </w:t>
      </w:r>
    </w:p>
    <w:p w:rsidR="00D30B15" w:rsidRDefault="00D30B15" w:rsidP="00C23A65">
      <w:pPr>
        <w:ind w:firstLine="709"/>
        <w:jc w:val="both"/>
        <w:rPr>
          <w:bCs/>
        </w:rPr>
      </w:pPr>
      <w:r>
        <w:rPr>
          <w:bCs/>
        </w:rPr>
        <w:t xml:space="preserve">Na základe výšky úhrad v referenčnom roku 2019 je počas rokov 2021 – 2023 možné v porovnaní s aktuálnou úhradou zníženej sadzby očakávať dodatočné zvýšenie príjmov do štátneho rozpočtu vo výške </w:t>
      </w:r>
      <w:r w:rsidR="00967C96">
        <w:rPr>
          <w:bCs/>
        </w:rPr>
        <w:t>približne 141 tisíc</w:t>
      </w:r>
      <w:r>
        <w:rPr>
          <w:bCs/>
        </w:rPr>
        <w:t xml:space="preserve"> € ročne. </w:t>
      </w:r>
    </w:p>
    <w:p w:rsidR="00445E50" w:rsidRDefault="00C23A65" w:rsidP="00C23A65">
      <w:pPr>
        <w:ind w:firstLine="709"/>
        <w:jc w:val="both"/>
        <w:rPr>
          <w:bCs/>
        </w:rPr>
      </w:pPr>
      <w:r>
        <w:rPr>
          <w:bCs/>
        </w:rPr>
        <w:t>Od</w:t>
      </w:r>
      <w:r w:rsidR="00445E50">
        <w:rPr>
          <w:bCs/>
        </w:rPr>
        <w:t xml:space="preserve"> roku 2024 </w:t>
      </w:r>
      <w:r w:rsidR="007928D5">
        <w:rPr>
          <w:bCs/>
        </w:rPr>
        <w:t xml:space="preserve">je možné predpokladať </w:t>
      </w:r>
      <w:r>
        <w:rPr>
          <w:bCs/>
        </w:rPr>
        <w:t xml:space="preserve">dodatočné navýšenie úhrad </w:t>
      </w:r>
      <w:r w:rsidR="00967C96">
        <w:rPr>
          <w:bCs/>
        </w:rPr>
        <w:t xml:space="preserve">oproti súčasnosti </w:t>
      </w:r>
      <w:r w:rsidR="005A7BA7">
        <w:rPr>
          <w:bCs/>
        </w:rPr>
        <w:t>o takmer 393 tisíc</w:t>
      </w:r>
      <w:r>
        <w:rPr>
          <w:bCs/>
        </w:rPr>
        <w:t xml:space="preserve"> € </w:t>
      </w:r>
      <w:r w:rsidR="00445E50">
        <w:rPr>
          <w:bCs/>
        </w:rPr>
        <w:t xml:space="preserve">v prípade, ak v prevádzke zostane baňa Čáry, na ktorú sa nevzťahuje </w:t>
      </w:r>
      <w:r w:rsidR="00967C96">
        <w:rPr>
          <w:bCs/>
        </w:rPr>
        <w:t>proces uzatvárania</w:t>
      </w:r>
      <w:r w:rsidR="00445E50">
        <w:rPr>
          <w:bCs/>
        </w:rPr>
        <w:t xml:space="preserve"> ťažobných polí v regióne hornej Nitry. Skutočná výška príjmov do štátneho rozpočtu (úhrady do Environmentálneho fondu) sa bude odvíjať od objemu vydobytých nerastov v </w:t>
      </w:r>
      <w:r w:rsidR="00445E50" w:rsidRPr="00C23A65">
        <w:t xml:space="preserve">jednotlivých rokoch, </w:t>
      </w:r>
      <w:r w:rsidRPr="00C23A65">
        <w:t xml:space="preserve">od pomeru nákladov na dobývanie k celkovým nákladom a od výšky tržieb za výrobky z vydobytých nerastov, </w:t>
      </w:r>
      <w:r w:rsidR="00445E50" w:rsidRPr="00C23A65">
        <w:t>preto je odhad orientačný.</w:t>
      </w:r>
    </w:p>
    <w:p w:rsidR="00445E50" w:rsidRDefault="00445E50" w:rsidP="00445E50">
      <w:pPr>
        <w:ind w:firstLine="708"/>
        <w:jc w:val="both"/>
        <w:rPr>
          <w:bCs/>
        </w:rPr>
      </w:pPr>
    </w:p>
    <w:p w:rsidR="00445E50" w:rsidRDefault="00445E50" w:rsidP="00445E50">
      <w:pPr>
        <w:ind w:firstLine="708"/>
        <w:jc w:val="both"/>
        <w:rPr>
          <w:bCs/>
        </w:rPr>
      </w:pPr>
    </w:p>
    <w:p w:rsidR="00445E50" w:rsidRPr="00D5254E" w:rsidRDefault="00445E50" w:rsidP="00445E50">
      <w:pPr>
        <w:jc w:val="both"/>
        <w:rPr>
          <w:bCs/>
        </w:rPr>
        <w:sectPr w:rsidR="00445E50" w:rsidRPr="00D5254E" w:rsidSect="00206AB5">
          <w:footerReference w:type="default" r:id="rId8"/>
          <w:pgSz w:w="11906" w:h="16838" w:code="9"/>
          <w:pgMar w:top="1135" w:right="1417" w:bottom="426" w:left="1417" w:header="708" w:footer="708" w:gutter="0"/>
          <w:pgNumType w:start="1"/>
          <w:cols w:space="708"/>
          <w:docGrid w:linePitch="360"/>
        </w:sectPr>
      </w:pPr>
    </w:p>
    <w:p w:rsidR="00445E50" w:rsidRPr="00D5254E" w:rsidRDefault="00445E50" w:rsidP="00445E50">
      <w:pPr>
        <w:tabs>
          <w:tab w:val="num" w:pos="1080"/>
        </w:tabs>
        <w:jc w:val="right"/>
        <w:rPr>
          <w:bCs/>
        </w:rPr>
      </w:pPr>
      <w:r w:rsidRPr="00D5254E">
        <w:rPr>
          <w:bCs/>
        </w:rPr>
        <w:lastRenderedPageBreak/>
        <w:t>Tabuľka č. 3</w:t>
      </w:r>
      <w:r>
        <w:rPr>
          <w:bCs/>
        </w:rPr>
        <w:t>/A</w:t>
      </w:r>
      <w:r w:rsidRPr="00D5254E">
        <w:rPr>
          <w:bCs/>
        </w:rPr>
        <w:t xml:space="preserve"> </w:t>
      </w: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45E50" w:rsidRPr="00D5254E" w:rsidTr="00206AB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poznámka</w:t>
            </w:r>
          </w:p>
        </w:tc>
      </w:tr>
      <w:tr w:rsidR="00445E50" w:rsidRPr="00D5254E" w:rsidTr="00206AB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D5254E" w:rsidRDefault="00445E50" w:rsidP="00206AB5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D5254E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20</w:t>
            </w:r>
            <w:r w:rsidR="00875622">
              <w:rPr>
                <w:b/>
                <w:bCs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D5254E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D5254E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D5254E" w:rsidRDefault="00445E50" w:rsidP="00206AB5">
            <w:pPr>
              <w:rPr>
                <w:b/>
                <w:bCs/>
                <w:color w:val="FFFFFF"/>
              </w:rPr>
            </w:pP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  <w:vertAlign w:val="superscript"/>
              </w:rPr>
            </w:pPr>
            <w:r w:rsidRPr="00D5254E">
              <w:rPr>
                <w:b/>
                <w:bCs/>
              </w:rPr>
              <w:t>Daňové príjmy (100)</w:t>
            </w:r>
            <w:r w:rsidRPr="00D5254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Nedaňové príjmy (2</w:t>
            </w:r>
            <w:r>
              <w:rPr>
                <w:b/>
                <w:bCs/>
              </w:rPr>
              <w:t>12</w:t>
            </w:r>
            <w:r w:rsidRPr="00D5254E">
              <w:rPr>
                <w:b/>
                <w:bCs/>
              </w:rPr>
              <w:t>)</w:t>
            </w:r>
            <w:r w:rsidRPr="00D5254E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D3D3A">
              <w:rPr>
                <w:b/>
              </w:rPr>
              <w:t>212001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D3D3A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D3D3A" w:rsidRDefault="00445E50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D3D3A" w:rsidRDefault="00445E50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D3D3A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141 474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B26D70" w:rsidRDefault="00B26D70" w:rsidP="00372102">
            <w:pPr>
              <w:rPr>
                <w:sz w:val="20"/>
                <w:szCs w:val="20"/>
              </w:rPr>
            </w:pPr>
            <w:r w:rsidRPr="00B26D70">
              <w:rPr>
                <w:sz w:val="20"/>
                <w:szCs w:val="20"/>
              </w:rPr>
              <w:t xml:space="preserve">Skutočná výška </w:t>
            </w:r>
            <w:r w:rsidR="00372102">
              <w:rPr>
                <w:sz w:val="20"/>
                <w:szCs w:val="20"/>
              </w:rPr>
              <w:t xml:space="preserve">sa odvíja </w:t>
            </w:r>
            <w:r w:rsidR="00372102" w:rsidRPr="00F74AD9">
              <w:rPr>
                <w:sz w:val="20"/>
                <w:szCs w:val="20"/>
              </w:rPr>
              <w:t>od objemu vydobytých nerastov,</w:t>
            </w:r>
            <w:r w:rsidR="00372102">
              <w:rPr>
                <w:sz w:val="20"/>
                <w:szCs w:val="20"/>
              </w:rPr>
              <w:t xml:space="preserve"> </w:t>
            </w:r>
            <w:r w:rsidR="00372102" w:rsidRPr="00F74AD9">
              <w:rPr>
                <w:sz w:val="20"/>
                <w:szCs w:val="20"/>
              </w:rPr>
              <w:t>pomeru nákladov na dobývanie k celkovým nákladom a od výšky tržieb za výrobky z vydobytých nerastov</w:t>
            </w:r>
            <w:r w:rsidR="00372102">
              <w:rPr>
                <w:sz w:val="20"/>
                <w:szCs w:val="20"/>
              </w:rPr>
              <w:t xml:space="preserve"> v jednotlivých rokoch</w:t>
            </w:r>
            <w:r w:rsidR="00372102" w:rsidRPr="00F74AD9">
              <w:rPr>
                <w:sz w:val="20"/>
                <w:szCs w:val="20"/>
              </w:rPr>
              <w:t>.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>
              <w:rPr>
                <w:b/>
                <w:bCs/>
              </w:rPr>
              <w:t>Granty a transfery (300</w:t>
            </w:r>
            <w:r w:rsidRPr="00D5254E">
              <w:rPr>
                <w:b/>
                <w:bCs/>
              </w:rPr>
              <w:t>)</w:t>
            </w:r>
            <w:r w:rsidRPr="00D5254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C35755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C35755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C35755" w:rsidRDefault="00875622" w:rsidP="00206A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141 474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141 474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875622" w:rsidP="00206A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141 474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</w:tbl>
    <w:p w:rsidR="00445E50" w:rsidRPr="00D5254E" w:rsidRDefault="00445E50" w:rsidP="00445E50">
      <w:pPr>
        <w:tabs>
          <w:tab w:val="num" w:pos="1080"/>
        </w:tabs>
        <w:jc w:val="both"/>
        <w:rPr>
          <w:bCs/>
          <w:sz w:val="20"/>
          <w:szCs w:val="20"/>
        </w:rPr>
      </w:pPr>
      <w:r w:rsidRPr="00D5254E">
        <w:rPr>
          <w:bCs/>
          <w:sz w:val="20"/>
          <w:szCs w:val="20"/>
        </w:rPr>
        <w:t>1 –  príjmy rozpísať až do položiek platnej ekonomickej klasifikácie</w:t>
      </w: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p w:rsidR="00445E50" w:rsidRPr="00D5254E" w:rsidRDefault="00445E50" w:rsidP="00445E50">
      <w:pPr>
        <w:tabs>
          <w:tab w:val="num" w:pos="1080"/>
        </w:tabs>
        <w:jc w:val="both"/>
        <w:rPr>
          <w:b/>
          <w:bCs/>
          <w:szCs w:val="20"/>
        </w:rPr>
      </w:pPr>
      <w:r w:rsidRPr="00D5254E">
        <w:rPr>
          <w:b/>
          <w:bCs/>
          <w:szCs w:val="20"/>
        </w:rPr>
        <w:t>Poznámka:</w:t>
      </w:r>
    </w:p>
    <w:p w:rsidR="00445E50" w:rsidRDefault="00445E50" w:rsidP="00445E50">
      <w:pPr>
        <w:tabs>
          <w:tab w:val="num" w:pos="1080"/>
        </w:tabs>
        <w:jc w:val="both"/>
        <w:rPr>
          <w:bCs/>
          <w:szCs w:val="20"/>
        </w:rPr>
      </w:pPr>
      <w:r w:rsidRPr="00D5254E">
        <w:rPr>
          <w:bCs/>
          <w:szCs w:val="20"/>
        </w:rPr>
        <w:t>Ak sa vplyv týka viacerých subjektov verejnej správy, vypĺňa sa samostatná tabuľka za každý subjekt.</w:t>
      </w:r>
    </w:p>
    <w:p w:rsidR="00445E50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C23A65" w:rsidRDefault="00C23A65" w:rsidP="00445E50">
      <w:pPr>
        <w:tabs>
          <w:tab w:val="num" w:pos="1080"/>
        </w:tabs>
        <w:jc w:val="right"/>
        <w:rPr>
          <w:bCs/>
        </w:rPr>
      </w:pPr>
    </w:p>
    <w:p w:rsidR="00C23A65" w:rsidRDefault="00C23A65" w:rsidP="00445E50">
      <w:pPr>
        <w:tabs>
          <w:tab w:val="num" w:pos="1080"/>
        </w:tabs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jc w:val="right"/>
        <w:rPr>
          <w:bCs/>
        </w:rPr>
      </w:pPr>
      <w:r w:rsidRPr="00D5254E">
        <w:rPr>
          <w:bCs/>
        </w:rPr>
        <w:t>Tabuľka č. 3</w:t>
      </w:r>
      <w:r>
        <w:rPr>
          <w:bCs/>
        </w:rPr>
        <w:t>/B</w:t>
      </w:r>
      <w:r w:rsidRPr="00D5254E">
        <w:rPr>
          <w:bCs/>
        </w:rPr>
        <w:t xml:space="preserve"> </w:t>
      </w: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45E50" w:rsidRPr="00D5254E" w:rsidTr="00206AB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  <w:r w:rsidRPr="00B17EE5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  <w:r w:rsidRPr="00B17EE5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  <w:r w:rsidRPr="00B17EE5">
              <w:rPr>
                <w:b/>
                <w:bCs/>
              </w:rPr>
              <w:t>poznámka</w:t>
            </w:r>
          </w:p>
        </w:tc>
      </w:tr>
      <w:tr w:rsidR="00445E50" w:rsidRPr="00D5254E" w:rsidTr="00206AB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4D5470" w:rsidRDefault="00445E50" w:rsidP="00206AB5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B17EE5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  <w:r w:rsidRPr="00B17EE5">
              <w:rPr>
                <w:b/>
                <w:bCs/>
              </w:rPr>
              <w:t>20</w:t>
            </w:r>
            <w:r w:rsidR="00875622">
              <w:rPr>
                <w:b/>
                <w:bCs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B17EE5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</w:p>
          <w:p w:rsidR="00445E50" w:rsidRPr="00B17EE5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4D5470" w:rsidRDefault="00445E50" w:rsidP="00206AB5">
            <w:pPr>
              <w:rPr>
                <w:b/>
                <w:bCs/>
              </w:rPr>
            </w:pP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rPr>
                <w:b/>
                <w:bCs/>
                <w:vertAlign w:val="superscript"/>
              </w:rPr>
            </w:pPr>
            <w:r w:rsidRPr="00B17EE5">
              <w:rPr>
                <w:b/>
                <w:bCs/>
              </w:rPr>
              <w:t>Daňové príjmy (100)</w:t>
            </w:r>
            <w:r w:rsidRPr="00B17EE5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B17EE5" w:rsidRDefault="00445E50" w:rsidP="00206AB5">
            <w:r w:rsidRPr="00B17EE5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rPr>
                <w:b/>
                <w:bCs/>
              </w:rPr>
            </w:pPr>
            <w:r>
              <w:rPr>
                <w:b/>
                <w:bCs/>
              </w:rPr>
              <w:t>Nedaňové príjmy (200</w:t>
            </w:r>
            <w:r w:rsidRPr="00B17EE5">
              <w:rPr>
                <w:b/>
                <w:bCs/>
              </w:rPr>
              <w:t>)</w:t>
            </w:r>
            <w:r w:rsidRPr="00B17EE5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B17EE5" w:rsidRDefault="00445E50" w:rsidP="00206AB5">
            <w:r w:rsidRPr="00B17EE5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rPr>
                <w:b/>
                <w:bCs/>
              </w:rPr>
            </w:pPr>
            <w:r>
              <w:rPr>
                <w:b/>
                <w:bCs/>
              </w:rPr>
              <w:t>Granty a transfery (300</w:t>
            </w:r>
            <w:r w:rsidRPr="00B17EE5">
              <w:rPr>
                <w:b/>
                <w:bCs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B17EE5" w:rsidRDefault="00445E50" w:rsidP="00206AB5">
            <w:r w:rsidRPr="00B17EE5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rPr>
                <w:b/>
                <w:bCs/>
              </w:rPr>
            </w:pPr>
            <w:r w:rsidRPr="00B17EE5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C35755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B17EE5" w:rsidRDefault="00445E50" w:rsidP="00206AB5">
            <w:r w:rsidRPr="00B17EE5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B17EE5" w:rsidRDefault="00445E50" w:rsidP="00206AB5">
            <w:pPr>
              <w:rPr>
                <w:b/>
                <w:bCs/>
              </w:rPr>
            </w:pPr>
            <w:r w:rsidRPr="00B17EE5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C35755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  <w:r w:rsidRPr="00306AAB">
              <w:rPr>
                <w:b/>
                <w:bCs/>
                <w:color w:val="FF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B17EE5" w:rsidRDefault="00445E50" w:rsidP="00206AB5">
            <w:r w:rsidRPr="00B17EE5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B17EE5" w:rsidRDefault="00445E50" w:rsidP="00206AB5">
            <w:pPr>
              <w:rPr>
                <w:b/>
                <w:bCs/>
              </w:rPr>
            </w:pPr>
            <w:r w:rsidRPr="00B17EE5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C35755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45E50" w:rsidRPr="00B17EE5" w:rsidRDefault="00445E50" w:rsidP="00206AB5">
            <w:r w:rsidRPr="00B17EE5">
              <w:t> </w:t>
            </w:r>
          </w:p>
        </w:tc>
      </w:tr>
    </w:tbl>
    <w:p w:rsidR="00445E50" w:rsidRPr="00D5254E" w:rsidRDefault="00445E50" w:rsidP="00445E50">
      <w:pPr>
        <w:tabs>
          <w:tab w:val="num" w:pos="1080"/>
        </w:tabs>
        <w:jc w:val="both"/>
        <w:rPr>
          <w:bCs/>
          <w:sz w:val="20"/>
          <w:szCs w:val="20"/>
        </w:rPr>
      </w:pPr>
      <w:r w:rsidRPr="00D5254E">
        <w:rPr>
          <w:bCs/>
          <w:sz w:val="20"/>
          <w:szCs w:val="20"/>
        </w:rPr>
        <w:t>1 –  príjmy rozpísať až do položiek platnej ekonomickej klasifikácie</w:t>
      </w: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p w:rsidR="00445E50" w:rsidRPr="00D5254E" w:rsidRDefault="00445E50" w:rsidP="00445E50">
      <w:pPr>
        <w:tabs>
          <w:tab w:val="num" w:pos="1080"/>
        </w:tabs>
        <w:jc w:val="both"/>
        <w:rPr>
          <w:b/>
          <w:bCs/>
          <w:szCs w:val="20"/>
        </w:rPr>
      </w:pPr>
      <w:r w:rsidRPr="00D5254E">
        <w:rPr>
          <w:b/>
          <w:bCs/>
          <w:szCs w:val="20"/>
        </w:rPr>
        <w:t>Poznámka:</w:t>
      </w: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  <w:r w:rsidRPr="00D5254E">
        <w:rPr>
          <w:bCs/>
          <w:szCs w:val="20"/>
        </w:rPr>
        <w:t>Ak sa vplyv týka viacerých subjektov verejnej správy, vypĺňa sa samostatná tabuľka za každý subjekt.</w:t>
      </w:r>
    </w:p>
    <w:p w:rsidR="00445E50" w:rsidRDefault="00445E50" w:rsidP="00445E50">
      <w:pPr>
        <w:tabs>
          <w:tab w:val="num" w:pos="1080"/>
        </w:tabs>
        <w:ind w:right="-32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578"/>
        <w:jc w:val="right"/>
        <w:rPr>
          <w:bCs/>
        </w:rPr>
      </w:pPr>
    </w:p>
    <w:p w:rsidR="00445E50" w:rsidRPr="00D5254E" w:rsidRDefault="00445E50" w:rsidP="00445E50">
      <w:pPr>
        <w:tabs>
          <w:tab w:val="num" w:pos="1080"/>
        </w:tabs>
        <w:ind w:right="-32"/>
        <w:jc w:val="right"/>
        <w:rPr>
          <w:bCs/>
        </w:rPr>
      </w:pPr>
      <w:r w:rsidRPr="00D5254E">
        <w:rPr>
          <w:bCs/>
        </w:rPr>
        <w:t>Tabuľka č. 4</w:t>
      </w:r>
      <w:r>
        <w:rPr>
          <w:bCs/>
        </w:rPr>
        <w:t>/A</w:t>
      </w:r>
      <w:r w:rsidRPr="00D5254E">
        <w:rPr>
          <w:bCs/>
        </w:rPr>
        <w:t xml:space="preserve"> </w:t>
      </w: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45E50" w:rsidRPr="00D5254E" w:rsidTr="00206AB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445E50" w:rsidRPr="00D5254E" w:rsidTr="00206AB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E50" w:rsidRPr="00D5254E" w:rsidRDefault="00445E50" w:rsidP="00206AB5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D5254E" w:rsidRDefault="00445E50" w:rsidP="00206AB5">
            <w:pPr>
              <w:rPr>
                <w:b/>
                <w:bCs/>
                <w:color w:val="FFFFFF"/>
              </w:rPr>
            </w:pP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sz w:val="20"/>
                <w:szCs w:val="20"/>
                <w:vertAlign w:val="superscript"/>
              </w:rPr>
            </w:pPr>
            <w:r w:rsidRPr="00D5254E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sz w:val="20"/>
                <w:szCs w:val="20"/>
                <w:vertAlign w:val="superscript"/>
              </w:rPr>
            </w:pPr>
            <w:r w:rsidRPr="00D5254E">
              <w:rPr>
                <w:sz w:val="20"/>
                <w:szCs w:val="20"/>
              </w:rPr>
              <w:t xml:space="preserve">  Tovary a služby (630)</w:t>
            </w:r>
            <w:r w:rsidRPr="00D5254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  Bežné transfery (640)</w:t>
            </w:r>
            <w:r w:rsidRPr="00D5254E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  Splácanie úrokov a ostatné platby súvisiace s úverom, pôžičkou, návratnou finančnou výpomocou a finančným prenájmom (650)</w:t>
            </w:r>
            <w:r w:rsidRPr="00D5254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/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  Obstarávanie kapitálových aktív (710)</w:t>
            </w:r>
            <w:r w:rsidRPr="00D5254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sz w:val="20"/>
                <w:szCs w:val="20"/>
              </w:rPr>
            </w:pPr>
            <w:r w:rsidRPr="00D5254E">
              <w:rPr>
                <w:sz w:val="20"/>
                <w:szCs w:val="20"/>
              </w:rPr>
              <w:t xml:space="preserve">  Kapitálové transfery (720)</w:t>
            </w:r>
            <w:r w:rsidRPr="00D5254E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D5254E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</w:tbl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D5254E">
        <w:rPr>
          <w:bCs/>
          <w:sz w:val="20"/>
          <w:szCs w:val="20"/>
        </w:rPr>
        <w:t>2 –  výdavky rozpísať až do položiek platnej ekonomickej klasifikácie</w:t>
      </w: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/>
          <w:bCs/>
          <w:sz w:val="20"/>
          <w:szCs w:val="20"/>
        </w:rPr>
      </w:pPr>
      <w:r w:rsidRPr="00D5254E">
        <w:rPr>
          <w:b/>
          <w:bCs/>
          <w:szCs w:val="20"/>
        </w:rPr>
        <w:t>Poznámka:</w:t>
      </w: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D5254E">
        <w:rPr>
          <w:bCs/>
          <w:szCs w:val="20"/>
        </w:rPr>
        <w:t>Ak sa vplyv týka viacerých subjektov verejnej správy, vypĺňa sa samostatná tabuľka za každý subjekt.</w:t>
      </w: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36043E" w:rsidRDefault="00445E50" w:rsidP="00445E50">
      <w:pPr>
        <w:tabs>
          <w:tab w:val="num" w:pos="1080"/>
        </w:tabs>
        <w:ind w:right="-32"/>
        <w:jc w:val="right"/>
        <w:rPr>
          <w:bCs/>
        </w:rPr>
      </w:pPr>
      <w:r w:rsidRPr="0036043E">
        <w:rPr>
          <w:bCs/>
        </w:rPr>
        <w:t>Tabuľka č. 4</w:t>
      </w:r>
      <w:r>
        <w:rPr>
          <w:bCs/>
        </w:rPr>
        <w:t>/B</w:t>
      </w:r>
      <w:r w:rsidRPr="0036043E">
        <w:rPr>
          <w:bCs/>
        </w:rPr>
        <w:t xml:space="preserve"> </w:t>
      </w:r>
    </w:p>
    <w:p w:rsidR="00445E50" w:rsidRPr="0036043E" w:rsidRDefault="00445E50" w:rsidP="00445E50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45E50" w:rsidRPr="0036043E" w:rsidTr="00206AB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445E50" w:rsidRPr="0036043E" w:rsidTr="00206AB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E50" w:rsidRPr="0036043E" w:rsidRDefault="00445E50" w:rsidP="00206AB5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875622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36043E" w:rsidRDefault="00445E50" w:rsidP="00206AB5">
            <w:pPr>
              <w:rPr>
                <w:b/>
                <w:bCs/>
                <w:color w:val="FFFFFF"/>
              </w:rPr>
            </w:pP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sz w:val="20"/>
                <w:szCs w:val="20"/>
                <w:vertAlign w:val="superscript"/>
              </w:rPr>
            </w:pPr>
            <w:r w:rsidRPr="0036043E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sz w:val="20"/>
                <w:szCs w:val="20"/>
                <w:vertAlign w:val="superscript"/>
              </w:rPr>
            </w:pPr>
            <w:r w:rsidRPr="0036043E">
              <w:rPr>
                <w:sz w:val="20"/>
                <w:szCs w:val="20"/>
              </w:rPr>
              <w:t xml:space="preserve">  Tovary a služby (630)</w:t>
            </w:r>
            <w:r w:rsidRPr="0036043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 xml:space="preserve">  Bežné transfery (640)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>Bežné transfery (640</w:t>
            </w:r>
            <w:r w:rsidRPr="006B043A">
              <w:rPr>
                <w:sz w:val="20"/>
                <w:szCs w:val="20"/>
              </w:rPr>
              <w:t>)</w:t>
            </w:r>
            <w:r w:rsidRPr="006B043A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/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 xml:space="preserve">  Splácanie úrokov a ostatné platby súvisiace s úverom, pôžičkou, návratnou finančnou výpomocou a finančným prenájmom (650)</w:t>
            </w:r>
            <w:r w:rsidRPr="0036043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/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 xml:space="preserve">  Obstarávanie kapitálových aktív (710)</w:t>
            </w:r>
            <w:r w:rsidRPr="0036043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 xml:space="preserve">  Kapitálové transfery (720)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306AAB" w:rsidRDefault="00445E50" w:rsidP="00206A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36043E">
              <w:rPr>
                <w:sz w:val="20"/>
                <w:szCs w:val="20"/>
              </w:rPr>
              <w:t>Kapitálové transfery (</w:t>
            </w:r>
            <w:r w:rsidRPr="006B043A">
              <w:rPr>
                <w:sz w:val="20"/>
                <w:szCs w:val="20"/>
              </w:rPr>
              <w:t>720)</w:t>
            </w:r>
            <w:r w:rsidRPr="006B043A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/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36043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  <w:tr w:rsidR="00445E50" w:rsidRPr="0036043E" w:rsidTr="00206AB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445E50" w:rsidP="00206AB5">
            <w:pPr>
              <w:rPr>
                <w:b/>
                <w:bCs/>
                <w:sz w:val="20"/>
                <w:szCs w:val="20"/>
              </w:rPr>
            </w:pPr>
            <w:r w:rsidRPr="0036043E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6043E" w:rsidRDefault="00445E50" w:rsidP="00206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306AAB" w:rsidRDefault="00445E50" w:rsidP="00206A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45E50" w:rsidRPr="0036043E" w:rsidRDefault="00445E50" w:rsidP="00206AB5">
            <w:r w:rsidRPr="0036043E">
              <w:t> </w:t>
            </w:r>
          </w:p>
        </w:tc>
      </w:tr>
    </w:tbl>
    <w:p w:rsidR="00445E50" w:rsidRPr="0036043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36043E">
        <w:rPr>
          <w:bCs/>
          <w:sz w:val="20"/>
          <w:szCs w:val="20"/>
        </w:rPr>
        <w:t>2 –  výdavky rozpísať až do položiek platnej ekonomickej klasifikácie</w:t>
      </w:r>
    </w:p>
    <w:p w:rsidR="00445E50" w:rsidRPr="0036043E" w:rsidRDefault="00445E50" w:rsidP="00445E50">
      <w:pPr>
        <w:tabs>
          <w:tab w:val="num" w:pos="1080"/>
        </w:tabs>
        <w:ind w:left="-900"/>
        <w:jc w:val="both"/>
        <w:rPr>
          <w:bCs/>
          <w:szCs w:val="20"/>
        </w:rPr>
      </w:pPr>
    </w:p>
    <w:p w:rsidR="00445E50" w:rsidRPr="0036043E" w:rsidRDefault="00445E50" w:rsidP="00445E50">
      <w:pPr>
        <w:tabs>
          <w:tab w:val="num" w:pos="1080"/>
        </w:tabs>
        <w:ind w:left="-900"/>
        <w:jc w:val="both"/>
        <w:rPr>
          <w:b/>
          <w:bCs/>
          <w:sz w:val="20"/>
          <w:szCs w:val="20"/>
        </w:rPr>
      </w:pPr>
      <w:r w:rsidRPr="0036043E">
        <w:rPr>
          <w:b/>
          <w:bCs/>
          <w:szCs w:val="20"/>
        </w:rPr>
        <w:t>Poznámka:</w:t>
      </w:r>
    </w:p>
    <w:p w:rsidR="00445E50" w:rsidRPr="0036043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36043E">
        <w:rPr>
          <w:bCs/>
          <w:szCs w:val="20"/>
        </w:rPr>
        <w:t>Ak sa vplyv týka viacerých subjektov verejnej správy, vypĺňa sa samostatná tabuľka za každý subjekt.</w:t>
      </w:r>
    </w:p>
    <w:p w:rsidR="00445E50" w:rsidRPr="0036043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36043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jc w:val="both"/>
        <w:rPr>
          <w:bCs/>
          <w:sz w:val="20"/>
          <w:szCs w:val="20"/>
        </w:rPr>
      </w:pPr>
    </w:p>
    <w:p w:rsidR="00445E50" w:rsidRPr="00D5254E" w:rsidRDefault="00445E50" w:rsidP="00445E50">
      <w:pPr>
        <w:tabs>
          <w:tab w:val="num" w:pos="1080"/>
        </w:tabs>
        <w:jc w:val="right"/>
        <w:rPr>
          <w:bCs/>
        </w:rPr>
      </w:pPr>
      <w:r w:rsidRPr="00D5254E">
        <w:rPr>
          <w:bCs/>
        </w:rPr>
        <w:t xml:space="preserve">                 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445E50" w:rsidRPr="00D5254E" w:rsidTr="00206AB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poznámka</w:t>
            </w:r>
          </w:p>
        </w:tc>
      </w:tr>
      <w:tr w:rsidR="00445E50" w:rsidRPr="00D5254E" w:rsidTr="00206AB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E50" w:rsidRPr="00D5254E" w:rsidRDefault="00445E50" w:rsidP="00206AB5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875622" w:rsidP="00206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202</w:t>
            </w:r>
            <w:r w:rsidR="00875622"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2</w:t>
            </w:r>
            <w:r w:rsidR="00875622">
              <w:rPr>
                <w:b/>
                <w:bCs/>
              </w:rPr>
              <w:t>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E50" w:rsidRPr="00D5254E" w:rsidRDefault="00445E50" w:rsidP="00206AB5">
            <w:pPr>
              <w:rPr>
                <w:b/>
                <w:bCs/>
                <w:color w:val="FFFFFF"/>
              </w:rPr>
            </w:pP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/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r w:rsidRPr="00D5254E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  <w:r w:rsidRPr="00D5254E"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  <w:r w:rsidRPr="00D5254E"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  <w:r w:rsidRPr="00D5254E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  <w:r w:rsidRPr="00D5254E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  <w:r w:rsidRPr="00D5254E">
              <w:rPr>
                <w:b/>
                <w:bCs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r w:rsidRPr="00D5254E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r w:rsidRPr="00D5254E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E50" w:rsidRPr="00D5254E" w:rsidRDefault="00445E50" w:rsidP="00206AB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E50" w:rsidRPr="00D5254E" w:rsidRDefault="00445E50" w:rsidP="00206AB5">
            <w:r w:rsidRPr="00D5254E">
              <w:t> </w:t>
            </w:r>
          </w:p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</w:tr>
      <w:tr w:rsidR="00445E50" w:rsidRPr="00D5254E" w:rsidTr="00206AB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445E50" w:rsidRPr="00D5254E" w:rsidRDefault="00445E50" w:rsidP="00206AB5">
            <w:pPr>
              <w:rPr>
                <w:b/>
                <w:bCs/>
              </w:rPr>
            </w:pPr>
            <w:r w:rsidRPr="00D5254E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</w:tr>
      <w:tr w:rsidR="00445E50" w:rsidRPr="00D5254E" w:rsidTr="00206AB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45E50" w:rsidRPr="00D5254E" w:rsidRDefault="00445E50" w:rsidP="00206AB5">
            <w:pPr>
              <w:tabs>
                <w:tab w:val="num" w:pos="1080"/>
              </w:tabs>
              <w:jc w:val="both"/>
              <w:rPr>
                <w:bCs/>
                <w:szCs w:val="20"/>
              </w:rPr>
            </w:pPr>
            <w:r w:rsidRPr="00D5254E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45E50" w:rsidRPr="00D5254E" w:rsidRDefault="00445E50" w:rsidP="00206AB5">
            <w:r w:rsidRPr="00D5254E"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</w:tr>
      <w:tr w:rsidR="00445E50" w:rsidRPr="00D5254E" w:rsidTr="00206AB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>
            <w:r w:rsidRPr="00D5254E"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E50" w:rsidRPr="00D5254E" w:rsidRDefault="00445E50" w:rsidP="00206AB5"/>
        </w:tc>
      </w:tr>
    </w:tbl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</w:pPr>
    </w:p>
    <w:p w:rsidR="00445E50" w:rsidRPr="00D5254E" w:rsidRDefault="00445E50" w:rsidP="00445E50">
      <w:pPr>
        <w:rPr>
          <w:sz w:val="20"/>
          <w:szCs w:val="20"/>
        </w:rPr>
        <w:sectPr w:rsidR="00445E50" w:rsidRPr="00D5254E" w:rsidSect="00206AB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5E50" w:rsidRPr="00D5254E" w:rsidTr="00206AB5">
        <w:trPr>
          <w:trHeight w:val="567"/>
        </w:trPr>
        <w:tc>
          <w:tcPr>
            <w:tcW w:w="9212" w:type="dxa"/>
            <w:shd w:val="clear" w:color="auto" w:fill="D9D9D9"/>
          </w:tcPr>
          <w:p w:rsidR="00445E50" w:rsidRPr="00A65A3B" w:rsidRDefault="00445E50" w:rsidP="00206AB5">
            <w:pPr>
              <w:jc w:val="center"/>
              <w:rPr>
                <w:b/>
                <w:szCs w:val="20"/>
              </w:rPr>
            </w:pPr>
            <w:r w:rsidRPr="00A65A3B">
              <w:rPr>
                <w:b/>
                <w:sz w:val="28"/>
                <w:szCs w:val="20"/>
              </w:rPr>
              <w:lastRenderedPageBreak/>
              <w:t xml:space="preserve">Analýza vplyvov na podnikateľské prostredie </w:t>
            </w:r>
          </w:p>
          <w:p w:rsidR="00445E50" w:rsidRPr="00D5254E" w:rsidRDefault="00445E50" w:rsidP="00206AB5">
            <w:pPr>
              <w:jc w:val="center"/>
              <w:rPr>
                <w:b/>
                <w:sz w:val="20"/>
                <w:szCs w:val="20"/>
              </w:rPr>
            </w:pPr>
            <w:r w:rsidRPr="00A65A3B">
              <w:rPr>
                <w:b/>
                <w:szCs w:val="20"/>
              </w:rPr>
              <w:t>(vrátane testu MSP)</w:t>
            </w:r>
          </w:p>
        </w:tc>
      </w:tr>
      <w:tr w:rsidR="00445E50" w:rsidRPr="00D5254E" w:rsidTr="00206AB5">
        <w:trPr>
          <w:trHeight w:val="567"/>
        </w:trPr>
        <w:tc>
          <w:tcPr>
            <w:tcW w:w="9212" w:type="dxa"/>
            <w:shd w:val="clear" w:color="auto" w:fill="D9D9D9"/>
          </w:tcPr>
          <w:p w:rsidR="00445E50" w:rsidRPr="00D5254E" w:rsidRDefault="00445E50" w:rsidP="00206AB5">
            <w:pPr>
              <w:rPr>
                <w:b/>
                <w:szCs w:val="20"/>
              </w:rPr>
            </w:pPr>
            <w:r w:rsidRPr="00D5254E">
              <w:rPr>
                <w:b/>
                <w:szCs w:val="20"/>
              </w:rPr>
              <w:t>Materiál bude mať vplyv s ohľadom na veľkostnú kategóriu podnikov:</w:t>
            </w:r>
          </w:p>
        </w:tc>
      </w:tr>
      <w:tr w:rsidR="00445E50" w:rsidRPr="00D5254E" w:rsidTr="00206AB5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8390"/>
            </w:tblGrid>
            <w:tr w:rsidR="00445E50" w:rsidRPr="00D5254E" w:rsidTr="00206AB5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E50" w:rsidRPr="00D5254E" w:rsidRDefault="00445E50" w:rsidP="00206AB5">
                  <w:pPr>
                    <w:jc w:val="center"/>
                    <w:rPr>
                      <w:sz w:val="20"/>
                      <w:szCs w:val="20"/>
                    </w:rPr>
                  </w:pPr>
                  <w:r w:rsidRPr="00D5254E">
                    <w:rPr>
                      <w:rFonts w:eastAsia="MS Mincho" w:hAnsi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E50" w:rsidRPr="00D5254E" w:rsidRDefault="00445E50" w:rsidP="00206AB5">
                  <w:pPr>
                    <w:rPr>
                      <w:b/>
                      <w:sz w:val="20"/>
                      <w:szCs w:val="20"/>
                    </w:rPr>
                  </w:pPr>
                  <w:r w:rsidRPr="00D5254E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445E50" w:rsidRPr="00D5254E" w:rsidTr="00206AB5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E50" w:rsidRPr="00D5254E" w:rsidRDefault="00445E50" w:rsidP="00206AB5">
                  <w:pPr>
                    <w:jc w:val="center"/>
                    <w:rPr>
                      <w:sz w:val="20"/>
                      <w:szCs w:val="20"/>
                    </w:rPr>
                  </w:pPr>
                  <w:r w:rsidRPr="00D5254E">
                    <w:rPr>
                      <w:rFonts w:eastAsia="MS Mincho" w:hAnsi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E50" w:rsidRPr="00D5254E" w:rsidRDefault="00445E50" w:rsidP="00206AB5">
                  <w:pPr>
                    <w:rPr>
                      <w:b/>
                      <w:sz w:val="20"/>
                      <w:szCs w:val="20"/>
                    </w:rPr>
                  </w:pPr>
                  <w:r w:rsidRPr="00D5254E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445E50" w:rsidRPr="00D5254E" w:rsidTr="00206AB5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E50" w:rsidRPr="00D5254E" w:rsidRDefault="00445E50" w:rsidP="00206AB5">
                  <w:pPr>
                    <w:jc w:val="center"/>
                    <w:rPr>
                      <w:sz w:val="20"/>
                      <w:szCs w:val="20"/>
                    </w:rPr>
                  </w:pPr>
                  <w:r w:rsidRPr="00D5254E">
                    <w:rPr>
                      <w:rFonts w:eastAsia="MS Mincho" w:hAnsi="MS Mincho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E50" w:rsidRPr="00D5254E" w:rsidRDefault="00445E50" w:rsidP="00206AB5">
                  <w:pPr>
                    <w:rPr>
                      <w:sz w:val="20"/>
                      <w:szCs w:val="20"/>
                    </w:rPr>
                  </w:pPr>
                  <w:r w:rsidRPr="00D5254E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445E50" w:rsidRPr="00D5254E" w:rsidRDefault="00445E50" w:rsidP="00206AB5">
            <w:pPr>
              <w:rPr>
                <w:b/>
                <w:sz w:val="20"/>
                <w:szCs w:val="20"/>
              </w:rPr>
            </w:pPr>
          </w:p>
        </w:tc>
      </w:tr>
      <w:tr w:rsidR="00445E50" w:rsidRPr="00D5254E" w:rsidTr="00206AB5">
        <w:tc>
          <w:tcPr>
            <w:tcW w:w="9212" w:type="dxa"/>
            <w:shd w:val="clear" w:color="auto" w:fill="D9D9D9"/>
          </w:tcPr>
          <w:p w:rsidR="00445E50" w:rsidRPr="00D5254E" w:rsidRDefault="00445E50" w:rsidP="00206AB5">
            <w:pPr>
              <w:rPr>
                <w:b/>
                <w:szCs w:val="20"/>
              </w:rPr>
            </w:pPr>
            <w:r w:rsidRPr="00D5254E">
              <w:rPr>
                <w:b/>
                <w:szCs w:val="20"/>
              </w:rPr>
              <w:t>3.1 Dotknuté podnikateľské subjekty</w:t>
            </w:r>
          </w:p>
          <w:p w:rsidR="00445E50" w:rsidRPr="00D5254E" w:rsidRDefault="00445E50" w:rsidP="00206AB5">
            <w:pPr>
              <w:ind w:left="284"/>
              <w:rPr>
                <w:b/>
                <w:sz w:val="20"/>
                <w:szCs w:val="20"/>
              </w:rPr>
            </w:pPr>
            <w:r w:rsidRPr="00D5254E">
              <w:rPr>
                <w:szCs w:val="20"/>
              </w:rPr>
              <w:t xml:space="preserve"> - </w:t>
            </w:r>
            <w:r w:rsidRPr="00D5254E">
              <w:rPr>
                <w:b/>
                <w:szCs w:val="20"/>
              </w:rPr>
              <w:t>z toho MSP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Aký je ich počet?</w:t>
            </w:r>
          </w:p>
        </w:tc>
      </w:tr>
      <w:tr w:rsidR="00445E50" w:rsidRPr="009F4E62" w:rsidTr="00206AB5">
        <w:trPr>
          <w:trHeight w:val="767"/>
        </w:trPr>
        <w:tc>
          <w:tcPr>
            <w:tcW w:w="9212" w:type="dxa"/>
          </w:tcPr>
          <w:p w:rsidR="00206AB5" w:rsidRPr="00206AB5" w:rsidRDefault="00206AB5" w:rsidP="00206AB5">
            <w:pPr>
              <w:rPr>
                <w:sz w:val="20"/>
                <w:szCs w:val="20"/>
              </w:rPr>
            </w:pPr>
            <w:r w:rsidRPr="00206AB5">
              <w:rPr>
                <w:sz w:val="20"/>
                <w:szCs w:val="20"/>
              </w:rPr>
              <w:t xml:space="preserve">Zmena nariadenia sa dotýka výlučne podnikateľského sektoru ťažby nerastných surovín – SK-NACE kód: B05 a B07. </w:t>
            </w:r>
          </w:p>
          <w:p w:rsidR="00206AB5" w:rsidRPr="00206AB5" w:rsidRDefault="00206AB5" w:rsidP="00206AB5">
            <w:pPr>
              <w:rPr>
                <w:sz w:val="20"/>
                <w:szCs w:val="20"/>
              </w:rPr>
            </w:pPr>
            <w:r w:rsidRPr="00206AB5">
              <w:rPr>
                <w:sz w:val="20"/>
                <w:szCs w:val="20"/>
              </w:rPr>
              <w:t xml:space="preserve">Podnikateľské subjekty, ktoré aktuálne uhrádzajú zníženú sadzbu úhrad za vydobyté nerasty, z ktorých možno priemyselne vyrábať kovy, s výnimkou rúd zlata a striebra a za lignit a uhlie: Hornonitrianske bane Prievidza, a.s., Slovenská Banská, spol. s </w:t>
            </w:r>
            <w:proofErr w:type="spellStart"/>
            <w:r w:rsidRPr="00206AB5">
              <w:rPr>
                <w:sz w:val="20"/>
                <w:szCs w:val="20"/>
              </w:rPr>
              <w:t>r.o</w:t>
            </w:r>
            <w:proofErr w:type="spellEnd"/>
            <w:r w:rsidRPr="00206AB5">
              <w:rPr>
                <w:sz w:val="20"/>
                <w:szCs w:val="20"/>
              </w:rPr>
              <w:t>..</w:t>
            </w:r>
          </w:p>
          <w:p w:rsidR="00445E50" w:rsidRPr="009F4E62" w:rsidRDefault="00206AB5" w:rsidP="00206AB5">
            <w:pPr>
              <w:rPr>
                <w:sz w:val="20"/>
                <w:szCs w:val="20"/>
              </w:rPr>
            </w:pPr>
            <w:r w:rsidRPr="00206AB5">
              <w:rPr>
                <w:sz w:val="20"/>
                <w:szCs w:val="20"/>
              </w:rPr>
              <w:t>Pre podnikateľské subjekty ťažiace nerasty, z ktorých možno priemyselne vyrábať kovy, s výnimkou rúd zlata a striebra prestane platiť výnimka zo sadzby úhrady za vydobyté nerasty podľa Prílohy č. 2 nariadenia vlády od 1. januára 2021. Pre podnikateľské subjekty ťažiace lignit a uhlie prestane platiť výnimka zo sadzba úhrady za vydobyté nerasty podľa Prílohy č. 2 nariadenia vlády od 1. januára 2024.</w:t>
            </w:r>
          </w:p>
        </w:tc>
      </w:tr>
      <w:tr w:rsidR="00445E50" w:rsidRPr="009F4E62" w:rsidTr="00206AB5">
        <w:trPr>
          <w:trHeight w:val="339"/>
        </w:trPr>
        <w:tc>
          <w:tcPr>
            <w:tcW w:w="9212" w:type="dxa"/>
            <w:shd w:val="clear" w:color="auto" w:fill="D9D9D9"/>
          </w:tcPr>
          <w:p w:rsidR="00445E50" w:rsidRPr="009F4E62" w:rsidRDefault="00445E50" w:rsidP="00206AB5">
            <w:pPr>
              <w:rPr>
                <w:b/>
                <w:szCs w:val="20"/>
              </w:rPr>
            </w:pPr>
            <w:r w:rsidRPr="009F4E62">
              <w:rPr>
                <w:b/>
                <w:szCs w:val="20"/>
              </w:rPr>
              <w:t>3.2 Vyhodnotenie konzultácií</w:t>
            </w:r>
          </w:p>
          <w:p w:rsidR="00445E50" w:rsidRPr="009F4E62" w:rsidRDefault="00445E50" w:rsidP="00206AB5">
            <w:pPr>
              <w:rPr>
                <w:b/>
                <w:sz w:val="20"/>
                <w:szCs w:val="20"/>
              </w:rPr>
            </w:pPr>
            <w:r w:rsidRPr="009F4E62">
              <w:rPr>
                <w:szCs w:val="20"/>
              </w:rPr>
              <w:t xml:space="preserve">       - </w:t>
            </w:r>
            <w:r w:rsidRPr="009F4E62">
              <w:rPr>
                <w:b/>
                <w:szCs w:val="20"/>
              </w:rPr>
              <w:t>z toho MSP</w:t>
            </w:r>
          </w:p>
        </w:tc>
      </w:tr>
      <w:tr w:rsidR="00445E50" w:rsidRPr="009F4E62" w:rsidTr="00206AB5">
        <w:trPr>
          <w:trHeight w:val="557"/>
        </w:trPr>
        <w:tc>
          <w:tcPr>
            <w:tcW w:w="9212" w:type="dxa"/>
          </w:tcPr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Ako dlho trvali konzultácie?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445E50" w:rsidRPr="009F4E62" w:rsidTr="00206AB5">
        <w:trPr>
          <w:trHeight w:val="748"/>
        </w:trPr>
        <w:tc>
          <w:tcPr>
            <w:tcW w:w="9212" w:type="dxa"/>
          </w:tcPr>
          <w:p w:rsidR="00445E50" w:rsidRDefault="00445E50" w:rsidP="00206AB5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9F4E62">
              <w:rPr>
                <w:bCs/>
                <w:sz w:val="20"/>
                <w:szCs w:val="20"/>
              </w:rPr>
              <w:t>Zo strany MH SR boli vy</w:t>
            </w:r>
            <w:r w:rsidR="00206AB5">
              <w:rPr>
                <w:bCs/>
                <w:sz w:val="20"/>
                <w:szCs w:val="20"/>
              </w:rPr>
              <w:t>konané cielené konzultácie s Hlavným banským úradom</w:t>
            </w:r>
            <w:r w:rsidRPr="009F4E62">
              <w:rPr>
                <w:bCs/>
                <w:sz w:val="20"/>
                <w:szCs w:val="20"/>
              </w:rPr>
              <w:t xml:space="preserve"> a príslušnými </w:t>
            </w:r>
            <w:r w:rsidR="00206AB5">
              <w:rPr>
                <w:bCs/>
                <w:sz w:val="20"/>
                <w:szCs w:val="20"/>
              </w:rPr>
              <w:t>obvodnými banskými úradmi</w:t>
            </w:r>
            <w:r>
              <w:rPr>
                <w:bCs/>
                <w:sz w:val="20"/>
                <w:szCs w:val="20"/>
              </w:rPr>
              <w:t>. Hlavnými bodmi konzultácií</w:t>
            </w:r>
            <w:r w:rsidRPr="009F4E62">
              <w:rPr>
                <w:bCs/>
                <w:sz w:val="20"/>
                <w:szCs w:val="20"/>
              </w:rPr>
              <w:t xml:space="preserve"> b</w:t>
            </w:r>
            <w:r>
              <w:rPr>
                <w:bCs/>
                <w:sz w:val="20"/>
                <w:szCs w:val="20"/>
              </w:rPr>
              <w:t xml:space="preserve">ol prehľad o výške evidovaných sadzieb a úhrad </w:t>
            </w:r>
            <w:r w:rsidRPr="009F4E62">
              <w:rPr>
                <w:bCs/>
                <w:sz w:val="20"/>
                <w:szCs w:val="20"/>
              </w:rPr>
              <w:t>za vydobyté nerasty</w:t>
            </w:r>
            <w:r>
              <w:rPr>
                <w:bCs/>
                <w:sz w:val="20"/>
                <w:szCs w:val="20"/>
              </w:rPr>
              <w:t>.</w:t>
            </w:r>
          </w:p>
          <w:p w:rsidR="004D37AB" w:rsidRPr="009F4E62" w:rsidRDefault="004D37AB" w:rsidP="004D37AB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4D37AB">
              <w:rPr>
                <w:bCs/>
                <w:sz w:val="20"/>
                <w:szCs w:val="20"/>
              </w:rPr>
              <w:t xml:space="preserve">Zmena nariadenia v podobe </w:t>
            </w:r>
            <w:r w:rsidR="00F74AD9">
              <w:rPr>
                <w:bCs/>
                <w:sz w:val="20"/>
                <w:szCs w:val="20"/>
              </w:rPr>
              <w:t xml:space="preserve">zrušenia </w:t>
            </w:r>
            <w:r w:rsidRPr="004D37AB">
              <w:rPr>
                <w:bCs/>
                <w:sz w:val="20"/>
                <w:szCs w:val="20"/>
              </w:rPr>
              <w:t>dosiaľ uplatňovanej výnimky nemá plošný dopad na kategóriu malých a stredných podnikov v sektore ťažby nerastných surovín. Subjekty podnikajúce v tomto sektore sa riadia Prílohou č. 2 nariadenia, ktorá sa nemení.</w:t>
            </w:r>
          </w:p>
        </w:tc>
      </w:tr>
      <w:tr w:rsidR="00445E50" w:rsidRPr="009F4E62" w:rsidTr="00206AB5">
        <w:tc>
          <w:tcPr>
            <w:tcW w:w="9212" w:type="dxa"/>
            <w:shd w:val="clear" w:color="auto" w:fill="D9D9D9"/>
          </w:tcPr>
          <w:p w:rsidR="00445E50" w:rsidRPr="009F4E62" w:rsidRDefault="00445E50" w:rsidP="00206AB5">
            <w:pPr>
              <w:rPr>
                <w:b/>
                <w:szCs w:val="20"/>
              </w:rPr>
            </w:pPr>
            <w:r w:rsidRPr="009F4E62">
              <w:rPr>
                <w:b/>
                <w:szCs w:val="20"/>
              </w:rPr>
              <w:t>3.3 Náklady regulácie</w:t>
            </w:r>
          </w:p>
          <w:p w:rsidR="00445E50" w:rsidRPr="009F4E62" w:rsidRDefault="00445E50" w:rsidP="00206AB5">
            <w:pPr>
              <w:rPr>
                <w:b/>
                <w:sz w:val="20"/>
                <w:szCs w:val="20"/>
              </w:rPr>
            </w:pPr>
            <w:r w:rsidRPr="009F4E62">
              <w:rPr>
                <w:szCs w:val="20"/>
              </w:rPr>
              <w:t xml:space="preserve">      - </w:t>
            </w:r>
            <w:r w:rsidRPr="009F4E62">
              <w:rPr>
                <w:b/>
                <w:szCs w:val="20"/>
              </w:rPr>
              <w:t>z toho MSP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9F4E62" w:rsidRDefault="00445E50" w:rsidP="00206AB5">
            <w:pPr>
              <w:rPr>
                <w:b/>
                <w:i/>
                <w:sz w:val="20"/>
                <w:szCs w:val="20"/>
              </w:rPr>
            </w:pPr>
            <w:r w:rsidRPr="009F4E62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445E50" w:rsidRPr="009F4E62" w:rsidTr="00206AB5">
        <w:tc>
          <w:tcPr>
            <w:tcW w:w="9212" w:type="dxa"/>
          </w:tcPr>
          <w:p w:rsidR="00967C96" w:rsidRDefault="00967C96" w:rsidP="004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Zmenou nariadenia nedochádza k zmene informačných povinností, nakoľko sa oproti súčasnosti nemení ich rozsah.</w:t>
            </w:r>
          </w:p>
          <w:p w:rsidR="004D37AB" w:rsidRPr="00F74AD9" w:rsidRDefault="004D37AB" w:rsidP="004D37AB">
            <w:pPr>
              <w:jc w:val="both"/>
              <w:rPr>
                <w:sz w:val="20"/>
                <w:szCs w:val="20"/>
              </w:rPr>
            </w:pPr>
            <w:r w:rsidRPr="00F74AD9">
              <w:rPr>
                <w:sz w:val="20"/>
                <w:szCs w:val="20"/>
              </w:rPr>
              <w:t>Priame finančné náklady: Dochádza k zvýšeniu nákladov úzkej skupiny podnikateľov, pričom zvýšenie je oproti roku 2019 odhadnuté pre rok 2020 na 0 €, na r</w:t>
            </w:r>
            <w:r w:rsidR="00B26D70">
              <w:rPr>
                <w:sz w:val="20"/>
                <w:szCs w:val="20"/>
              </w:rPr>
              <w:t>oky 2021 až 2023 na 141 tisíc €. Od roku</w:t>
            </w:r>
            <w:r w:rsidRPr="00F74AD9">
              <w:rPr>
                <w:sz w:val="20"/>
                <w:szCs w:val="20"/>
              </w:rPr>
              <w:t xml:space="preserve"> 2024 </w:t>
            </w:r>
            <w:r w:rsidR="00B26D70">
              <w:rPr>
                <w:sz w:val="20"/>
                <w:szCs w:val="20"/>
              </w:rPr>
              <w:t xml:space="preserve">sa dodatočné zvýšenie nákladov regulácie odhaduje </w:t>
            </w:r>
            <w:r w:rsidRPr="00F74AD9">
              <w:rPr>
                <w:sz w:val="20"/>
                <w:szCs w:val="20"/>
              </w:rPr>
              <w:t>na 392 tisíc €</w:t>
            </w:r>
            <w:r w:rsidR="00B26D70">
              <w:rPr>
                <w:sz w:val="20"/>
                <w:szCs w:val="20"/>
              </w:rPr>
              <w:t xml:space="preserve"> ročne</w:t>
            </w:r>
            <w:r w:rsidRPr="00F74AD9">
              <w:rPr>
                <w:sz w:val="20"/>
                <w:szCs w:val="20"/>
              </w:rPr>
              <w:t xml:space="preserve">. Základom použitým pre výpočty sú podklady o úhradách od obvodných banských </w:t>
            </w:r>
            <w:r w:rsidR="00B26D70">
              <w:rPr>
                <w:sz w:val="20"/>
                <w:szCs w:val="20"/>
              </w:rPr>
              <w:t>úradov za referenčný rok 2019. Výpočty z</w:t>
            </w:r>
            <w:r w:rsidRPr="00F74AD9">
              <w:rPr>
                <w:sz w:val="20"/>
                <w:szCs w:val="20"/>
              </w:rPr>
              <w:t xml:space="preserve">ohľadňujú časové ohraničenie platnosti zníženej sadzby úhrady s prihliadnutím na špecifickosť problematiky ťažby domáceho hnedého uhlia v Slovenskej republike vo vzťahu k ukončeniu podpory výroby elektriny z domáceho uhlia v elektrárni Nováky podľa uznesenia vlády č. 580 z 12. decembra 2018 do roku 2023. </w:t>
            </w:r>
          </w:p>
          <w:p w:rsidR="004D37AB" w:rsidRPr="00F74AD9" w:rsidRDefault="004D37AB" w:rsidP="004D37AB">
            <w:pPr>
              <w:jc w:val="both"/>
              <w:rPr>
                <w:sz w:val="20"/>
                <w:szCs w:val="20"/>
              </w:rPr>
            </w:pPr>
            <w:r w:rsidRPr="00F74AD9">
              <w:rPr>
                <w:sz w:val="20"/>
                <w:szCs w:val="20"/>
              </w:rPr>
              <w:t>Od roku 2024 sa predpokladá zvýšenie úhrad za lignit a uhlie v prípade, že v prevádzke zostane baňa Čáry, na ktorú sa nevzťahuje uzatvorenie ťažobných polí v regióne hornej Nitry. Skutočná výška nákladov dotknutých subjektov sa bude odvíjať od objemu vydobytých nerastov</w:t>
            </w:r>
            <w:r w:rsidR="008A1BDC">
              <w:rPr>
                <w:sz w:val="20"/>
                <w:szCs w:val="20"/>
              </w:rPr>
              <w:t>, </w:t>
            </w:r>
            <w:r w:rsidRPr="00F74AD9">
              <w:rPr>
                <w:sz w:val="20"/>
                <w:szCs w:val="20"/>
              </w:rPr>
              <w:t>pomeru nákladov na dobývanie k celkovým nákladom a od výšky tržieb za výrobky z vydobytých nerastov</w:t>
            </w:r>
            <w:r w:rsidR="00372102">
              <w:rPr>
                <w:sz w:val="20"/>
                <w:szCs w:val="20"/>
              </w:rPr>
              <w:t xml:space="preserve"> v jednotlivých rokoch</w:t>
            </w:r>
            <w:r w:rsidRPr="00F74AD9">
              <w:rPr>
                <w:sz w:val="20"/>
                <w:szCs w:val="20"/>
              </w:rPr>
              <w:t xml:space="preserve">. </w:t>
            </w:r>
          </w:p>
          <w:p w:rsidR="004D37AB" w:rsidRPr="00F74AD9" w:rsidRDefault="004D37AB" w:rsidP="004D37AB">
            <w:pPr>
              <w:jc w:val="both"/>
              <w:rPr>
                <w:sz w:val="20"/>
                <w:szCs w:val="20"/>
              </w:rPr>
            </w:pPr>
            <w:r w:rsidRPr="00F74AD9">
              <w:rPr>
                <w:sz w:val="20"/>
                <w:szCs w:val="20"/>
              </w:rPr>
              <w:t>Nepriame finančné náklady: nie je identifikované zvýšenie nepriamych finančných nákladov, keďže sa jedná výlučne o odstránenie zvýhodnenej výšky sadzby – t. j. zmena výpočtu úhrad.</w:t>
            </w:r>
          </w:p>
          <w:p w:rsidR="004D37AB" w:rsidRPr="00F74AD9" w:rsidRDefault="004D37AB" w:rsidP="004D37AB">
            <w:pPr>
              <w:jc w:val="both"/>
              <w:rPr>
                <w:sz w:val="20"/>
                <w:szCs w:val="20"/>
              </w:rPr>
            </w:pPr>
            <w:r w:rsidRPr="00F74AD9">
              <w:rPr>
                <w:sz w:val="20"/>
                <w:szCs w:val="20"/>
              </w:rPr>
              <w:t>Administratívne náklady: nie je identifikované zvýšenie administratívnych nákladov, keďže subjekty činnosti a procesy v rámci regulácie platenia úhrad dlhodobo vykonávajú.</w:t>
            </w:r>
          </w:p>
          <w:p w:rsidR="00C23A65" w:rsidRPr="006A65DD" w:rsidRDefault="00F74AD9" w:rsidP="004D37AB">
            <w:pPr>
              <w:jc w:val="both"/>
              <w:rPr>
                <w:bCs/>
                <w:sz w:val="20"/>
                <w:szCs w:val="20"/>
              </w:rPr>
            </w:pPr>
            <w:r w:rsidRPr="00F74AD9">
              <w:rPr>
                <w:bCs/>
                <w:sz w:val="20"/>
                <w:szCs w:val="20"/>
              </w:rPr>
              <w:t>Zmena nariadenia v podobe zrušenia dosiaľ uplatňovanej výnimky nemá plošný dopad na kategóriu malých a stredných podnikov v sektore ťažby nerastných surovín. Subjekty podnikajúce v tomto sektore sa riadia Prílohou č. 2 nariadenia, ktorá sa nemení.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9F4E62" w:rsidRDefault="00445E50" w:rsidP="00206AB5">
            <w:pPr>
              <w:rPr>
                <w:b/>
                <w:i/>
                <w:sz w:val="20"/>
                <w:szCs w:val="20"/>
              </w:rPr>
            </w:pPr>
            <w:r w:rsidRPr="009F4E62">
              <w:rPr>
                <w:b/>
                <w:i/>
                <w:sz w:val="20"/>
                <w:szCs w:val="20"/>
              </w:rPr>
              <w:lastRenderedPageBreak/>
              <w:t>3.3.2 Nepriame finančné náklady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F74AD9" w:rsidRDefault="00F74AD9" w:rsidP="00206AB5">
            <w:pPr>
              <w:rPr>
                <w:sz w:val="20"/>
                <w:szCs w:val="20"/>
              </w:rPr>
            </w:pPr>
            <w:r w:rsidRPr="00F74AD9">
              <w:rPr>
                <w:sz w:val="20"/>
                <w:szCs w:val="20"/>
              </w:rPr>
              <w:t>Nevznikajú. Výber úhrad, ich evidencia a odvod sú už súčasťou vykonávaných činností dotknutých subjektov a štátnej banskej správy, a teda nevzniká dotknutým stranám žiadny dodatočný nepriamy finančný náklad.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9F4E62" w:rsidRDefault="00445E50" w:rsidP="00206AB5">
            <w:pPr>
              <w:rPr>
                <w:b/>
                <w:i/>
                <w:sz w:val="20"/>
                <w:szCs w:val="20"/>
              </w:rPr>
            </w:pPr>
            <w:r w:rsidRPr="009F4E62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F74AD9" w:rsidRDefault="00F74AD9" w:rsidP="00F74AD9">
            <w:pPr>
              <w:jc w:val="both"/>
              <w:rPr>
                <w:sz w:val="20"/>
                <w:szCs w:val="20"/>
              </w:rPr>
            </w:pPr>
            <w:r w:rsidRPr="00F74AD9">
              <w:rPr>
                <w:sz w:val="20"/>
                <w:szCs w:val="20"/>
              </w:rPr>
              <w:t>Nie je identifikované zvýšenie administratívnych nákladov, keďže podnikateľské subjekty činnosti a procesy v rámci regulácie platenia úhrad dlhodobo vykonávajú.</w:t>
            </w:r>
          </w:p>
        </w:tc>
      </w:tr>
      <w:tr w:rsidR="00445E50" w:rsidRPr="009F4E62" w:rsidTr="00206AB5">
        <w:trPr>
          <w:trHeight w:val="3071"/>
        </w:trPr>
        <w:tc>
          <w:tcPr>
            <w:tcW w:w="9212" w:type="dxa"/>
          </w:tcPr>
          <w:p w:rsidR="00445E50" w:rsidRPr="0011330A" w:rsidRDefault="00445E50" w:rsidP="00206AB5">
            <w:pPr>
              <w:rPr>
                <w:b/>
                <w:i/>
                <w:sz w:val="20"/>
                <w:szCs w:val="20"/>
              </w:rPr>
            </w:pPr>
            <w:r w:rsidRPr="0011330A">
              <w:rPr>
                <w:b/>
                <w:i/>
                <w:sz w:val="20"/>
                <w:szCs w:val="20"/>
              </w:rPr>
              <w:t>3.3.4 Súhrnná tabu</w:t>
            </w:r>
            <w:r>
              <w:rPr>
                <w:b/>
                <w:i/>
                <w:sz w:val="20"/>
                <w:szCs w:val="20"/>
              </w:rPr>
              <w:t>ľka nákladov regulácie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2835"/>
              <w:gridCol w:w="3118"/>
            </w:tblGrid>
            <w:tr w:rsidR="00445E50" w:rsidTr="00206AB5">
              <w:trPr>
                <w:trHeight w:val="469"/>
              </w:trPr>
              <w:tc>
                <w:tcPr>
                  <w:tcW w:w="2569" w:type="dxa"/>
                  <w:shd w:val="clear" w:color="auto" w:fill="auto"/>
                </w:tcPr>
                <w:p w:rsidR="00445E50" w:rsidRPr="00B238DC" w:rsidRDefault="00445E50" w:rsidP="00206AB5">
                  <w:pPr>
                    <w:rPr>
                      <w:sz w:val="20"/>
                    </w:rPr>
                  </w:pPr>
                </w:p>
                <w:p w:rsidR="00445E50" w:rsidRPr="00B238DC" w:rsidRDefault="00445E50" w:rsidP="00206AB5">
                  <w:pPr>
                    <w:rPr>
                      <w:sz w:val="20"/>
                    </w:rPr>
                  </w:pPr>
                </w:p>
                <w:p w:rsidR="00445E50" w:rsidRPr="00B238DC" w:rsidRDefault="00445E50" w:rsidP="00206AB5">
                  <w:pPr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Náklady na 1 podnikateľa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Náklady na celé podnikateľské prostredie</w:t>
                  </w:r>
                </w:p>
              </w:tc>
            </w:tr>
            <w:tr w:rsidR="00445E50" w:rsidTr="00206AB5">
              <w:trPr>
                <w:trHeight w:val="190"/>
              </w:trPr>
              <w:tc>
                <w:tcPr>
                  <w:tcW w:w="2569" w:type="dxa"/>
                  <w:shd w:val="clear" w:color="auto" w:fill="auto"/>
                </w:tcPr>
                <w:p w:rsidR="00445E50" w:rsidRPr="00B238DC" w:rsidRDefault="00445E50" w:rsidP="00206AB5">
                  <w:pPr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 xml:space="preserve">Priame finančné náklady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n/a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141 474  (r. 2021 – 2023)*</w:t>
                  </w:r>
                </w:p>
                <w:p w:rsidR="00445E50" w:rsidRPr="00B238DC" w:rsidRDefault="00445E50" w:rsidP="00206AB5">
                  <w:pPr>
                    <w:jc w:val="center"/>
                    <w:rPr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392 654  (r. 2024)**</w:t>
                  </w:r>
                </w:p>
              </w:tc>
            </w:tr>
            <w:tr w:rsidR="00445E50" w:rsidTr="00206AB5">
              <w:trPr>
                <w:trHeight w:val="190"/>
              </w:trPr>
              <w:tc>
                <w:tcPr>
                  <w:tcW w:w="2569" w:type="dxa"/>
                  <w:shd w:val="clear" w:color="auto" w:fill="auto"/>
                </w:tcPr>
                <w:p w:rsidR="00445E50" w:rsidRPr="00B238DC" w:rsidRDefault="00445E50" w:rsidP="00206AB5">
                  <w:pPr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Nepriame finančné náklady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n/a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n/a</w:t>
                  </w:r>
                </w:p>
              </w:tc>
            </w:tr>
            <w:tr w:rsidR="00445E50" w:rsidTr="00206AB5">
              <w:trPr>
                <w:trHeight w:val="190"/>
              </w:trPr>
              <w:tc>
                <w:tcPr>
                  <w:tcW w:w="2569" w:type="dxa"/>
                  <w:shd w:val="clear" w:color="auto" w:fill="auto"/>
                </w:tcPr>
                <w:p w:rsidR="00445E50" w:rsidRPr="00B238DC" w:rsidRDefault="00445E50" w:rsidP="00206AB5">
                  <w:pPr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Administratívne náklady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n/a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i/>
                      <w:sz w:val="20"/>
                    </w:rPr>
                  </w:pPr>
                  <w:r w:rsidRPr="00B238DC">
                    <w:rPr>
                      <w:i/>
                      <w:sz w:val="20"/>
                    </w:rPr>
                    <w:t>n/a</w:t>
                  </w:r>
                </w:p>
              </w:tc>
            </w:tr>
            <w:tr w:rsidR="00445E50" w:rsidTr="00206AB5">
              <w:trPr>
                <w:trHeight w:val="177"/>
              </w:trPr>
              <w:tc>
                <w:tcPr>
                  <w:tcW w:w="2569" w:type="dxa"/>
                  <w:shd w:val="clear" w:color="auto" w:fill="auto"/>
                </w:tcPr>
                <w:p w:rsidR="00445E50" w:rsidRPr="00B238DC" w:rsidRDefault="00445E50" w:rsidP="00206AB5">
                  <w:pPr>
                    <w:rPr>
                      <w:i/>
                      <w:sz w:val="20"/>
                    </w:rPr>
                  </w:pPr>
                  <w:r w:rsidRPr="00B238DC">
                    <w:rPr>
                      <w:b/>
                      <w:i/>
                      <w:sz w:val="20"/>
                    </w:rPr>
                    <w:t>Celkové náklady regulácie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238DC">
                    <w:rPr>
                      <w:b/>
                      <w:i/>
                      <w:sz w:val="20"/>
                    </w:rPr>
                    <w:t>n/a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445E50" w:rsidRPr="00B238DC" w:rsidRDefault="00445E50" w:rsidP="00206AB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238DC">
                    <w:rPr>
                      <w:b/>
                      <w:i/>
                      <w:sz w:val="20"/>
                    </w:rPr>
                    <w:t>141 474  (r. 2021 – 2023)*</w:t>
                  </w:r>
                </w:p>
                <w:p w:rsidR="00445E50" w:rsidRPr="00B238DC" w:rsidRDefault="00445E50" w:rsidP="00206AB5">
                  <w:pPr>
                    <w:jc w:val="center"/>
                    <w:rPr>
                      <w:sz w:val="20"/>
                    </w:rPr>
                  </w:pPr>
                  <w:r w:rsidRPr="00B238DC">
                    <w:rPr>
                      <w:b/>
                      <w:i/>
                      <w:sz w:val="20"/>
                    </w:rPr>
                    <w:t>392 654  (r. 2024)**</w:t>
                  </w:r>
                </w:p>
              </w:tc>
            </w:tr>
          </w:tbl>
          <w:p w:rsidR="00445E50" w:rsidRDefault="00445E50" w:rsidP="00206AB5">
            <w:pPr>
              <w:rPr>
                <w:i/>
                <w:sz w:val="20"/>
                <w:szCs w:val="20"/>
              </w:rPr>
            </w:pPr>
            <w:r w:rsidRPr="003642E8">
              <w:rPr>
                <w:i/>
                <w:sz w:val="20"/>
                <w:szCs w:val="20"/>
              </w:rPr>
              <w:t>* Jedna firma predstavuje celé prostredie dotknutých podnikateľských subjektov.</w:t>
            </w:r>
          </w:p>
          <w:p w:rsidR="00445E50" w:rsidRPr="003642E8" w:rsidRDefault="00445E50" w:rsidP="00206AB5">
            <w:r w:rsidRPr="003642E8">
              <w:rPr>
                <w:i/>
                <w:sz w:val="20"/>
                <w:szCs w:val="20"/>
              </w:rPr>
              <w:t>** Dve firmy predstavujú celé prostredie dotknutých podnikateľských subjektov.</w:t>
            </w:r>
          </w:p>
        </w:tc>
      </w:tr>
      <w:tr w:rsidR="00445E50" w:rsidRPr="009F4E62" w:rsidTr="00206AB5">
        <w:tc>
          <w:tcPr>
            <w:tcW w:w="9212" w:type="dxa"/>
            <w:shd w:val="clear" w:color="auto" w:fill="D9D9D9"/>
          </w:tcPr>
          <w:p w:rsidR="00445E50" w:rsidRPr="009F4E62" w:rsidRDefault="00445E50" w:rsidP="00206AB5">
            <w:pPr>
              <w:rPr>
                <w:b/>
                <w:szCs w:val="20"/>
              </w:rPr>
            </w:pPr>
            <w:r w:rsidRPr="009F4E62">
              <w:rPr>
                <w:b/>
                <w:szCs w:val="20"/>
              </w:rPr>
              <w:t>3.4 Konkurencieschopnosť a správanie sa podnikov na trhu</w:t>
            </w:r>
          </w:p>
          <w:p w:rsidR="00445E50" w:rsidRPr="009F4E62" w:rsidRDefault="00445E50" w:rsidP="00206AB5">
            <w:pPr>
              <w:rPr>
                <w:sz w:val="20"/>
                <w:szCs w:val="20"/>
              </w:rPr>
            </w:pPr>
            <w:r w:rsidRPr="009F4E62">
              <w:rPr>
                <w:szCs w:val="20"/>
              </w:rPr>
              <w:t xml:space="preserve">- </w:t>
            </w:r>
            <w:r w:rsidRPr="009F4E62">
              <w:rPr>
                <w:b/>
                <w:szCs w:val="20"/>
              </w:rPr>
              <w:t>z toho MSP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9F4E62">
              <w:rPr>
                <w:i/>
                <w:sz w:val="20"/>
                <w:szCs w:val="20"/>
              </w:rPr>
              <w:t>mikro</w:t>
            </w:r>
            <w:proofErr w:type="spellEnd"/>
            <w:r w:rsidRPr="009F4E62">
              <w:rPr>
                <w:i/>
                <w:sz w:val="20"/>
                <w:szCs w:val="20"/>
              </w:rPr>
              <w:t>, malé a stredné podniky tzv. MSP)? Ak áno, popíšte.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445E50" w:rsidRPr="009F4E62" w:rsidTr="00206AB5">
        <w:trPr>
          <w:trHeight w:val="1282"/>
        </w:trPr>
        <w:tc>
          <w:tcPr>
            <w:tcW w:w="9212" w:type="dxa"/>
          </w:tcPr>
          <w:p w:rsidR="00F74AD9" w:rsidRPr="008E621F" w:rsidRDefault="00445E50" w:rsidP="0020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Časové ohraničenie platnosti zníženia </w:t>
            </w:r>
            <w:r w:rsidRPr="009F4E62">
              <w:rPr>
                <w:sz w:val="20"/>
                <w:szCs w:val="20"/>
              </w:rPr>
              <w:t xml:space="preserve">sadzby bude mať pozitívny dopad na </w:t>
            </w:r>
            <w:r w:rsidRPr="009F4E62">
              <w:rPr>
                <w:bCs/>
                <w:sz w:val="20"/>
                <w:szCs w:val="20"/>
              </w:rPr>
              <w:t xml:space="preserve">podnikateľské prostredie, pretože dôjde k odstráneniu zvýhodnenia vybranej skupiny podnikateľských subjektov, a tým dôjde k ich </w:t>
            </w:r>
            <w:r w:rsidRPr="008E621F">
              <w:rPr>
                <w:bCs/>
                <w:sz w:val="20"/>
                <w:szCs w:val="20"/>
              </w:rPr>
              <w:t>zrovnoprávneniu.</w:t>
            </w:r>
            <w:r w:rsidRPr="008E621F">
              <w:rPr>
                <w:sz w:val="20"/>
                <w:szCs w:val="20"/>
              </w:rPr>
              <w:t xml:space="preserve"> </w:t>
            </w:r>
          </w:p>
          <w:p w:rsidR="00F74AD9" w:rsidRPr="008E621F" w:rsidRDefault="00F74AD9" w:rsidP="00F74AD9">
            <w:pPr>
              <w:jc w:val="both"/>
              <w:rPr>
                <w:bCs/>
                <w:sz w:val="20"/>
                <w:szCs w:val="20"/>
              </w:rPr>
            </w:pPr>
            <w:r w:rsidRPr="008E621F">
              <w:rPr>
                <w:bCs/>
                <w:sz w:val="20"/>
                <w:szCs w:val="20"/>
              </w:rPr>
              <w:t xml:space="preserve">Zo strednodobého hľadiska, priamy finančný dopad na dotknuté podnikateľské subjekty nezníži ich konkurencieschopnosť. Podľa </w:t>
            </w:r>
            <w:r w:rsidR="008E621F" w:rsidRPr="008E621F">
              <w:rPr>
                <w:bCs/>
                <w:sz w:val="20"/>
                <w:szCs w:val="20"/>
              </w:rPr>
              <w:t xml:space="preserve">posledných </w:t>
            </w:r>
            <w:r w:rsidRPr="008E621F">
              <w:rPr>
                <w:bCs/>
                <w:sz w:val="20"/>
                <w:szCs w:val="20"/>
              </w:rPr>
              <w:t xml:space="preserve">zverejnených údajov dotknuté subjekty dosiahli v roku 2018 kumulatívne tržby takmer 120 mil. €, zisk približne 8,3 mil. €, pričom očakávané priame dodatočné finančné náklady vyplývajúce z úhrad </w:t>
            </w:r>
            <w:r w:rsidR="005A7BA7">
              <w:rPr>
                <w:bCs/>
                <w:sz w:val="20"/>
                <w:szCs w:val="20"/>
              </w:rPr>
              <w:t>v rokoch 2021 - 2023 sú 141 tisíc</w:t>
            </w:r>
            <w:r w:rsidRPr="008E621F">
              <w:rPr>
                <w:bCs/>
                <w:sz w:val="20"/>
                <w:szCs w:val="20"/>
              </w:rPr>
              <w:t xml:space="preserve"> € ročne a v následnom roku 2024 vo výške 392 tis</w:t>
            </w:r>
            <w:r w:rsidR="005A7BA7">
              <w:rPr>
                <w:bCs/>
                <w:sz w:val="20"/>
                <w:szCs w:val="20"/>
              </w:rPr>
              <w:t>íc</w:t>
            </w:r>
            <w:r w:rsidRPr="008E621F">
              <w:rPr>
                <w:bCs/>
                <w:sz w:val="20"/>
                <w:szCs w:val="20"/>
              </w:rPr>
              <w:t xml:space="preserve"> €. Neočakáva sa preto ani zmena správania sa podnikov na trhu, nemenia sa podmienky vstupu na trh, nezavádzajú sa nové povinnosti a nevznikajú nepriame vplyvy na dostupnosť surovín a pracovnej sily. </w:t>
            </w:r>
          </w:p>
          <w:p w:rsidR="00F74AD9" w:rsidRDefault="00F74AD9" w:rsidP="00F74AD9">
            <w:pPr>
              <w:jc w:val="both"/>
              <w:rPr>
                <w:bCs/>
                <w:sz w:val="20"/>
                <w:szCs w:val="20"/>
              </w:rPr>
            </w:pPr>
            <w:r w:rsidRPr="008E621F">
              <w:rPr>
                <w:sz w:val="20"/>
                <w:szCs w:val="20"/>
              </w:rPr>
              <w:t xml:space="preserve">Časové ohraničenie platnosti zníženia sadzby je pozitívnym krokom, ktorým dochádza </w:t>
            </w:r>
            <w:r w:rsidRPr="008E621F">
              <w:rPr>
                <w:bCs/>
                <w:sz w:val="20"/>
                <w:szCs w:val="20"/>
              </w:rPr>
              <w:t xml:space="preserve">k odstráneniu zvýhodnenia vybranej skupiny podnikateľských subjektov, a tým k ich zrovnoprávneniu s ostatnými súťažiteľmi </w:t>
            </w:r>
            <w:r w:rsidR="005F11B8">
              <w:rPr>
                <w:bCs/>
                <w:sz w:val="20"/>
                <w:szCs w:val="20"/>
              </w:rPr>
              <w:t>v sektore</w:t>
            </w:r>
            <w:r w:rsidRPr="008E621F">
              <w:rPr>
                <w:bCs/>
                <w:sz w:val="20"/>
                <w:szCs w:val="20"/>
              </w:rPr>
              <w:t xml:space="preserve"> ťažby nerastných surovín.</w:t>
            </w:r>
            <w:r w:rsidRPr="008E621F">
              <w:rPr>
                <w:sz w:val="20"/>
                <w:szCs w:val="20"/>
              </w:rPr>
              <w:t xml:space="preserve"> Doplnenie časového ohraničenia bude mať negatívny dopad na úzku skupinu podnikateľských subjektov, ktorí budú po nadobudnutí účinnosti nariadenia v novom znení platiť riadnu sadzbu úhrad</w:t>
            </w:r>
            <w:r w:rsidRPr="008E621F">
              <w:rPr>
                <w:bCs/>
                <w:sz w:val="20"/>
                <w:szCs w:val="20"/>
              </w:rPr>
              <w:t xml:space="preserve"> za vydobyté nerasty, z ktorých možno priemyselne vyrábať kovy, s výnimkou rúd zlata a striebra a za lignit a</w:t>
            </w:r>
            <w:r w:rsidR="008E621F" w:rsidRPr="008E621F">
              <w:rPr>
                <w:bCs/>
                <w:sz w:val="20"/>
                <w:szCs w:val="20"/>
              </w:rPr>
              <w:t> </w:t>
            </w:r>
            <w:r w:rsidRPr="008E621F">
              <w:rPr>
                <w:bCs/>
                <w:sz w:val="20"/>
                <w:szCs w:val="20"/>
              </w:rPr>
              <w:t>uhlia</w:t>
            </w:r>
            <w:r w:rsidR="008E621F" w:rsidRPr="008E621F">
              <w:rPr>
                <w:bCs/>
                <w:sz w:val="20"/>
                <w:szCs w:val="20"/>
              </w:rPr>
              <w:t>.</w:t>
            </w:r>
          </w:p>
          <w:p w:rsidR="00445E50" w:rsidRPr="006166B5" w:rsidRDefault="008E621F" w:rsidP="00206AB5">
            <w:pPr>
              <w:jc w:val="both"/>
              <w:rPr>
                <w:bCs/>
                <w:sz w:val="20"/>
                <w:szCs w:val="20"/>
              </w:rPr>
            </w:pPr>
            <w:r w:rsidRPr="00F74AD9">
              <w:rPr>
                <w:bCs/>
                <w:sz w:val="20"/>
                <w:szCs w:val="20"/>
              </w:rPr>
              <w:t>Zmena nariadenia v podobe zrušenia dosiaľ uplatňovanej výnimky nemá plošný dopad na kategóriu malých a stredných podnikov v sektore ťažby nerastných surovín. Subjekty podnikajúce v tomto sektore sa riadia Prílohou č. 2 nariadenia, ktorá sa nemení.</w:t>
            </w:r>
          </w:p>
        </w:tc>
      </w:tr>
      <w:tr w:rsidR="00445E50" w:rsidRPr="009F4E62" w:rsidTr="00206AB5">
        <w:tc>
          <w:tcPr>
            <w:tcW w:w="9212" w:type="dxa"/>
            <w:shd w:val="clear" w:color="auto" w:fill="D9D9D9"/>
          </w:tcPr>
          <w:p w:rsidR="00445E50" w:rsidRPr="009F4E62" w:rsidRDefault="00445E50" w:rsidP="00206AB5">
            <w:pPr>
              <w:rPr>
                <w:b/>
                <w:szCs w:val="20"/>
              </w:rPr>
            </w:pPr>
            <w:r w:rsidRPr="009F4E62">
              <w:rPr>
                <w:b/>
                <w:szCs w:val="20"/>
              </w:rPr>
              <w:t xml:space="preserve">3.5 Inovácie </w:t>
            </w:r>
          </w:p>
          <w:p w:rsidR="00445E50" w:rsidRPr="009F4E62" w:rsidRDefault="00445E50" w:rsidP="00206AB5">
            <w:pPr>
              <w:rPr>
                <w:b/>
                <w:sz w:val="20"/>
                <w:szCs w:val="20"/>
              </w:rPr>
            </w:pPr>
            <w:r w:rsidRPr="009F4E62">
              <w:rPr>
                <w:szCs w:val="20"/>
              </w:rPr>
              <w:t xml:space="preserve">       - </w:t>
            </w:r>
            <w:r w:rsidRPr="009F4E62">
              <w:rPr>
                <w:b/>
                <w:szCs w:val="20"/>
              </w:rPr>
              <w:t>z toho MSP</w:t>
            </w:r>
          </w:p>
        </w:tc>
      </w:tr>
      <w:tr w:rsidR="00445E50" w:rsidRPr="009F4E62" w:rsidTr="00206AB5">
        <w:tc>
          <w:tcPr>
            <w:tcW w:w="9212" w:type="dxa"/>
          </w:tcPr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445E50" w:rsidRPr="009F4E62" w:rsidRDefault="00445E50" w:rsidP="00206AB5">
            <w:pPr>
              <w:rPr>
                <w:i/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lastRenderedPageBreak/>
              <w:t>Podporuje vyššiu efektivitu výroby/využívania zdrojov? Ak áno, ako?</w:t>
            </w:r>
          </w:p>
          <w:p w:rsidR="00445E50" w:rsidRPr="009F4E62" w:rsidRDefault="00445E50" w:rsidP="00206AB5">
            <w:pPr>
              <w:rPr>
                <w:sz w:val="20"/>
                <w:szCs w:val="20"/>
              </w:rPr>
            </w:pPr>
            <w:r w:rsidRPr="009F4E62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</w:tbl>
    <w:p w:rsidR="00445E50" w:rsidRPr="009F4E62" w:rsidRDefault="00445E50" w:rsidP="00445E50"/>
    <w:p w:rsidR="00445E50" w:rsidRPr="009F4E62" w:rsidRDefault="00445E50" w:rsidP="00445E50"/>
    <w:p w:rsidR="00445E50" w:rsidRPr="009F4E62" w:rsidRDefault="00445E50" w:rsidP="00445E50"/>
    <w:p w:rsidR="006E48A3" w:rsidRDefault="006E48A3"/>
    <w:sectPr w:rsidR="006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68" w:rsidRDefault="00C06368" w:rsidP="00C06368">
      <w:r>
        <w:separator/>
      </w:r>
    </w:p>
  </w:endnote>
  <w:endnote w:type="continuationSeparator" w:id="0">
    <w:p w:rsidR="00C06368" w:rsidRDefault="00C06368" w:rsidP="00C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784179"/>
      <w:docPartObj>
        <w:docPartGallery w:val="Page Numbers (Bottom of Page)"/>
        <w:docPartUnique/>
      </w:docPartObj>
    </w:sdtPr>
    <w:sdtContent>
      <w:p w:rsidR="00C06368" w:rsidRDefault="00C0636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6368" w:rsidRDefault="00C063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68" w:rsidRDefault="00C06368" w:rsidP="00C06368">
      <w:r>
        <w:separator/>
      </w:r>
    </w:p>
  </w:footnote>
  <w:footnote w:type="continuationSeparator" w:id="0">
    <w:p w:rsidR="00C06368" w:rsidRDefault="00C06368" w:rsidP="00C0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54BC4"/>
    <w:multiLevelType w:val="hybridMultilevel"/>
    <w:tmpl w:val="A67C5C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50"/>
    <w:rsid w:val="000D5ED8"/>
    <w:rsid w:val="00206AB5"/>
    <w:rsid w:val="002729C8"/>
    <w:rsid w:val="00326684"/>
    <w:rsid w:val="00372102"/>
    <w:rsid w:val="00423721"/>
    <w:rsid w:val="00445E50"/>
    <w:rsid w:val="004A0E68"/>
    <w:rsid w:val="004D128A"/>
    <w:rsid w:val="004D37AB"/>
    <w:rsid w:val="004E1A6E"/>
    <w:rsid w:val="00513CFC"/>
    <w:rsid w:val="00513ECF"/>
    <w:rsid w:val="005A7BA7"/>
    <w:rsid w:val="005F11B8"/>
    <w:rsid w:val="00627C94"/>
    <w:rsid w:val="006401E5"/>
    <w:rsid w:val="006A65DD"/>
    <w:rsid w:val="006E48A3"/>
    <w:rsid w:val="007928D5"/>
    <w:rsid w:val="008118D4"/>
    <w:rsid w:val="00875622"/>
    <w:rsid w:val="008A1BDC"/>
    <w:rsid w:val="008E621F"/>
    <w:rsid w:val="00953CAD"/>
    <w:rsid w:val="00967C96"/>
    <w:rsid w:val="00973B28"/>
    <w:rsid w:val="00B26D70"/>
    <w:rsid w:val="00C06368"/>
    <w:rsid w:val="00C23A65"/>
    <w:rsid w:val="00C7158E"/>
    <w:rsid w:val="00CB03A4"/>
    <w:rsid w:val="00D30B15"/>
    <w:rsid w:val="00D30CDF"/>
    <w:rsid w:val="00EB490F"/>
    <w:rsid w:val="00F74AD9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512B-2790-4CBE-A604-825FA64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E5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2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63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3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63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36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kas.mato@mh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3906</Words>
  <Characters>22270</Characters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2020-10-27T09:41:00Z</cp:lastPrinted>
  <dcterms:created xsi:type="dcterms:W3CDTF">2020-10-13T11:36:00Z</dcterms:created>
  <dcterms:modified xsi:type="dcterms:W3CDTF">2020-12-02T07:23:00Z</dcterms:modified>
</cp:coreProperties>
</file>