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C80FD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7F7D368F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01A30530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660AB204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35C2A68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41D3ACC0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</w:p>
    <w:p w14:paraId="70971AD6" w14:textId="77777777" w:rsidR="007D5748" w:rsidRPr="00A47669" w:rsidRDefault="007D5748" w:rsidP="00A47669">
      <w:pPr>
        <w:spacing w:after="0" w:line="240" w:lineRule="auto"/>
        <w:ind w:hanging="426"/>
        <w:rPr>
          <w:rFonts w:ascii="Times New Roman" w:eastAsia="Times New Roman" w:hAnsi="Times New Roman"/>
          <w:sz w:val="24"/>
          <w:szCs w:val="20"/>
          <w:lang w:eastAsia="sk-SK"/>
        </w:rPr>
      </w:pPr>
      <w:r w:rsidRPr="00A47669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1 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580"/>
        <w:gridCol w:w="1267"/>
        <w:gridCol w:w="1267"/>
        <w:gridCol w:w="1267"/>
      </w:tblGrid>
      <w:tr w:rsidR="007D5748" w:rsidRPr="004C0FAD" w14:paraId="47289B99" w14:textId="77777777" w:rsidTr="00DB7CB3">
        <w:trPr>
          <w:cantSplit/>
          <w:trHeight w:val="194"/>
          <w:jc w:val="center"/>
        </w:trPr>
        <w:tc>
          <w:tcPr>
            <w:tcW w:w="4460" w:type="dxa"/>
            <w:vMerge w:val="restart"/>
            <w:shd w:val="clear" w:color="auto" w:fill="BFBFBF"/>
            <w:vAlign w:val="center"/>
          </w:tcPr>
          <w:p w14:paraId="6FED82D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381" w:type="dxa"/>
            <w:gridSpan w:val="4"/>
            <w:shd w:val="clear" w:color="auto" w:fill="BFBFBF"/>
            <w:vAlign w:val="center"/>
          </w:tcPr>
          <w:p w14:paraId="05C08E8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4C0FAD" w14:paraId="77D08902" w14:textId="77777777" w:rsidTr="00DB7CB3">
        <w:trPr>
          <w:cantSplit/>
          <w:trHeight w:val="70"/>
          <w:jc w:val="center"/>
        </w:trPr>
        <w:tc>
          <w:tcPr>
            <w:tcW w:w="4460" w:type="dxa"/>
            <w:vMerge/>
            <w:shd w:val="clear" w:color="auto" w:fill="BFBFBF"/>
            <w:vAlign w:val="center"/>
          </w:tcPr>
          <w:p w14:paraId="7BE60C2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shd w:val="clear" w:color="auto" w:fill="BFBFBF"/>
            <w:vAlign w:val="center"/>
          </w:tcPr>
          <w:p w14:paraId="436D30A0" w14:textId="49584EE8" w:rsidR="007D5748" w:rsidRPr="007D5748" w:rsidRDefault="008F3AD5" w:rsidP="008F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14:paraId="4EEF38B9" w14:textId="0918BFC7" w:rsidR="00E632FD" w:rsidRDefault="00693348" w:rsidP="008F3A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8F3A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14:paraId="4A5FFFCD" w14:textId="364402CA" w:rsidR="007D5748" w:rsidRPr="007D5748" w:rsidRDefault="008F3AD5" w:rsidP="008F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/>
            <w:vAlign w:val="center"/>
          </w:tcPr>
          <w:p w14:paraId="5FE53935" w14:textId="2B849C0F" w:rsidR="007D5748" w:rsidRPr="007D5748" w:rsidRDefault="008F3AD5" w:rsidP="008F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7D5748" w:rsidRPr="004C0FAD" w14:paraId="31013457" w14:textId="77777777" w:rsidTr="00DB7CB3">
        <w:trPr>
          <w:trHeight w:val="70"/>
          <w:jc w:val="center"/>
        </w:trPr>
        <w:tc>
          <w:tcPr>
            <w:tcW w:w="4460" w:type="dxa"/>
            <w:shd w:val="clear" w:color="auto" w:fill="C0C0C0"/>
            <w:noWrap/>
            <w:vAlign w:val="center"/>
          </w:tcPr>
          <w:p w14:paraId="1624FB0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580" w:type="dxa"/>
            <w:shd w:val="clear" w:color="auto" w:fill="C0C0C0"/>
            <w:vAlign w:val="center"/>
          </w:tcPr>
          <w:p w14:paraId="23BE10C9" w14:textId="77777777" w:rsidR="007D5748" w:rsidRPr="007D5748" w:rsidRDefault="008F5262" w:rsidP="008F5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4D96A411" w14:textId="77777777" w:rsidR="007D5748" w:rsidRPr="007D5748" w:rsidRDefault="008F5262" w:rsidP="008F5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7211118" w14:textId="77777777" w:rsidR="007D5748" w:rsidRPr="007D5748" w:rsidRDefault="008F5262" w:rsidP="008F5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A99954B" w14:textId="77777777" w:rsidR="007D5748" w:rsidRPr="007D5748" w:rsidRDefault="008F5262" w:rsidP="008D4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7070AE9A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1641BC2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580" w:type="dxa"/>
            <w:noWrap/>
            <w:vAlign w:val="center"/>
          </w:tcPr>
          <w:p w14:paraId="72DB259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C3ED9E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239E25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1ADB7C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4C0FAD" w14:paraId="030B4091" w14:textId="77777777" w:rsidTr="00DB7CB3">
        <w:trPr>
          <w:trHeight w:val="125"/>
          <w:jc w:val="center"/>
        </w:trPr>
        <w:tc>
          <w:tcPr>
            <w:tcW w:w="4460" w:type="dxa"/>
            <w:noWrap/>
            <w:vAlign w:val="center"/>
          </w:tcPr>
          <w:p w14:paraId="2DE72B3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80" w:type="dxa"/>
            <w:noWrap/>
            <w:vAlign w:val="center"/>
          </w:tcPr>
          <w:p w14:paraId="18713B0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F2BD9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D60CE6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DA4EB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4C0FAD" w14:paraId="7BAA6D12" w14:textId="77777777" w:rsidTr="00DB7CB3">
        <w:trPr>
          <w:trHeight w:val="125"/>
          <w:jc w:val="center"/>
        </w:trPr>
        <w:tc>
          <w:tcPr>
            <w:tcW w:w="4460" w:type="dxa"/>
            <w:noWrap/>
            <w:vAlign w:val="center"/>
          </w:tcPr>
          <w:p w14:paraId="61B8ABFA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80" w:type="dxa"/>
            <w:noWrap/>
            <w:vAlign w:val="center"/>
          </w:tcPr>
          <w:p w14:paraId="04AA8399" w14:textId="77777777" w:rsidR="00C51FD4" w:rsidRPr="007D5748" w:rsidRDefault="005C60BD" w:rsidP="005C6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872CAC" w14:textId="77777777" w:rsidR="00C51FD4" w:rsidRPr="007D5748" w:rsidRDefault="005C60BD" w:rsidP="005C6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8C97CC8" w14:textId="77777777" w:rsidR="00C51FD4" w:rsidRPr="007D5748" w:rsidRDefault="005C60BD" w:rsidP="005C6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C4C445" w14:textId="77777777" w:rsidR="00C51FD4" w:rsidRPr="007D5748" w:rsidRDefault="005C60BD" w:rsidP="005C6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6E99F246" w14:textId="77777777" w:rsidTr="00DB7CB3">
        <w:trPr>
          <w:trHeight w:val="125"/>
          <w:jc w:val="center"/>
        </w:trPr>
        <w:tc>
          <w:tcPr>
            <w:tcW w:w="4460" w:type="dxa"/>
            <w:noWrap/>
            <w:vAlign w:val="center"/>
          </w:tcPr>
          <w:p w14:paraId="54273BDB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580" w:type="dxa"/>
            <w:noWrap/>
            <w:vAlign w:val="center"/>
          </w:tcPr>
          <w:p w14:paraId="0030253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0F7A1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CC253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0BC9B2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7272152E" w14:textId="77777777" w:rsidTr="00DB7CB3">
        <w:trPr>
          <w:trHeight w:val="125"/>
          <w:jc w:val="center"/>
        </w:trPr>
        <w:tc>
          <w:tcPr>
            <w:tcW w:w="4460" w:type="dxa"/>
            <w:noWrap/>
            <w:vAlign w:val="center"/>
          </w:tcPr>
          <w:p w14:paraId="22F05AF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80" w:type="dxa"/>
            <w:noWrap/>
            <w:vAlign w:val="center"/>
          </w:tcPr>
          <w:p w14:paraId="79DEB98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0805D4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87B36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BFB4AD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0B6D4CDD" w14:textId="77777777" w:rsidTr="00DB7CB3">
        <w:trPr>
          <w:trHeight w:val="125"/>
          <w:jc w:val="center"/>
        </w:trPr>
        <w:tc>
          <w:tcPr>
            <w:tcW w:w="4460" w:type="dxa"/>
            <w:noWrap/>
            <w:vAlign w:val="center"/>
          </w:tcPr>
          <w:p w14:paraId="1DA37D3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80" w:type="dxa"/>
            <w:noWrap/>
            <w:vAlign w:val="center"/>
          </w:tcPr>
          <w:p w14:paraId="2407C2C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C7582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8DBB8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260822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217CBC94" w14:textId="77777777" w:rsidTr="00DB7CB3">
        <w:trPr>
          <w:trHeight w:val="125"/>
          <w:jc w:val="center"/>
        </w:trPr>
        <w:tc>
          <w:tcPr>
            <w:tcW w:w="4460" w:type="dxa"/>
            <w:noWrap/>
            <w:vAlign w:val="center"/>
          </w:tcPr>
          <w:p w14:paraId="7B2A6D1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80" w:type="dxa"/>
            <w:noWrap/>
            <w:vAlign w:val="center"/>
          </w:tcPr>
          <w:p w14:paraId="25A7C4AD" w14:textId="77777777" w:rsidR="007D5748" w:rsidRPr="007D5748" w:rsidRDefault="00DE153D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030F90A" w14:textId="77777777" w:rsidR="007D5748" w:rsidRPr="007D5748" w:rsidRDefault="00DE153D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CEC674" w14:textId="77777777" w:rsidR="007D5748" w:rsidRPr="007D5748" w:rsidRDefault="00DE153D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4A03777" w14:textId="77777777" w:rsidR="007D5748" w:rsidRPr="007D5748" w:rsidRDefault="00DE153D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2F8DAA3B" w14:textId="77777777" w:rsidTr="00DB7CB3">
        <w:trPr>
          <w:trHeight w:val="125"/>
          <w:jc w:val="center"/>
        </w:trPr>
        <w:tc>
          <w:tcPr>
            <w:tcW w:w="4460" w:type="dxa"/>
            <w:shd w:val="clear" w:color="auto" w:fill="C0C0C0"/>
            <w:noWrap/>
            <w:vAlign w:val="center"/>
          </w:tcPr>
          <w:p w14:paraId="495B464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580" w:type="dxa"/>
            <w:shd w:val="clear" w:color="auto" w:fill="C0C0C0"/>
            <w:noWrap/>
            <w:vAlign w:val="center"/>
          </w:tcPr>
          <w:p w14:paraId="4DA38A00" w14:textId="1963AFB6" w:rsidR="007D5748" w:rsidRPr="00A5267E" w:rsidRDefault="008F3AD5" w:rsidP="00853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2519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5F2000A" w14:textId="02D0F578" w:rsidR="007D5748" w:rsidRPr="00A5267E" w:rsidRDefault="008F3AD5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FF83188" w14:textId="77777777" w:rsidR="007D5748" w:rsidRPr="00A5267E" w:rsidRDefault="00435B52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F912D8F" w14:textId="4876DBD8" w:rsidR="007D5748" w:rsidRPr="00A5267E" w:rsidRDefault="008138BE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</w:tr>
      <w:tr w:rsidR="007D5748" w:rsidRPr="004C0FAD" w14:paraId="2F23FC1A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68C866D5" w14:textId="77777777" w:rsidR="007D5748" w:rsidRPr="007D5748" w:rsidRDefault="003C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C46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 tom: </w:t>
            </w:r>
            <w:r w:rsidRPr="00B85A2E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MŽP SR/program 075</w:t>
            </w:r>
          </w:p>
        </w:tc>
        <w:tc>
          <w:tcPr>
            <w:tcW w:w="1580" w:type="dxa"/>
            <w:noWrap/>
            <w:vAlign w:val="center"/>
          </w:tcPr>
          <w:p w14:paraId="6B1DEB91" w14:textId="12DCC477" w:rsidR="007D5748" w:rsidRPr="00B85A2E" w:rsidRDefault="008F3AD5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267" w:type="dxa"/>
            <w:noWrap/>
            <w:vAlign w:val="center"/>
          </w:tcPr>
          <w:p w14:paraId="75E312FB" w14:textId="2CFBF071" w:rsidR="007D5748" w:rsidRPr="00B85A2E" w:rsidRDefault="008F3AD5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5C2A63" w14:textId="77777777" w:rsidR="007D5748" w:rsidRPr="00A5267E" w:rsidRDefault="00435B52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D2CD8A" w14:textId="77777777" w:rsidR="007D5748" w:rsidRPr="00A5267E" w:rsidRDefault="00435B52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764A" w:rsidRPr="004C0FAD" w14:paraId="3439A686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128B4A8A" w14:textId="77777777" w:rsidR="00CA764A" w:rsidRPr="003C4633" w:rsidRDefault="00CA764A" w:rsidP="00677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 xml:space="preserve">  Rozpočtové prostriedky </w:t>
            </w:r>
          </w:p>
        </w:tc>
        <w:tc>
          <w:tcPr>
            <w:tcW w:w="1580" w:type="dxa"/>
            <w:noWrap/>
            <w:vAlign w:val="center"/>
          </w:tcPr>
          <w:p w14:paraId="04B7427D" w14:textId="5843D72C" w:rsidR="00CA764A" w:rsidRPr="00B85A2E" w:rsidDel="00CA764A" w:rsidRDefault="008F3AD5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267" w:type="dxa"/>
            <w:noWrap/>
            <w:vAlign w:val="center"/>
          </w:tcPr>
          <w:p w14:paraId="057E6B4A" w14:textId="31BA3CCF" w:rsidR="00CA764A" w:rsidRPr="00CA764A" w:rsidDel="00CA764A" w:rsidRDefault="008F3AD5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DE699FF" w14:textId="77777777" w:rsidR="00CA764A" w:rsidRPr="00E05F04" w:rsidRDefault="00435B52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AEBA9A" w14:textId="77777777" w:rsidR="00CA764A" w:rsidRPr="00E05F04" w:rsidRDefault="00435B52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764A" w:rsidRPr="004C0FAD" w14:paraId="1D98E2CE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22B630D5" w14:textId="77777777" w:rsidR="00CA764A" w:rsidRPr="00B85A2E" w:rsidRDefault="00CA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 tom: </w:t>
            </w:r>
            <w:r w:rsidRPr="00B85A2E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580" w:type="dxa"/>
            <w:noWrap/>
            <w:vAlign w:val="center"/>
          </w:tcPr>
          <w:p w14:paraId="427C202A" w14:textId="50BBA8CA" w:rsidR="00CA764A" w:rsidRDefault="008F3AD5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67" w:type="dxa"/>
            <w:noWrap/>
            <w:vAlign w:val="center"/>
          </w:tcPr>
          <w:p w14:paraId="2EEABB5C" w14:textId="77777777" w:rsidR="00CA764A" w:rsidRPr="00CA764A" w:rsidDel="00CA764A" w:rsidRDefault="00CA764A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67" w:type="dxa"/>
            <w:noWrap/>
            <w:vAlign w:val="center"/>
          </w:tcPr>
          <w:p w14:paraId="7E227290" w14:textId="77777777" w:rsidR="00CA764A" w:rsidRPr="00E05F04" w:rsidRDefault="00CA764A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67" w:type="dxa"/>
            <w:noWrap/>
            <w:vAlign w:val="center"/>
          </w:tcPr>
          <w:p w14:paraId="0A91FCB8" w14:textId="28A9D102" w:rsidR="00CA764A" w:rsidRPr="00E05F04" w:rsidRDefault="008138BE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519</w:t>
            </w:r>
          </w:p>
        </w:tc>
      </w:tr>
      <w:tr w:rsidR="00CA764A" w:rsidRPr="004C0FAD" w14:paraId="1D11543D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0D41C903" w14:textId="77777777" w:rsidR="00CA764A" w:rsidRPr="00CA764A" w:rsidRDefault="00CA764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80" w:type="dxa"/>
            <w:noWrap/>
            <w:vAlign w:val="center"/>
          </w:tcPr>
          <w:p w14:paraId="2FC93934" w14:textId="15C3FCB7" w:rsidR="00CA764A" w:rsidRDefault="008F3AD5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67" w:type="dxa"/>
            <w:noWrap/>
            <w:vAlign w:val="center"/>
          </w:tcPr>
          <w:p w14:paraId="55A453CF" w14:textId="77777777" w:rsidR="00CA764A" w:rsidRPr="00CA764A" w:rsidDel="00CA764A" w:rsidRDefault="00CA764A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67" w:type="dxa"/>
            <w:noWrap/>
            <w:vAlign w:val="center"/>
          </w:tcPr>
          <w:p w14:paraId="1C3016D3" w14:textId="77777777" w:rsidR="00CA764A" w:rsidRPr="00E05F04" w:rsidRDefault="00CA764A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67" w:type="dxa"/>
            <w:noWrap/>
            <w:vAlign w:val="center"/>
          </w:tcPr>
          <w:p w14:paraId="7BE86255" w14:textId="3B84CE12" w:rsidR="00CA764A" w:rsidRPr="00E05F04" w:rsidRDefault="008138BE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519</w:t>
            </w:r>
          </w:p>
        </w:tc>
      </w:tr>
      <w:tr w:rsidR="007D5748" w:rsidRPr="004C0FAD" w14:paraId="04C6C03A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3CD9574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580" w:type="dxa"/>
            <w:noWrap/>
            <w:vAlign w:val="center"/>
          </w:tcPr>
          <w:p w14:paraId="78F69562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6CDD933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2123219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F18C83E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4C0FAD" w14:paraId="0E7AD42E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57C9326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80" w:type="dxa"/>
            <w:noWrap/>
            <w:vAlign w:val="center"/>
          </w:tcPr>
          <w:p w14:paraId="5C9FA89B" w14:textId="70E25796" w:rsidR="007D5748" w:rsidRPr="00A5267E" w:rsidRDefault="008F3AD5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2519</w:t>
            </w:r>
          </w:p>
        </w:tc>
        <w:tc>
          <w:tcPr>
            <w:tcW w:w="1267" w:type="dxa"/>
            <w:noWrap/>
            <w:vAlign w:val="center"/>
          </w:tcPr>
          <w:p w14:paraId="74142091" w14:textId="36470789" w:rsidR="007D5748" w:rsidRPr="00A5267E" w:rsidRDefault="00CA764A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67" w:type="dxa"/>
            <w:noWrap/>
            <w:vAlign w:val="center"/>
          </w:tcPr>
          <w:p w14:paraId="433247D9" w14:textId="77777777" w:rsidR="007D5748" w:rsidRPr="00A5267E" w:rsidRDefault="00435B52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67" w:type="dxa"/>
            <w:noWrap/>
            <w:vAlign w:val="center"/>
          </w:tcPr>
          <w:p w14:paraId="7AFB1C55" w14:textId="2E80920A" w:rsidR="007D5748" w:rsidRPr="00A5267E" w:rsidRDefault="008138BE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</w:tr>
      <w:tr w:rsidR="007D5748" w:rsidRPr="004C0FAD" w14:paraId="23807034" w14:textId="77777777" w:rsidTr="00DB7CB3">
        <w:trPr>
          <w:trHeight w:val="125"/>
          <w:jc w:val="center"/>
        </w:trPr>
        <w:tc>
          <w:tcPr>
            <w:tcW w:w="4460" w:type="dxa"/>
            <w:noWrap/>
            <w:vAlign w:val="center"/>
          </w:tcPr>
          <w:p w14:paraId="192AA06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80" w:type="dxa"/>
            <w:noWrap/>
            <w:vAlign w:val="center"/>
          </w:tcPr>
          <w:p w14:paraId="1357A7DF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4CFC871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4953E4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243E8C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2C4FC00F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115D519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80" w:type="dxa"/>
            <w:noWrap/>
            <w:vAlign w:val="center"/>
          </w:tcPr>
          <w:p w14:paraId="440FA10A" w14:textId="77777777" w:rsidR="007D5748" w:rsidRPr="00A5267E" w:rsidRDefault="00562C0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A1C34B" w14:textId="77777777" w:rsidR="007D5748" w:rsidRPr="00A5267E" w:rsidRDefault="00562C04" w:rsidP="008F5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CDD2BD" w14:textId="77777777" w:rsidR="007D5748" w:rsidRPr="00A5267E" w:rsidRDefault="00562C0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11A62DE" w14:textId="77777777" w:rsidR="007D5748" w:rsidRPr="00A5267E" w:rsidRDefault="00562C0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49A26C0D" w14:textId="77777777" w:rsidTr="00DB7CB3">
        <w:trPr>
          <w:trHeight w:val="70"/>
          <w:jc w:val="center"/>
        </w:trPr>
        <w:tc>
          <w:tcPr>
            <w:tcW w:w="4460" w:type="dxa"/>
            <w:shd w:val="clear" w:color="auto" w:fill="BFBFBF"/>
            <w:noWrap/>
            <w:vAlign w:val="center"/>
          </w:tcPr>
          <w:p w14:paraId="0A87B80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580" w:type="dxa"/>
            <w:shd w:val="clear" w:color="auto" w:fill="BFBFBF"/>
            <w:noWrap/>
            <w:vAlign w:val="center"/>
          </w:tcPr>
          <w:p w14:paraId="13AB76FA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34002286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04393005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20F3F248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0C1E59F2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77181BE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80" w:type="dxa"/>
            <w:noWrap/>
            <w:vAlign w:val="center"/>
          </w:tcPr>
          <w:p w14:paraId="72F2EC9E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C6C4DBA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EEBACE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812969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4CE6C6BD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036D404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80" w:type="dxa"/>
            <w:noWrap/>
            <w:vAlign w:val="center"/>
          </w:tcPr>
          <w:p w14:paraId="1146BEF4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18591A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1F18B4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039E8F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777E1467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4C6324F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80" w:type="dxa"/>
            <w:noWrap/>
            <w:vAlign w:val="center"/>
          </w:tcPr>
          <w:p w14:paraId="128EE012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36C412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60C9C7C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DC38DC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6FE977A2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3AE1B45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80" w:type="dxa"/>
            <w:noWrap/>
            <w:vAlign w:val="center"/>
          </w:tcPr>
          <w:p w14:paraId="7FD16B36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00AFA7E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38819F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D1A665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7CA4C6C8" w14:textId="77777777" w:rsidTr="00DB7CB3">
        <w:trPr>
          <w:trHeight w:val="70"/>
          <w:jc w:val="center"/>
        </w:trPr>
        <w:tc>
          <w:tcPr>
            <w:tcW w:w="4460" w:type="dxa"/>
            <w:shd w:val="clear" w:color="auto" w:fill="BFBFBF"/>
            <w:noWrap/>
            <w:vAlign w:val="center"/>
          </w:tcPr>
          <w:p w14:paraId="6A9F874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580" w:type="dxa"/>
            <w:shd w:val="clear" w:color="auto" w:fill="BFBFBF"/>
            <w:noWrap/>
            <w:vAlign w:val="center"/>
          </w:tcPr>
          <w:p w14:paraId="05165BC9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45CBD415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37940DF5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45E85229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5496BE75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586AE95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80" w:type="dxa"/>
            <w:noWrap/>
            <w:vAlign w:val="center"/>
          </w:tcPr>
          <w:p w14:paraId="18863354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6BE1FF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8C9F497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B90F90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6680976E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361582B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80" w:type="dxa"/>
            <w:noWrap/>
            <w:vAlign w:val="center"/>
          </w:tcPr>
          <w:p w14:paraId="72449C1D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D260B7B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934CC4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F4E84C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45FF88EF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6E3E3F7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80" w:type="dxa"/>
            <w:noWrap/>
            <w:vAlign w:val="center"/>
          </w:tcPr>
          <w:p w14:paraId="651660CB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8C498D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EE7F16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8E592A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25503379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7735092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80" w:type="dxa"/>
            <w:noWrap/>
            <w:vAlign w:val="center"/>
          </w:tcPr>
          <w:p w14:paraId="48ACC5DB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72F2E50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107F0A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E68385" w14:textId="77777777" w:rsidR="007D5748" w:rsidRPr="00A5267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267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2183391B" w14:textId="77777777" w:rsidTr="00DB7CB3">
        <w:trPr>
          <w:trHeight w:val="70"/>
          <w:jc w:val="center"/>
        </w:trPr>
        <w:tc>
          <w:tcPr>
            <w:tcW w:w="4460" w:type="dxa"/>
            <w:shd w:val="clear" w:color="auto" w:fill="C0C0C0"/>
            <w:noWrap/>
            <w:vAlign w:val="center"/>
          </w:tcPr>
          <w:p w14:paraId="10D37E9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580" w:type="dxa"/>
            <w:shd w:val="clear" w:color="auto" w:fill="C0C0C0"/>
            <w:noWrap/>
            <w:vAlign w:val="center"/>
          </w:tcPr>
          <w:p w14:paraId="1CACA507" w14:textId="156F558A" w:rsidR="007D5748" w:rsidRPr="00A5267E" w:rsidRDefault="008F3AD5" w:rsidP="001247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2519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643B12C" w14:textId="6B3142AE" w:rsidR="007D5748" w:rsidRPr="00A5267E" w:rsidRDefault="00CA764A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DF09E3C" w14:textId="77777777" w:rsidR="007D5748" w:rsidRPr="00A5267E" w:rsidRDefault="00435B52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2F30E94" w14:textId="0A596F54" w:rsidR="007D5748" w:rsidRPr="00A5267E" w:rsidRDefault="008138BE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</w:tr>
      <w:tr w:rsidR="007D5748" w:rsidRPr="004C0FAD" w14:paraId="51F55511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42328585" w14:textId="77777777" w:rsidR="007D5748" w:rsidRPr="007D5748" w:rsidRDefault="00673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MŽP SR </w:t>
            </w:r>
            <w:r w:rsidR="007719C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80" w:type="dxa"/>
            <w:noWrap/>
            <w:vAlign w:val="center"/>
          </w:tcPr>
          <w:p w14:paraId="27390873" w14:textId="241098B9" w:rsidR="007D5748" w:rsidRPr="00B85A2E" w:rsidRDefault="008F3AD5" w:rsidP="001247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267" w:type="dxa"/>
            <w:noWrap/>
            <w:vAlign w:val="center"/>
          </w:tcPr>
          <w:p w14:paraId="5205E20B" w14:textId="1682E102" w:rsidR="007D5748" w:rsidRPr="00B85A2E" w:rsidRDefault="008F3AD5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BD97AA" w14:textId="77777777" w:rsidR="007D5748" w:rsidRPr="00B85A2E" w:rsidRDefault="00435B52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701C29" w14:textId="77777777" w:rsidR="007D5748" w:rsidRPr="00B85A2E" w:rsidRDefault="00435B52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764A" w:rsidRPr="004C0FAD" w14:paraId="07F50BE0" w14:textId="77777777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14:paraId="4BCD56E6" w14:textId="77777777" w:rsidR="00CA764A" w:rsidRDefault="00CA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580" w:type="dxa"/>
            <w:noWrap/>
            <w:vAlign w:val="center"/>
          </w:tcPr>
          <w:p w14:paraId="1F8B9AB6" w14:textId="35FEB81C" w:rsidR="00CA764A" w:rsidRPr="00B85A2E" w:rsidDel="00CA764A" w:rsidRDefault="008F3AD5" w:rsidP="001247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67" w:type="dxa"/>
            <w:noWrap/>
            <w:vAlign w:val="center"/>
          </w:tcPr>
          <w:p w14:paraId="49BAF3D6" w14:textId="77777777" w:rsidR="00CA764A" w:rsidRPr="00B85A2E" w:rsidDel="00CA764A" w:rsidRDefault="00CA764A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67" w:type="dxa"/>
            <w:noWrap/>
            <w:vAlign w:val="center"/>
          </w:tcPr>
          <w:p w14:paraId="242929AB" w14:textId="77777777" w:rsidR="00CA764A" w:rsidRPr="00B85A2E" w:rsidDel="00CA764A" w:rsidRDefault="00CA764A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67" w:type="dxa"/>
            <w:noWrap/>
            <w:vAlign w:val="center"/>
          </w:tcPr>
          <w:p w14:paraId="5A303F30" w14:textId="2F9E5E23" w:rsidR="00CA764A" w:rsidRPr="00B85A2E" w:rsidDel="00CA764A" w:rsidRDefault="008138BE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519</w:t>
            </w:r>
          </w:p>
        </w:tc>
      </w:tr>
      <w:tr w:rsidR="007D5748" w:rsidRPr="004C0FAD" w14:paraId="3C3F7A44" w14:textId="77777777" w:rsidTr="00DB7CB3">
        <w:trPr>
          <w:trHeight w:val="70"/>
          <w:jc w:val="center"/>
        </w:trPr>
        <w:tc>
          <w:tcPr>
            <w:tcW w:w="4460" w:type="dxa"/>
            <w:shd w:val="clear" w:color="auto" w:fill="BFBFBF"/>
            <w:noWrap/>
            <w:vAlign w:val="center"/>
          </w:tcPr>
          <w:p w14:paraId="5ED5586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580" w:type="dxa"/>
            <w:shd w:val="clear" w:color="auto" w:fill="BFBFBF"/>
            <w:noWrap/>
            <w:vAlign w:val="center"/>
          </w:tcPr>
          <w:p w14:paraId="39AC706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27621B1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79B5B66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4B23ECC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1DE778F2" w14:textId="77777777" w:rsidTr="00DB7CB3">
        <w:trPr>
          <w:trHeight w:val="70"/>
          <w:jc w:val="center"/>
        </w:trPr>
        <w:tc>
          <w:tcPr>
            <w:tcW w:w="4460" w:type="dxa"/>
            <w:shd w:val="clear" w:color="auto" w:fill="A6A6A6"/>
            <w:noWrap/>
            <w:vAlign w:val="center"/>
          </w:tcPr>
          <w:p w14:paraId="6A4252B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580" w:type="dxa"/>
            <w:shd w:val="clear" w:color="auto" w:fill="A6A6A6"/>
            <w:noWrap/>
            <w:vAlign w:val="center"/>
          </w:tcPr>
          <w:p w14:paraId="0D6C831D" w14:textId="77777777" w:rsidR="007D5748" w:rsidRPr="007D5748" w:rsidRDefault="00FE2A5D" w:rsidP="00D43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14:paraId="16EEA556" w14:textId="77777777" w:rsidR="007D5748" w:rsidRPr="007D5748" w:rsidRDefault="00FE2A5D" w:rsidP="00D43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14:paraId="5C4997C0" w14:textId="77777777" w:rsidR="007D5748" w:rsidRPr="007D5748" w:rsidRDefault="00FE2A5D" w:rsidP="008D4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14:paraId="0E4F93D8" w14:textId="77777777" w:rsidR="007D5748" w:rsidRPr="007D5748" w:rsidRDefault="00FE2A5D" w:rsidP="008D4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5417AD9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B6B2CE2" w14:textId="77777777" w:rsidR="007D5748" w:rsidRPr="007D5748" w:rsidRDefault="00E963A3" w:rsidP="00DB7CB3">
      <w:pP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49A5A854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4"/>
          <w:lang w:eastAsia="sk-SK"/>
        </w:rPr>
      </w:pPr>
    </w:p>
    <w:p w14:paraId="73376A44" w14:textId="620ECFF9" w:rsidR="00DC28B3" w:rsidRDefault="00BF0E8B" w:rsidP="00C848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Vyhlásením chráneného areálu </w:t>
      </w:r>
      <w:r w:rsidR="00C434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(CHA)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Ostrovné lúčky dôjde k zvýšeniu výdavkov v rozpočte verejnej správy</w:t>
      </w:r>
      <w:r w:rsidR="0067781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 rokoch </w:t>
      </w:r>
      <w:r w:rsidR="00677814" w:rsidRPr="005879F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2021 – </w:t>
      </w:r>
      <w:r w:rsidR="008138BE" w:rsidRPr="005879F5">
        <w:rPr>
          <w:rFonts w:ascii="Times New Roman" w:eastAsia="Times New Roman" w:hAnsi="Times New Roman"/>
          <w:bCs/>
          <w:sz w:val="24"/>
          <w:szCs w:val="24"/>
          <w:lang w:eastAsia="sk-SK"/>
        </w:rPr>
        <w:t>2024</w:t>
      </w:r>
      <w:r w:rsidR="00677814" w:rsidRPr="005879F5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="0067781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2FF4A50C" w14:textId="77777777" w:rsidR="00FD7DB2" w:rsidRDefault="00C434FB" w:rsidP="00C848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434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označenie CHA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Ostrovné lúčky</w:t>
      </w:r>
      <w:r w:rsidRPr="00C434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podľa vyhlášky Ministerstva životného prostredia Slovenskej republiky č. 24/2003 Z. z., ktorou sa vykonáva zákon č. 543/2002 Z. z. o ochrane prírody </w:t>
      </w:r>
      <w:r w:rsidRPr="00935ADA">
        <w:rPr>
          <w:rFonts w:ascii="Times New Roman" w:eastAsia="Times New Roman" w:hAnsi="Times New Roman"/>
          <w:bCs/>
          <w:sz w:val="24"/>
          <w:szCs w:val="24"/>
          <w:lang w:eastAsia="sk-SK"/>
        </w:rPr>
        <w:t>a krajiny v znení neskorších predpisov (ďalej l</w:t>
      </w:r>
      <w:r w:rsidR="00FD7DB2" w:rsidRPr="00935ADA">
        <w:rPr>
          <w:rFonts w:ascii="Times New Roman" w:eastAsia="Times New Roman" w:hAnsi="Times New Roman"/>
          <w:bCs/>
          <w:sz w:val="24"/>
          <w:szCs w:val="24"/>
          <w:lang w:eastAsia="sk-SK"/>
        </w:rPr>
        <w:t>en „vyhláška č. 24/2003 Z. z.“)</w:t>
      </w:r>
      <w:r w:rsidRPr="00935AD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FD7DB2" w:rsidRPr="00935AD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je </w:t>
      </w:r>
      <w:r w:rsidR="00AF3B0C" w:rsidRPr="00935ADA">
        <w:rPr>
          <w:rFonts w:ascii="Times New Roman" w:eastAsia="Times New Roman" w:hAnsi="Times New Roman"/>
          <w:bCs/>
          <w:sz w:val="24"/>
          <w:szCs w:val="24"/>
          <w:lang w:eastAsia="sk-SK"/>
        </w:rPr>
        <w:t>v roku 202</w:t>
      </w:r>
      <w:r w:rsidR="007B1C0C" w:rsidRPr="00935ADA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="00AF3B0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FD7DB2">
        <w:rPr>
          <w:rFonts w:ascii="Times New Roman" w:eastAsia="Times New Roman" w:hAnsi="Times New Roman"/>
          <w:bCs/>
          <w:sz w:val="24"/>
          <w:szCs w:val="24"/>
          <w:lang w:eastAsia="sk-SK"/>
        </w:rPr>
        <w:t>potrebných</w:t>
      </w:r>
      <w:r w:rsidRPr="00C434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FD7DB2">
        <w:rPr>
          <w:rFonts w:ascii="Times New Roman" w:eastAsia="Times New Roman" w:hAnsi="Times New Roman"/>
          <w:bCs/>
          <w:sz w:val="24"/>
          <w:szCs w:val="24"/>
          <w:lang w:eastAsia="sk-SK"/>
        </w:rPr>
        <w:t>2 000</w:t>
      </w:r>
      <w:r w:rsidRPr="00C434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EUR. </w:t>
      </w:r>
      <w:r w:rsidR="00FD7DB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Tieto finančné prostriedky </w:t>
      </w:r>
      <w:r w:rsidR="00FD7DB2" w:rsidRPr="00FD7DB2">
        <w:rPr>
          <w:rFonts w:ascii="Times New Roman" w:eastAsia="Times New Roman" w:hAnsi="Times New Roman"/>
          <w:bCs/>
          <w:sz w:val="24"/>
          <w:szCs w:val="24"/>
          <w:lang w:eastAsia="sk-SK"/>
        </w:rPr>
        <w:t>sú zabezpečené v rozpočte kapitoly Ministerstva životného prostredia Slovenskej republiky (MŽP SR), a to v rozpočte Štátnej ochrany prírody Slovenskej republiky (ŠOP SR), príspevkovej  organizácii v zriaďovateľskej pôsobnosti MŽP SR.</w:t>
      </w:r>
    </w:p>
    <w:p w14:paraId="576C7807" w14:textId="77777777" w:rsidR="000F01BE" w:rsidRDefault="00FD7DB2" w:rsidP="00AF3B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Vyhlásením CHA Ostrovné lúčky dôjde k obmedzeniu bežného obhospodarovania </w:t>
      </w:r>
      <w:r w:rsidR="00AF3B0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pozemkoch vo vlastníctve štátu a v správe štátneho podniku Lesy Slovenskej republiky (ďalej len „Lesy SR“)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je potrebné zabezpečiť finančnú náhradu </w:t>
      </w:r>
      <w:r w:rsidR="00DC28B3">
        <w:rPr>
          <w:rFonts w:ascii="Times New Roman" w:eastAsia="Times New Roman" w:hAnsi="Times New Roman"/>
          <w:bCs/>
          <w:sz w:val="24"/>
          <w:szCs w:val="24"/>
          <w:lang w:eastAsia="sk-SK"/>
        </w:rPr>
        <w:t>v</w:t>
      </w:r>
      <w:r w:rsidR="00031649">
        <w:rPr>
          <w:rFonts w:ascii="Times New Roman" w:eastAsia="Times New Roman" w:hAnsi="Times New Roman"/>
          <w:bCs/>
          <w:sz w:val="24"/>
          <w:szCs w:val="24"/>
          <w:lang w:eastAsia="sk-SK"/>
        </w:rPr>
        <w:t> zmysle § 61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e</w:t>
      </w:r>
      <w:r w:rsidR="0003164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zákona č. 543/2002 Z. z. o </w:t>
      </w:r>
      <w:r w:rsidR="00031649" w:rsidRPr="00AF3B0C">
        <w:rPr>
          <w:rFonts w:ascii="Times New Roman" w:eastAsia="Times New Roman" w:hAnsi="Times New Roman"/>
          <w:bCs/>
          <w:sz w:val="24"/>
          <w:szCs w:val="24"/>
          <w:lang w:eastAsia="sk-SK"/>
        </w:rPr>
        <w:t>ochrane prírody a krajiny v znení neskorších predpisov (ďalej len „zákon</w:t>
      </w:r>
      <w:r w:rsidR="00C434FB" w:rsidRPr="00AF3B0C">
        <w:rPr>
          <w:rFonts w:ascii="Times New Roman" w:eastAsia="Times New Roman" w:hAnsi="Times New Roman"/>
          <w:bCs/>
          <w:sz w:val="24"/>
          <w:szCs w:val="24"/>
          <w:lang w:eastAsia="sk-SK"/>
        </w:rPr>
        <w:t>“</w:t>
      </w:r>
      <w:r w:rsidRPr="00AF3B0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), </w:t>
      </w:r>
      <w:r w:rsidR="009132CF">
        <w:rPr>
          <w:rFonts w:ascii="Times New Roman" w:eastAsia="Times New Roman" w:hAnsi="Times New Roman"/>
          <w:bCs/>
          <w:sz w:val="24"/>
          <w:szCs w:val="24"/>
          <w:lang w:eastAsia="sk-SK"/>
        </w:rPr>
        <w:t>ročne</w:t>
      </w:r>
      <w:r w:rsidR="009132CF" w:rsidRPr="00AF3B0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0F01BE" w:rsidRPr="00AF3B0C">
        <w:rPr>
          <w:rFonts w:ascii="Times New Roman" w:eastAsia="Times New Roman" w:hAnsi="Times New Roman"/>
          <w:bCs/>
          <w:sz w:val="24"/>
          <w:szCs w:val="24"/>
          <w:lang w:eastAsia="sk-SK"/>
        </w:rPr>
        <w:t>vo výške 519</w:t>
      </w:r>
      <w:r w:rsidR="00AF3B0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0F01BE" w:rsidRPr="00C434FB">
        <w:rPr>
          <w:rFonts w:ascii="Times New Roman" w:eastAsia="Times New Roman" w:hAnsi="Times New Roman"/>
          <w:bCs/>
          <w:sz w:val="24"/>
          <w:szCs w:val="24"/>
          <w:lang w:eastAsia="sk-SK"/>
        </w:rPr>
        <w:t>EUR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</w:t>
      </w:r>
      <w:r w:rsidRPr="00FD7DB2">
        <w:rPr>
          <w:rFonts w:ascii="Times New Roman" w:eastAsia="Times New Roman" w:hAnsi="Times New Roman"/>
          <w:bCs/>
          <w:sz w:val="24"/>
          <w:szCs w:val="24"/>
          <w:lang w:eastAsia="sk-SK"/>
        </w:rPr>
        <w:t>Finančné prostriedky na zabezpečenie finančnej náhrady sú zabezpečené v rozpočte verejnej správy v kapitole Ministerstva vnútra Slovenskej republiky.</w:t>
      </w:r>
    </w:p>
    <w:p w14:paraId="774586FF" w14:textId="77777777" w:rsidR="00966466" w:rsidRDefault="00966466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158D86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14:paraId="0872B353" w14:textId="77777777" w:rsidR="00E632FD" w:rsidRDefault="00E632FD" w:rsidP="008830DC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bCs/>
          <w:szCs w:val="24"/>
        </w:rPr>
      </w:pPr>
    </w:p>
    <w:p w14:paraId="33562AB4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2.2.1. Popis návrhu:</w:t>
      </w:r>
    </w:p>
    <w:p w14:paraId="0BB11409" w14:textId="77777777" w:rsidR="00CA03F8" w:rsidRPr="007D5748" w:rsidRDefault="00CA03F8" w:rsidP="0012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35A4C2D" w14:textId="02FCBC27" w:rsidR="008B1A74" w:rsidRDefault="008B1A74" w:rsidP="0003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Navrhovaný </w:t>
      </w:r>
      <w:r w:rsidR="00031649">
        <w:rPr>
          <w:rFonts w:ascii="Times New Roman" w:eastAsia="Times New Roman" w:hAnsi="Times New Roman"/>
          <w:sz w:val="24"/>
          <w:szCs w:val="24"/>
          <w:lang w:eastAsia="sk-SK"/>
        </w:rPr>
        <w:t>CHA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B184E">
        <w:rPr>
          <w:rFonts w:ascii="Times New Roman" w:eastAsia="Times New Roman" w:hAnsi="Times New Roman"/>
          <w:sz w:val="24"/>
          <w:szCs w:val="24"/>
          <w:lang w:eastAsia="sk-SK"/>
        </w:rPr>
        <w:t>Ostrovné lúčky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830DC">
        <w:rPr>
          <w:rFonts w:ascii="Times New Roman" w:eastAsia="Times New Roman" w:hAnsi="Times New Roman"/>
          <w:sz w:val="24"/>
          <w:szCs w:val="24"/>
          <w:lang w:eastAsia="sk-SK"/>
        </w:rPr>
        <w:t>je súčasťou európskej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sústavy chránených území Natura</w:t>
      </w:r>
      <w:r w:rsidRPr="008830DC">
        <w:rPr>
          <w:rFonts w:ascii="Times New Roman" w:eastAsia="Times New Roman" w:hAnsi="Times New Roman"/>
          <w:sz w:val="24"/>
          <w:szCs w:val="24"/>
          <w:lang w:eastAsia="sk-SK"/>
        </w:rPr>
        <w:t xml:space="preserve"> 2000.</w:t>
      </w:r>
      <w:r w:rsidR="00875B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23196">
        <w:rPr>
          <w:rFonts w:ascii="Times New Roman" w:eastAsia="Times New Roman" w:hAnsi="Times New Roman"/>
          <w:sz w:val="24"/>
          <w:szCs w:val="24"/>
          <w:lang w:eastAsia="sk-SK"/>
        </w:rPr>
        <w:t xml:space="preserve">Dôvodom vyhlásenia </w:t>
      </w:r>
      <w:r w:rsidR="00723196" w:rsidRPr="00C84899">
        <w:rPr>
          <w:rFonts w:ascii="Times New Roman" w:eastAsia="Times New Roman" w:hAnsi="Times New Roman"/>
          <w:sz w:val="24"/>
          <w:szCs w:val="24"/>
          <w:lang w:eastAsia="sk-SK"/>
        </w:rPr>
        <w:t xml:space="preserve">CHA </w:t>
      </w:r>
      <w:r w:rsidR="00C84899" w:rsidRPr="00C84899">
        <w:rPr>
          <w:rFonts w:ascii="Times New Roman" w:eastAsia="Times New Roman" w:hAnsi="Times New Roman"/>
          <w:sz w:val="24"/>
          <w:szCs w:val="24"/>
          <w:lang w:eastAsia="sk-SK"/>
        </w:rPr>
        <w:t>Ostrovné lúčky</w:t>
      </w:r>
      <w:r w:rsidR="00723196" w:rsidRPr="00C84899">
        <w:rPr>
          <w:rFonts w:ascii="Times New Roman" w:eastAsia="Times New Roman" w:hAnsi="Times New Roman"/>
          <w:sz w:val="24"/>
          <w:szCs w:val="24"/>
          <w:lang w:eastAsia="sk-SK"/>
        </w:rPr>
        <w:t xml:space="preserve"> je splnenie požiadavky vyplývajúcej z</w:t>
      </w:r>
      <w:r w:rsidR="009132C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723196" w:rsidRPr="00C84899">
        <w:rPr>
          <w:rFonts w:ascii="Times New Roman" w:eastAsia="Times New Roman" w:hAnsi="Times New Roman"/>
          <w:sz w:val="24"/>
          <w:szCs w:val="24"/>
          <w:lang w:eastAsia="sk-SK"/>
        </w:rPr>
        <w:t>čl</w:t>
      </w:r>
      <w:r w:rsidR="009132CF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23196" w:rsidRPr="00C84899">
        <w:rPr>
          <w:rFonts w:ascii="Times New Roman" w:eastAsia="Times New Roman" w:hAnsi="Times New Roman"/>
          <w:sz w:val="24"/>
          <w:szCs w:val="24"/>
          <w:lang w:eastAsia="sk-SK"/>
        </w:rPr>
        <w:t xml:space="preserve"> 4 ods. 4 smernice Rady 92/43/EHS z 21. mája 1992 o ochrane prirodzených biotopov a voľne žijúcich živočíchov a rastlín </w:t>
      </w:r>
      <w:r w:rsidR="00AF3B0C" w:rsidRPr="00AF3B0C">
        <w:rPr>
          <w:rFonts w:ascii="Times New Roman" w:eastAsia="Times New Roman" w:hAnsi="Times New Roman"/>
          <w:sz w:val="24"/>
          <w:szCs w:val="24"/>
          <w:lang w:eastAsia="sk-SK"/>
        </w:rPr>
        <w:t>(Ú. v. ES L 206, 22.7.1992; Mimoriadne vydanie Ú. v. EÚ, kap. 15/zv. 2) v platnom znení</w:t>
      </w:r>
      <w:r w:rsidR="00AF3B0C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23196" w:rsidRPr="00C84899">
        <w:rPr>
          <w:rFonts w:ascii="Times New Roman" w:eastAsia="Times New Roman" w:hAnsi="Times New Roman"/>
          <w:sz w:val="24"/>
          <w:szCs w:val="24"/>
          <w:lang w:eastAsia="sk-SK"/>
        </w:rPr>
        <w:t xml:space="preserve"> Ďalším dôvodom predloženia návrhu nariadenia vlády je aj </w:t>
      </w:r>
      <w:r w:rsidR="009132CF" w:rsidRPr="00173D33">
        <w:rPr>
          <w:rFonts w:ascii="Times New Roman" w:eastAsia="Times New Roman" w:hAnsi="Times New Roman"/>
          <w:sz w:val="24"/>
          <w:szCs w:val="24"/>
          <w:lang w:eastAsia="sk-SK"/>
        </w:rPr>
        <w:t xml:space="preserve">formálne oznámenie Európskej komisie v rámci konania o porušení </w:t>
      </w:r>
      <w:bookmarkStart w:id="1" w:name="_GoBack"/>
      <w:bookmarkEnd w:id="1"/>
      <w:r w:rsidR="00723196" w:rsidRPr="00C84899">
        <w:rPr>
          <w:rFonts w:ascii="Times New Roman" w:eastAsia="Times New Roman" w:hAnsi="Times New Roman"/>
          <w:sz w:val="24"/>
          <w:szCs w:val="24"/>
          <w:lang w:eastAsia="sk-SK"/>
        </w:rPr>
        <w:t>č. 2019/2141, ktorá sa týka nedostatočného vyhlasovania lokalít európskeho významu a schvaľovania programov</w:t>
      </w:r>
      <w:r w:rsidR="00723196">
        <w:rPr>
          <w:rFonts w:ascii="Times New Roman" w:eastAsia="Times New Roman" w:hAnsi="Times New Roman"/>
          <w:sz w:val="24"/>
          <w:szCs w:val="24"/>
          <w:lang w:eastAsia="sk-SK"/>
        </w:rPr>
        <w:t xml:space="preserve"> starostlivosti.</w:t>
      </w:r>
    </w:p>
    <w:p w14:paraId="5A2928F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814BA8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14:paraId="4E43EAF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E99C23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zmena sadzby</w:t>
      </w:r>
    </w:p>
    <w:p w14:paraId="0BBBE86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zmena v nároku</w:t>
      </w:r>
    </w:p>
    <w:p w14:paraId="42CFBB5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14:paraId="3653D9F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kombinovaný návrh</w:t>
      </w:r>
    </w:p>
    <w:p w14:paraId="49DDCA3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A03F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iné </w:t>
      </w:r>
    </w:p>
    <w:p w14:paraId="5CA4B3D8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59440F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138CC88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AF5AE80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5E34149A" w14:textId="77777777" w:rsidR="00D360BB" w:rsidRDefault="00D360BB" w:rsidP="00A476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14:paraId="0F074951" w14:textId="77777777" w:rsidR="00170FD9" w:rsidRDefault="00170FD9" w:rsidP="00A476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14:paraId="25945516" w14:textId="77777777" w:rsidR="00DC28B3" w:rsidRDefault="00DC28B3" w:rsidP="00A4766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</w:p>
    <w:p w14:paraId="4690EA5C" w14:textId="77777777" w:rsidR="007D5748" w:rsidRPr="00DB7CB3" w:rsidRDefault="007D5748" w:rsidP="00A4766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  <w:r w:rsidRPr="00DB7CB3">
        <w:rPr>
          <w:rFonts w:ascii="Times New Roman" w:eastAsia="Times New Roman" w:hAnsi="Times New Roman"/>
          <w:sz w:val="24"/>
          <w:szCs w:val="20"/>
          <w:lang w:eastAsia="sk-SK"/>
        </w:rPr>
        <w:lastRenderedPageBreak/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1C597E" w:rsidRPr="00EE0017" w14:paraId="3CA0B8B6" w14:textId="77777777" w:rsidTr="00A56DF1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14:paraId="407B9C32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0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14:paraId="6123FCA9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0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1C597E" w:rsidRPr="00EE0017" w14:paraId="51828831" w14:textId="77777777" w:rsidTr="00A56DF1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14:paraId="7CDAE55F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749E63BF" w14:textId="6A82B106" w:rsidR="001C597E" w:rsidRPr="00EE0017" w:rsidRDefault="001C597E" w:rsidP="00587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0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723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587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B658880" w14:textId="0014CC03" w:rsidR="001C597E" w:rsidRPr="00EE0017" w:rsidRDefault="001C597E" w:rsidP="00587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0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587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13288EB" w14:textId="26661A3F" w:rsidR="001C597E" w:rsidRPr="00EE0017" w:rsidRDefault="001C597E" w:rsidP="00587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0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587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ABB60F0" w14:textId="7FC6D15B" w:rsidR="001C597E" w:rsidRPr="00EE0017" w:rsidRDefault="001C597E" w:rsidP="00587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0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587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1C597E" w:rsidRPr="00EE0017" w14:paraId="43837793" w14:textId="77777777" w:rsidTr="00A56DF1">
        <w:trPr>
          <w:trHeight w:val="70"/>
        </w:trPr>
        <w:tc>
          <w:tcPr>
            <w:tcW w:w="4530" w:type="dxa"/>
          </w:tcPr>
          <w:p w14:paraId="17AF9D34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E0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472E8425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E905861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29B7261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07FD7B9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C597E" w:rsidRPr="00EE0017" w14:paraId="0814A25E" w14:textId="77777777" w:rsidTr="00A56DF1">
        <w:trPr>
          <w:trHeight w:val="70"/>
        </w:trPr>
        <w:tc>
          <w:tcPr>
            <w:tcW w:w="4530" w:type="dxa"/>
          </w:tcPr>
          <w:p w14:paraId="258F120E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E0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7CB4653F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F9D0AA3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6ADE6A8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87693E5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C597E" w:rsidRPr="00EE0017" w14:paraId="3A4F6CB3" w14:textId="77777777" w:rsidTr="00A56DF1">
        <w:trPr>
          <w:trHeight w:val="70"/>
        </w:trPr>
        <w:tc>
          <w:tcPr>
            <w:tcW w:w="4530" w:type="dxa"/>
          </w:tcPr>
          <w:p w14:paraId="1AA5B263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E0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61B94951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C3EA1F6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9D825AC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42A0003" w14:textId="77777777" w:rsidR="001C597E" w:rsidRPr="00EE0017" w:rsidRDefault="001C597E" w:rsidP="00A56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409E14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A150B6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4628238" w14:textId="77777777" w:rsidR="00172471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022A9376" w14:textId="77777777" w:rsidR="007255E2" w:rsidRDefault="007255E2" w:rsidP="007D574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667C5BF" w14:textId="77777777" w:rsidR="008250CD" w:rsidRPr="008250CD" w:rsidRDefault="007255E2" w:rsidP="00935ADA">
      <w:pPr>
        <w:tabs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1A74">
        <w:rPr>
          <w:rFonts w:ascii="Times New Roman" w:eastAsia="Times New Roman" w:hAnsi="Times New Roman"/>
          <w:sz w:val="24"/>
          <w:szCs w:val="24"/>
          <w:lang w:eastAsia="sk-SK"/>
        </w:rPr>
        <w:t>Vyh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</w:t>
      </w:r>
      <w:r w:rsidRPr="008B1A74">
        <w:rPr>
          <w:rFonts w:ascii="Times New Roman" w:eastAsia="Times New Roman" w:hAnsi="Times New Roman"/>
          <w:sz w:val="24"/>
          <w:szCs w:val="24"/>
          <w:lang w:eastAsia="sk-SK"/>
        </w:rPr>
        <w:t xml:space="preserve">ásením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CHA</w:t>
      </w:r>
      <w:r w:rsidRPr="008B1A7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Ostrovné lúčky </w:t>
      </w:r>
      <w:r w:rsidRPr="008B1A74">
        <w:rPr>
          <w:rFonts w:ascii="Times New Roman" w:eastAsia="Times New Roman" w:hAnsi="Times New Roman"/>
          <w:sz w:val="24"/>
          <w:szCs w:val="24"/>
          <w:lang w:eastAsia="sk-SK"/>
        </w:rPr>
        <w:t>dôjde k obmedzeniu bežného obhospodarovania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na pozemkoch v</w:t>
      </w:r>
      <w:r w:rsidR="00723196">
        <w:rPr>
          <w:rFonts w:ascii="Times New Roman" w:eastAsia="Times New Roman" w:hAnsi="Times New Roman"/>
          <w:sz w:val="24"/>
          <w:szCs w:val="24"/>
          <w:lang w:eastAsia="sk-SK"/>
        </w:rPr>
        <w:t>o vlastníctve štátu 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 správe </w:t>
      </w:r>
      <w:r w:rsidR="00876512">
        <w:rPr>
          <w:rFonts w:ascii="Times New Roman" w:eastAsia="Times New Roman" w:hAnsi="Times New Roman"/>
          <w:sz w:val="24"/>
          <w:szCs w:val="24"/>
          <w:lang w:eastAsia="sk-SK"/>
        </w:rPr>
        <w:t>Les</w:t>
      </w:r>
      <w:r w:rsidR="007B1C0C">
        <w:rPr>
          <w:rFonts w:ascii="Times New Roman" w:eastAsia="Times New Roman" w:hAnsi="Times New Roman"/>
          <w:sz w:val="24"/>
          <w:szCs w:val="24"/>
          <w:lang w:eastAsia="sk-SK"/>
        </w:rPr>
        <w:t>ov</w:t>
      </w:r>
      <w:r w:rsidR="00876512">
        <w:rPr>
          <w:rFonts w:ascii="Times New Roman" w:eastAsia="Times New Roman" w:hAnsi="Times New Roman"/>
          <w:sz w:val="24"/>
          <w:szCs w:val="24"/>
          <w:lang w:eastAsia="sk-SK"/>
        </w:rPr>
        <w:t xml:space="preserve"> SR</w:t>
      </w:r>
      <w:r w:rsidR="00AF3B0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401E38">
        <w:rPr>
          <w:rFonts w:ascii="Times New Roman" w:eastAsia="Times New Roman" w:hAnsi="Times New Roman"/>
          <w:sz w:val="24"/>
          <w:szCs w:val="24"/>
          <w:lang w:eastAsia="sk-SK"/>
        </w:rPr>
        <w:t>ktorý si môže</w:t>
      </w:r>
      <w:r w:rsidR="00876512" w:rsidRPr="00876512">
        <w:rPr>
          <w:rFonts w:ascii="Times New Roman" w:eastAsia="Times New Roman" w:hAnsi="Times New Roman"/>
          <w:sz w:val="24"/>
          <w:szCs w:val="24"/>
          <w:lang w:eastAsia="sk-SK"/>
        </w:rPr>
        <w:t xml:space="preserve"> uplatniť náhradu za obmedzenie bežného obhospodarovania formou finančnej náhrady v zmysle § 61e zákona</w:t>
      </w:r>
      <w:r w:rsidR="00AF3B0C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8250CD" w:rsidRPr="008250C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zóne A</w:t>
      </w:r>
      <w:r w:rsidR="00A5267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navrhovaného CHA Ostrovné lúčky, kde platí piaty stupeň</w:t>
      </w:r>
      <w:r w:rsidR="008250CD" w:rsidRPr="008250C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ochrany</w:t>
      </w:r>
      <w:r w:rsidR="008250C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podľa zákona</w:t>
      </w:r>
      <w:r w:rsidR="00AF3B0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bola</w:t>
      </w:r>
      <w:r w:rsidR="00A5267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lesných porastoch</w:t>
      </w:r>
      <w:r w:rsidR="008250CD" w:rsidRPr="008250C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č. </w:t>
      </w:r>
      <w:r w:rsidR="008250CD" w:rsidRPr="008250CD">
        <w:rPr>
          <w:rFonts w:ascii="Times New Roman" w:hAnsi="Times New Roman"/>
          <w:bCs/>
          <w:sz w:val="24"/>
          <w:szCs w:val="24"/>
          <w:lang w:eastAsia="sk-SK"/>
        </w:rPr>
        <w:t>469, 467a, 467b, 470a, 470b</w:t>
      </w:r>
      <w:r w:rsidR="00AF3B0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250CD" w:rsidRPr="008250CD">
        <w:rPr>
          <w:rFonts w:ascii="Times New Roman" w:hAnsi="Times New Roman"/>
          <w:bCs/>
          <w:sz w:val="24"/>
          <w:szCs w:val="24"/>
          <w:lang w:eastAsia="sk-SK"/>
        </w:rPr>
        <w:t xml:space="preserve">vypočítaná hodnota finančnej náhrady podľa nariadenia vlády SR č. 7/2014 Z. z. </w:t>
      </w:r>
      <w:r w:rsidR="008250CD" w:rsidRPr="008250CD">
        <w:rPr>
          <w:rFonts w:ascii="Times New Roman" w:eastAsia="Times New Roman" w:hAnsi="Times New Roman"/>
          <w:sz w:val="24"/>
          <w:szCs w:val="24"/>
          <w:lang w:eastAsia="cs-CZ"/>
        </w:rPr>
        <w:t xml:space="preserve">o podrobnostiach o obsahu žiadosti o vyplatenie finančnej náhrady, spôsobe výpočtu finančnej náhrady a spôsobe určenia výšky nájomného a výšky odplaty za zmluvnú starostlivosť pri náhradách za obmedzenie bežného obhospodarovania pozemku. </w:t>
      </w:r>
      <w:r w:rsidR="009255D3">
        <w:rPr>
          <w:rFonts w:ascii="Times New Roman" w:eastAsia="Times New Roman" w:hAnsi="Times New Roman"/>
          <w:sz w:val="24"/>
          <w:szCs w:val="24"/>
          <w:lang w:eastAsia="cs-CZ"/>
        </w:rPr>
        <w:t>Pri výmere 12,39 ha, ktorá bola zaradená do 5.</w:t>
      </w:r>
      <w:r w:rsidR="007B1C0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255D3">
        <w:rPr>
          <w:rFonts w:ascii="Times New Roman" w:eastAsia="Times New Roman" w:hAnsi="Times New Roman"/>
          <w:sz w:val="24"/>
          <w:szCs w:val="24"/>
          <w:lang w:eastAsia="cs-CZ"/>
        </w:rPr>
        <w:t>stupňa ochrany</w:t>
      </w:r>
      <w:r w:rsidR="007B1C0C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9255D3">
        <w:rPr>
          <w:rFonts w:ascii="Times New Roman" w:eastAsia="Times New Roman" w:hAnsi="Times New Roman"/>
          <w:sz w:val="24"/>
          <w:szCs w:val="24"/>
          <w:lang w:eastAsia="cs-CZ"/>
        </w:rPr>
        <w:t xml:space="preserve"> to predstavuje sumu 519,14 </w:t>
      </w:r>
      <w:r w:rsidR="00AF3B0C">
        <w:rPr>
          <w:rFonts w:ascii="Times New Roman" w:eastAsia="Times New Roman" w:hAnsi="Times New Roman"/>
          <w:sz w:val="24"/>
          <w:szCs w:val="24"/>
          <w:lang w:eastAsia="cs-CZ"/>
        </w:rPr>
        <w:t xml:space="preserve">EUR </w:t>
      </w:r>
      <w:r w:rsidR="004E393D">
        <w:rPr>
          <w:rFonts w:ascii="Times New Roman" w:eastAsia="Times New Roman" w:hAnsi="Times New Roman"/>
          <w:sz w:val="24"/>
          <w:szCs w:val="24"/>
          <w:lang w:eastAsia="cs-CZ"/>
        </w:rPr>
        <w:t xml:space="preserve">každoročne </w:t>
      </w:r>
      <w:r w:rsidR="00AF3B0C">
        <w:rPr>
          <w:rFonts w:ascii="Times New Roman" w:eastAsia="Times New Roman" w:hAnsi="Times New Roman"/>
          <w:sz w:val="24"/>
          <w:szCs w:val="24"/>
          <w:lang w:eastAsia="cs-CZ"/>
        </w:rPr>
        <w:t>(tabuľka č. 3).</w:t>
      </w:r>
      <w:r w:rsidR="009255D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61A0CDA" w14:textId="77777777" w:rsidR="008250CD" w:rsidRPr="008250CD" w:rsidRDefault="00810F24" w:rsidP="00810F24">
      <w:pPr>
        <w:pStyle w:val="Popis"/>
        <w:keepNext/>
        <w:spacing w:after="0" w:line="240" w:lineRule="auto"/>
        <w:jc w:val="both"/>
        <w:rPr>
          <w:rFonts w:ascii="Times New Roman" w:eastAsia="Times New Roman" w:hAnsi="Times New Roman"/>
          <w:b w:val="0"/>
          <w:bCs w:val="0"/>
          <w:lang w:eastAsia="cs-CZ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cs-CZ"/>
        </w:rPr>
        <w:t xml:space="preserve">Tabuľka č. 3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272"/>
        <w:gridCol w:w="3248"/>
        <w:gridCol w:w="3551"/>
      </w:tblGrid>
      <w:tr w:rsidR="008250CD" w:rsidRPr="008250CD" w14:paraId="578CBA78" w14:textId="77777777" w:rsidTr="00D777D3">
        <w:trPr>
          <w:jc w:val="center"/>
        </w:trPr>
        <w:tc>
          <w:tcPr>
            <w:tcW w:w="993" w:type="dxa"/>
            <w:shd w:val="clear" w:color="auto" w:fill="EDEDED"/>
          </w:tcPr>
          <w:p w14:paraId="706BD737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Lesný porast</w:t>
            </w:r>
          </w:p>
        </w:tc>
        <w:tc>
          <w:tcPr>
            <w:tcW w:w="1275" w:type="dxa"/>
            <w:shd w:val="clear" w:color="auto" w:fill="EDEDED"/>
          </w:tcPr>
          <w:p w14:paraId="742C58E1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Výmera porastu (ha)</w:t>
            </w:r>
          </w:p>
        </w:tc>
        <w:tc>
          <w:tcPr>
            <w:tcW w:w="3261" w:type="dxa"/>
            <w:shd w:val="clear" w:color="auto" w:fill="EDEDED"/>
          </w:tcPr>
          <w:p w14:paraId="645AB256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Náklady na obmedzenie bežného obhospodarovania (Eur/ha/1 rok)</w:t>
            </w:r>
          </w:p>
        </w:tc>
        <w:tc>
          <w:tcPr>
            <w:tcW w:w="3573" w:type="dxa"/>
            <w:shd w:val="clear" w:color="auto" w:fill="EDEDED"/>
          </w:tcPr>
          <w:p w14:paraId="06787E2A" w14:textId="77777777" w:rsidR="008250CD" w:rsidRPr="008250CD" w:rsidRDefault="008250CD" w:rsidP="008250C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Ročné náklady za obmedzenie intenzity výroby v lesnom poraste (Eur)</w:t>
            </w:r>
          </w:p>
        </w:tc>
      </w:tr>
      <w:tr w:rsidR="008250CD" w:rsidRPr="008250CD" w14:paraId="003938BE" w14:textId="77777777" w:rsidTr="00115C5C">
        <w:trPr>
          <w:jc w:val="center"/>
        </w:trPr>
        <w:tc>
          <w:tcPr>
            <w:tcW w:w="993" w:type="dxa"/>
          </w:tcPr>
          <w:p w14:paraId="4CDA63B0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469</w:t>
            </w:r>
          </w:p>
        </w:tc>
        <w:tc>
          <w:tcPr>
            <w:tcW w:w="1275" w:type="dxa"/>
          </w:tcPr>
          <w:p w14:paraId="712F2576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1,95</w:t>
            </w:r>
          </w:p>
        </w:tc>
        <w:tc>
          <w:tcPr>
            <w:tcW w:w="3261" w:type="dxa"/>
          </w:tcPr>
          <w:p w14:paraId="38BD077E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41,9</w:t>
            </w:r>
          </w:p>
        </w:tc>
        <w:tc>
          <w:tcPr>
            <w:tcW w:w="3573" w:type="dxa"/>
          </w:tcPr>
          <w:p w14:paraId="46D54EB4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81,71</w:t>
            </w:r>
          </w:p>
        </w:tc>
      </w:tr>
      <w:tr w:rsidR="008250CD" w:rsidRPr="008250CD" w14:paraId="4D27F944" w14:textId="77777777" w:rsidTr="00115C5C">
        <w:trPr>
          <w:jc w:val="center"/>
        </w:trPr>
        <w:tc>
          <w:tcPr>
            <w:tcW w:w="993" w:type="dxa"/>
          </w:tcPr>
          <w:p w14:paraId="2E429356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467a</w:t>
            </w:r>
          </w:p>
        </w:tc>
        <w:tc>
          <w:tcPr>
            <w:tcW w:w="1275" w:type="dxa"/>
          </w:tcPr>
          <w:p w14:paraId="4B1B1A91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5,52</w:t>
            </w:r>
          </w:p>
        </w:tc>
        <w:tc>
          <w:tcPr>
            <w:tcW w:w="3261" w:type="dxa"/>
          </w:tcPr>
          <w:p w14:paraId="69D70A1C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41,9</w:t>
            </w:r>
          </w:p>
        </w:tc>
        <w:tc>
          <w:tcPr>
            <w:tcW w:w="3573" w:type="dxa"/>
          </w:tcPr>
          <w:p w14:paraId="79ABC16A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231,29</w:t>
            </w:r>
          </w:p>
        </w:tc>
      </w:tr>
      <w:tr w:rsidR="008250CD" w:rsidRPr="008250CD" w14:paraId="6327B5E9" w14:textId="77777777" w:rsidTr="00115C5C">
        <w:trPr>
          <w:jc w:val="center"/>
        </w:trPr>
        <w:tc>
          <w:tcPr>
            <w:tcW w:w="993" w:type="dxa"/>
          </w:tcPr>
          <w:p w14:paraId="119285FD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467b</w:t>
            </w:r>
          </w:p>
        </w:tc>
        <w:tc>
          <w:tcPr>
            <w:tcW w:w="1275" w:type="dxa"/>
          </w:tcPr>
          <w:p w14:paraId="3D2AFE0C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1,07</w:t>
            </w:r>
          </w:p>
        </w:tc>
        <w:tc>
          <w:tcPr>
            <w:tcW w:w="3261" w:type="dxa"/>
          </w:tcPr>
          <w:p w14:paraId="3560E29C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41,9</w:t>
            </w:r>
          </w:p>
        </w:tc>
        <w:tc>
          <w:tcPr>
            <w:tcW w:w="3573" w:type="dxa"/>
          </w:tcPr>
          <w:p w14:paraId="60E242C0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44,83</w:t>
            </w:r>
          </w:p>
        </w:tc>
      </w:tr>
      <w:tr w:rsidR="008250CD" w:rsidRPr="008250CD" w14:paraId="6070D46E" w14:textId="77777777" w:rsidTr="00115C5C">
        <w:trPr>
          <w:jc w:val="center"/>
        </w:trPr>
        <w:tc>
          <w:tcPr>
            <w:tcW w:w="993" w:type="dxa"/>
          </w:tcPr>
          <w:p w14:paraId="057A96A5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470a</w:t>
            </w:r>
          </w:p>
        </w:tc>
        <w:tc>
          <w:tcPr>
            <w:tcW w:w="1275" w:type="dxa"/>
          </w:tcPr>
          <w:p w14:paraId="4AF1FA1A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2,99</w:t>
            </w:r>
          </w:p>
        </w:tc>
        <w:tc>
          <w:tcPr>
            <w:tcW w:w="3261" w:type="dxa"/>
          </w:tcPr>
          <w:p w14:paraId="4014A032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41,9</w:t>
            </w:r>
          </w:p>
        </w:tc>
        <w:tc>
          <w:tcPr>
            <w:tcW w:w="3573" w:type="dxa"/>
          </w:tcPr>
          <w:p w14:paraId="72527574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125,28</w:t>
            </w:r>
          </w:p>
        </w:tc>
      </w:tr>
      <w:tr w:rsidR="008250CD" w:rsidRPr="008250CD" w14:paraId="23250B18" w14:textId="77777777" w:rsidTr="00115C5C">
        <w:trPr>
          <w:jc w:val="center"/>
        </w:trPr>
        <w:tc>
          <w:tcPr>
            <w:tcW w:w="993" w:type="dxa"/>
          </w:tcPr>
          <w:p w14:paraId="63927260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470b</w:t>
            </w:r>
          </w:p>
        </w:tc>
        <w:tc>
          <w:tcPr>
            <w:tcW w:w="1275" w:type="dxa"/>
          </w:tcPr>
          <w:p w14:paraId="043AB4BB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0,86</w:t>
            </w:r>
          </w:p>
        </w:tc>
        <w:tc>
          <w:tcPr>
            <w:tcW w:w="3261" w:type="dxa"/>
          </w:tcPr>
          <w:p w14:paraId="5B3413F8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41,9</w:t>
            </w:r>
          </w:p>
        </w:tc>
        <w:tc>
          <w:tcPr>
            <w:tcW w:w="3573" w:type="dxa"/>
          </w:tcPr>
          <w:p w14:paraId="77EEE71C" w14:textId="77777777" w:rsidR="008250CD" w:rsidRPr="008250CD" w:rsidRDefault="008250CD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2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36,03</w:t>
            </w:r>
          </w:p>
        </w:tc>
      </w:tr>
      <w:tr w:rsidR="008250CD" w:rsidRPr="008250CD" w14:paraId="4E71F43D" w14:textId="77777777" w:rsidTr="00D9313D">
        <w:trPr>
          <w:jc w:val="center"/>
        </w:trPr>
        <w:tc>
          <w:tcPr>
            <w:tcW w:w="5529" w:type="dxa"/>
            <w:gridSpan w:val="3"/>
            <w:shd w:val="clear" w:color="auto" w:fill="auto"/>
            <w:vAlign w:val="center"/>
          </w:tcPr>
          <w:p w14:paraId="5F275D2D" w14:textId="77777777" w:rsidR="008250CD" w:rsidRPr="00DC28B3" w:rsidRDefault="008250CD" w:rsidP="008250C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28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  <w:r w:rsidR="00115C5C" w:rsidRPr="00DC28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POLU</w:t>
            </w:r>
          </w:p>
        </w:tc>
        <w:tc>
          <w:tcPr>
            <w:tcW w:w="3573" w:type="dxa"/>
            <w:shd w:val="clear" w:color="auto" w:fill="auto"/>
          </w:tcPr>
          <w:p w14:paraId="042E6FCD" w14:textId="77777777" w:rsidR="008250CD" w:rsidRDefault="00115C5C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519, 14</w:t>
            </w:r>
          </w:p>
          <w:p w14:paraId="0483C6E5" w14:textId="77777777" w:rsidR="00115C5C" w:rsidRPr="00DC28B3" w:rsidRDefault="00115C5C" w:rsidP="00115C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28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cca 519</w:t>
            </w:r>
          </w:p>
        </w:tc>
      </w:tr>
    </w:tbl>
    <w:p w14:paraId="04B3B915" w14:textId="77777777" w:rsidR="008250CD" w:rsidRDefault="008250CD" w:rsidP="00917DE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DD003D6" w14:textId="77777777" w:rsidR="00F50594" w:rsidRDefault="00F50594" w:rsidP="00B85A2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Ostatné pozemky </w:t>
      </w:r>
      <w:r w:rsidR="00AF3B0C">
        <w:rPr>
          <w:rFonts w:ascii="Times New Roman" w:eastAsia="Times New Roman" w:hAnsi="Times New Roman"/>
          <w:sz w:val="24"/>
          <w:szCs w:val="24"/>
          <w:lang w:eastAsia="sk-SK"/>
        </w:rPr>
        <w:t xml:space="preserve">CHA Ostrovné lúčky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D9313D">
        <w:rPr>
          <w:rFonts w:ascii="Times New Roman" w:eastAsia="Times New Roman" w:hAnsi="Times New Roman"/>
          <w:sz w:val="24"/>
          <w:szCs w:val="24"/>
          <w:lang w:eastAsia="sk-SK"/>
        </w:rPr>
        <w:t xml:space="preserve"> navrhovanej zóne A (v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5.stupni ochrany</w:t>
      </w:r>
      <w:r w:rsidR="00D9313D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F3B0C">
        <w:rPr>
          <w:rFonts w:ascii="Times New Roman" w:eastAsia="Times New Roman" w:hAnsi="Times New Roman"/>
          <w:sz w:val="24"/>
          <w:szCs w:val="24"/>
          <w:lang w:eastAsia="sk-SK"/>
        </w:rPr>
        <w:t>sú už súčasťou existujúcej prírodnej rezervácie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preto p</w:t>
      </w:r>
      <w:r w:rsidR="00D9313D">
        <w:rPr>
          <w:rFonts w:ascii="Times New Roman" w:eastAsia="Times New Roman" w:hAnsi="Times New Roman"/>
          <w:sz w:val="24"/>
          <w:szCs w:val="24"/>
          <w:lang w:eastAsia="sk-SK"/>
        </w:rPr>
        <w:t>re ne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9313D">
        <w:rPr>
          <w:rFonts w:ascii="Times New Roman" w:eastAsia="Times New Roman" w:hAnsi="Times New Roman"/>
          <w:sz w:val="24"/>
          <w:szCs w:val="24"/>
          <w:lang w:eastAsia="sk-SK"/>
        </w:rPr>
        <w:t>nevyčísľujeme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spôsob náhrady</w:t>
      </w:r>
      <w:r w:rsidR="00AF3B0C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30302533" w14:textId="77777777" w:rsidR="00D235FE" w:rsidRDefault="001C597E" w:rsidP="00B85A2E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D49D1">
        <w:rPr>
          <w:rFonts w:ascii="Times New Roman" w:eastAsia="Times New Roman" w:hAnsi="Times New Roman"/>
          <w:bCs/>
          <w:sz w:val="24"/>
          <w:szCs w:val="24"/>
          <w:lang w:eastAsia="sk-SK"/>
        </w:rPr>
        <w:t>V zóne B a C</w:t>
      </w:r>
      <w:r w:rsidRPr="00122D5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B85A2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(v území s 3. a 4. stupňom ochrany podľa zákona) </w:t>
      </w:r>
      <w:r w:rsidRPr="00122D5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navrhovaného CHA Ostrovné lúčky </w:t>
      </w:r>
      <w:r w:rsidR="009255D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sa v zmysle zákona </w:t>
      </w:r>
      <w:r w:rsidR="00D235FE">
        <w:rPr>
          <w:rFonts w:ascii="Times New Roman" w:eastAsia="Times New Roman" w:hAnsi="Times New Roman"/>
          <w:bCs/>
          <w:sz w:val="24"/>
          <w:szCs w:val="24"/>
          <w:lang w:eastAsia="sk-SK"/>
        </w:rPr>
        <w:t>uplatňuje</w:t>
      </w:r>
      <w:r w:rsidR="009255D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prírode blízky spôsob obhospodarovania, ktorý </w:t>
      </w:r>
      <w:r w:rsidR="00B85A2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vyhovuje </w:t>
      </w:r>
      <w:r w:rsidR="00D235F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cieľom ochrany CHA Ostrovné lúčky. </w:t>
      </w:r>
      <w:r w:rsidR="009255D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76AF8E37" w14:textId="77777777" w:rsidR="00931CA5" w:rsidRDefault="00931CA5" w:rsidP="00931CA5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D735B">
        <w:rPr>
          <w:rFonts w:ascii="Times New Roman" w:hAnsi="Times New Roman"/>
          <w:bCs/>
          <w:sz w:val="24"/>
          <w:szCs w:val="24"/>
        </w:rPr>
        <w:t xml:space="preserve">Zoznam parciel, na ktoré je v CHA </w:t>
      </w:r>
      <w:r>
        <w:rPr>
          <w:rFonts w:ascii="Times New Roman" w:hAnsi="Times New Roman"/>
          <w:bCs/>
          <w:sz w:val="24"/>
          <w:szCs w:val="24"/>
        </w:rPr>
        <w:t>Ostrovné lúčky</w:t>
      </w:r>
      <w:r w:rsidRPr="00ED735B">
        <w:rPr>
          <w:rFonts w:ascii="Times New Roman" w:hAnsi="Times New Roman"/>
          <w:bCs/>
          <w:sz w:val="24"/>
          <w:szCs w:val="24"/>
        </w:rPr>
        <w:t xml:space="preserve"> možné žiadať podporu z</w:t>
      </w:r>
      <w:r>
        <w:rPr>
          <w:rFonts w:ascii="Times New Roman" w:hAnsi="Times New Roman"/>
          <w:bCs/>
          <w:sz w:val="24"/>
          <w:szCs w:val="24"/>
        </w:rPr>
        <w:t xml:space="preserve"> Európskeho poľnohospodárskeho fondu pre rozvoj vidieka, </w:t>
      </w:r>
      <w:r w:rsidRPr="00ED735B">
        <w:rPr>
          <w:rFonts w:ascii="Times New Roman" w:hAnsi="Times New Roman"/>
          <w:bCs/>
          <w:sz w:val="24"/>
          <w:szCs w:val="24"/>
        </w:rPr>
        <w:t xml:space="preserve">je uvedený v projekte ochrany CHA </w:t>
      </w:r>
      <w:r>
        <w:rPr>
          <w:rFonts w:ascii="Times New Roman" w:hAnsi="Times New Roman"/>
          <w:bCs/>
          <w:sz w:val="24"/>
          <w:szCs w:val="24"/>
        </w:rPr>
        <w:t>Ostrovné lúčky</w:t>
      </w:r>
      <w:r w:rsidRPr="00ED735B">
        <w:rPr>
          <w:rFonts w:ascii="Times New Roman" w:hAnsi="Times New Roman"/>
          <w:bCs/>
          <w:sz w:val="24"/>
          <w:szCs w:val="24"/>
        </w:rPr>
        <w:t>, ktorý je zverejnený na webovom sídle ŠOP SR.</w:t>
      </w:r>
    </w:p>
    <w:p w14:paraId="47EFD814" w14:textId="77777777" w:rsidR="00931CA5" w:rsidRPr="000663C2" w:rsidRDefault="00931CA5" w:rsidP="00931CA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3636">
        <w:rPr>
          <w:rFonts w:ascii="Times New Roman" w:eastAsia="Times New Roman" w:hAnsi="Times New Roman"/>
          <w:sz w:val="24"/>
          <w:szCs w:val="24"/>
          <w:lang w:eastAsia="cs-CZ"/>
        </w:rPr>
        <w:t>Z dôvodu požiadavky vlastníka Podieln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073636">
        <w:rPr>
          <w:rFonts w:ascii="Times New Roman" w:eastAsia="Times New Roman" w:hAnsi="Times New Roman"/>
          <w:sz w:val="24"/>
          <w:szCs w:val="24"/>
          <w:lang w:eastAsia="cs-CZ"/>
        </w:rPr>
        <w:t>ckeho družstva Dunaj, ktorá vyplynula z predrokovania projektu ochrany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CHA Ostrovné lúčky</w:t>
      </w:r>
      <w:r w:rsidRPr="00073636">
        <w:rPr>
          <w:rFonts w:ascii="Times New Roman" w:eastAsia="Times New Roman" w:hAnsi="Times New Roman"/>
          <w:sz w:val="24"/>
          <w:szCs w:val="24"/>
          <w:lang w:eastAsia="cs-CZ"/>
        </w:rPr>
        <w:t>, bola podaná na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lovenský pozemkový fond</w:t>
      </w:r>
      <w:r w:rsidRPr="00073636">
        <w:rPr>
          <w:rFonts w:ascii="Times New Roman" w:eastAsia="Times New Roman" w:hAnsi="Times New Roman"/>
          <w:sz w:val="24"/>
          <w:szCs w:val="24"/>
          <w:lang w:eastAsia="cs-CZ"/>
        </w:rPr>
        <w:t xml:space="preserve"> žiadosť o zámenu niektorých ich pozemkov, ktoré sú evidované v katastri nehnuteľností ako trvalé trávne porasty, orná pôda alebo ostatná plocha. Finančné náklady spojené so zámenou pozemkov, ak budú identifikované vhodné pozemky na zámenu, budú predstavovať len poplatky v súvislosti so záp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isom do katastra nehnuteľností.</w:t>
      </w:r>
    </w:p>
    <w:p w14:paraId="57415A18" w14:textId="77777777" w:rsidR="00931CA5" w:rsidRDefault="00931CA5" w:rsidP="00B85A2E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012A3AF7" w14:textId="77777777" w:rsidR="007255E2" w:rsidRDefault="007255E2" w:rsidP="00B85A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Výpoč</w:t>
      </w:r>
      <w:r w:rsidR="00E0160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et výdavkov na označenie CHA Ostrovné lúčky </w:t>
      </w:r>
      <w:r w:rsidR="00BB6F6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jeho zón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pozostáva z výdavkov na výrobu a osadenie </w:t>
      </w:r>
      <w:r w:rsidR="009371EC">
        <w:rPr>
          <w:rFonts w:ascii="Times New Roman" w:eastAsia="Times New Roman" w:hAnsi="Times New Roman"/>
          <w:bCs/>
          <w:sz w:val="24"/>
          <w:szCs w:val="24"/>
          <w:lang w:eastAsia="sk-SK"/>
        </w:rPr>
        <w:t>normalizovaných tabúľ,</w:t>
      </w:r>
      <w:r w:rsidR="00BB6F6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troch informačných tabúľ a </w:t>
      </w:r>
      <w:r w:rsidR="009371EC">
        <w:rPr>
          <w:rFonts w:ascii="Times New Roman" w:eastAsia="Times New Roman" w:hAnsi="Times New Roman"/>
          <w:bCs/>
          <w:sz w:val="24"/>
          <w:szCs w:val="24"/>
          <w:lang w:eastAsia="sk-SK"/>
        </w:rPr>
        <w:t>pruhové</w:t>
      </w:r>
      <w:r w:rsidR="00BB6F67">
        <w:rPr>
          <w:rFonts w:ascii="Times New Roman" w:eastAsia="Times New Roman" w:hAnsi="Times New Roman"/>
          <w:bCs/>
          <w:sz w:val="24"/>
          <w:szCs w:val="24"/>
          <w:lang w:eastAsia="sk-SK"/>
        </w:rPr>
        <w:t>ho obvodového značenia</w:t>
      </w:r>
      <w:r w:rsidR="004A1C9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BB6F6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 zmysle </w:t>
      </w:r>
      <w:r w:rsidR="009371EC">
        <w:rPr>
          <w:rFonts w:ascii="Times New Roman" w:eastAsia="Times New Roman" w:hAnsi="Times New Roman"/>
          <w:bCs/>
          <w:sz w:val="24"/>
          <w:szCs w:val="24"/>
          <w:lang w:eastAsia="sk-SK"/>
        </w:rPr>
        <w:t>§ 19 vyhlášky</w:t>
      </w:r>
      <w:r w:rsidRPr="001247B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č. 24/2003 Z. z.</w:t>
      </w:r>
      <w:r w:rsidR="007B44B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Kalkulácia výdavkov na označenie CHA Ostrovné lúčky je uvedené v tabuľke č. 4. Označenie CHA Ostrovné lúčky bude vykonané v roku 2021.</w:t>
      </w:r>
    </w:p>
    <w:p w14:paraId="4C24CCF4" w14:textId="77777777" w:rsidR="001C597E" w:rsidRDefault="001C597E" w:rsidP="00DB7CB3">
      <w:pPr>
        <w:spacing w:after="0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D78176" w14:textId="77777777" w:rsidR="00D87F04" w:rsidRPr="00DB7CB3" w:rsidRDefault="00810F24" w:rsidP="00DB7CB3">
      <w:pPr>
        <w:spacing w:after="0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Tabuľka č. </w:t>
      </w:r>
      <w:r w:rsidR="00D235FE">
        <w:rPr>
          <w:rFonts w:ascii="Times New Roman" w:eastAsia="Times New Roman" w:hAnsi="Times New Roman"/>
          <w:bCs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1247BB" w:rsidRPr="004A1C92">
        <w:rPr>
          <w:rFonts w:ascii="Times New Roman" w:eastAsia="Times New Roman" w:hAnsi="Times New Roman"/>
          <w:bCs/>
          <w:sz w:val="24"/>
          <w:szCs w:val="24"/>
          <w:lang w:eastAsia="sk-SK"/>
        </w:rPr>
        <w:t>Kalkulácia nákladov na o</w:t>
      </w:r>
      <w:r w:rsidR="00DB7CB3" w:rsidRPr="004A1C92">
        <w:rPr>
          <w:rFonts w:ascii="Times New Roman" w:eastAsia="Times New Roman" w:hAnsi="Times New Roman"/>
          <w:bCs/>
          <w:sz w:val="24"/>
          <w:szCs w:val="24"/>
          <w:lang w:eastAsia="sk-SK"/>
        </w:rPr>
        <w:t>značenie a technické vybavenie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1843"/>
        <w:gridCol w:w="1984"/>
        <w:gridCol w:w="2234"/>
      </w:tblGrid>
      <w:tr w:rsidR="001247BB" w:rsidRPr="004C0FAD" w14:paraId="31E3677E" w14:textId="77777777" w:rsidTr="006C6812">
        <w:trPr>
          <w:trHeight w:hRule="exact" w:val="567"/>
        </w:trPr>
        <w:tc>
          <w:tcPr>
            <w:tcW w:w="3011" w:type="dxa"/>
            <w:shd w:val="clear" w:color="auto" w:fill="E6E6E6"/>
          </w:tcPr>
          <w:p w14:paraId="788E627B" w14:textId="77777777" w:rsidR="001247BB" w:rsidRPr="001247BB" w:rsidRDefault="001247BB" w:rsidP="00A4766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1843" w:type="dxa"/>
            <w:shd w:val="clear" w:color="auto" w:fill="E6E6E6"/>
          </w:tcPr>
          <w:p w14:paraId="096507FE" w14:textId="77777777" w:rsidR="001247BB" w:rsidRPr="001247BB" w:rsidRDefault="001247BB" w:rsidP="00A4766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Počet/množstvo</w:t>
            </w:r>
          </w:p>
        </w:tc>
        <w:tc>
          <w:tcPr>
            <w:tcW w:w="1984" w:type="dxa"/>
            <w:shd w:val="clear" w:color="auto" w:fill="E6E6E6"/>
          </w:tcPr>
          <w:p w14:paraId="03F03FC4" w14:textId="77777777" w:rsidR="001247BB" w:rsidRPr="001247BB" w:rsidRDefault="001247BB" w:rsidP="00A47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Jednotková cena v €  s DPH</w:t>
            </w:r>
          </w:p>
        </w:tc>
        <w:tc>
          <w:tcPr>
            <w:tcW w:w="2234" w:type="dxa"/>
            <w:shd w:val="clear" w:color="auto" w:fill="E6E6E6"/>
          </w:tcPr>
          <w:p w14:paraId="32CB074A" w14:textId="77777777" w:rsidR="001247BB" w:rsidRPr="001247BB" w:rsidRDefault="001247BB" w:rsidP="00A4766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Spolu € s DPH</w:t>
            </w:r>
          </w:p>
        </w:tc>
      </w:tr>
      <w:tr w:rsidR="004A1C92" w:rsidRPr="004A3465" w14:paraId="3EFB346D" w14:textId="77777777" w:rsidTr="006C6812">
        <w:trPr>
          <w:trHeight w:hRule="exact" w:val="439"/>
        </w:trPr>
        <w:tc>
          <w:tcPr>
            <w:tcW w:w="3011" w:type="dxa"/>
          </w:tcPr>
          <w:p w14:paraId="7C061CCB" w14:textId="77777777" w:rsidR="004A1C92" w:rsidRPr="004A3465" w:rsidRDefault="004A1C92" w:rsidP="004C729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A3465">
              <w:rPr>
                <w:rFonts w:ascii="Times New Roman" w:hAnsi="Times New Roman"/>
                <w:color w:val="231F20"/>
                <w:sz w:val="24"/>
                <w:szCs w:val="24"/>
              </w:rPr>
              <w:t>Tabuľa kovová 30 x 53 cm</w:t>
            </w:r>
          </w:p>
        </w:tc>
        <w:tc>
          <w:tcPr>
            <w:tcW w:w="1843" w:type="dxa"/>
            <w:shd w:val="clear" w:color="auto" w:fill="auto"/>
          </w:tcPr>
          <w:p w14:paraId="118B97A7" w14:textId="77777777" w:rsidR="004A1C92" w:rsidRPr="004A3465" w:rsidRDefault="004C729C" w:rsidP="004C729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27</w:t>
            </w:r>
            <w:r w:rsid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</w:tcPr>
          <w:p w14:paraId="3345978B" w14:textId="77777777" w:rsidR="004A1C92" w:rsidRPr="004A3465" w:rsidRDefault="004C729C" w:rsidP="004C729C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4,13</w:t>
            </w:r>
          </w:p>
        </w:tc>
        <w:tc>
          <w:tcPr>
            <w:tcW w:w="2234" w:type="dxa"/>
          </w:tcPr>
          <w:p w14:paraId="0FD379FA" w14:textId="77777777" w:rsidR="004A1C92" w:rsidRPr="004A3465" w:rsidRDefault="004C729C" w:rsidP="004C729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111,51</w:t>
            </w:r>
          </w:p>
        </w:tc>
      </w:tr>
      <w:tr w:rsidR="00B36289" w:rsidRPr="004A3465" w14:paraId="692731B8" w14:textId="77777777" w:rsidTr="006C6812">
        <w:trPr>
          <w:trHeight w:hRule="exact" w:val="417"/>
        </w:trPr>
        <w:tc>
          <w:tcPr>
            <w:tcW w:w="3011" w:type="dxa"/>
          </w:tcPr>
          <w:p w14:paraId="461713D0" w14:textId="77777777" w:rsidR="00B746A5" w:rsidRPr="004A3465" w:rsidRDefault="00B36289" w:rsidP="00B36289">
            <w:pPr>
              <w:tabs>
                <w:tab w:val="left" w:pos="567"/>
              </w:tabs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A3465">
              <w:rPr>
                <w:rFonts w:ascii="Times New Roman" w:hAnsi="Times New Roman"/>
                <w:color w:val="231F20"/>
                <w:sz w:val="24"/>
                <w:szCs w:val="24"/>
              </w:rPr>
              <w:t>Tabuľa kovová 10 x 10 cm</w:t>
            </w:r>
          </w:p>
        </w:tc>
        <w:tc>
          <w:tcPr>
            <w:tcW w:w="1843" w:type="dxa"/>
            <w:shd w:val="clear" w:color="auto" w:fill="auto"/>
          </w:tcPr>
          <w:p w14:paraId="7E5FE0B6" w14:textId="77777777" w:rsidR="00B36289" w:rsidRPr="004A3465" w:rsidRDefault="00B36289" w:rsidP="00B3628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39</w:t>
            </w:r>
            <w:r w:rsid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</w:tcPr>
          <w:p w14:paraId="3F3C9144" w14:textId="77777777" w:rsidR="00B36289" w:rsidRPr="004A3465" w:rsidRDefault="00B746A5" w:rsidP="00B36289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0,35</w:t>
            </w:r>
          </w:p>
        </w:tc>
        <w:tc>
          <w:tcPr>
            <w:tcW w:w="2234" w:type="dxa"/>
          </w:tcPr>
          <w:p w14:paraId="119DADF4" w14:textId="77777777" w:rsidR="00B36289" w:rsidRPr="004A3465" w:rsidRDefault="00AE625F" w:rsidP="00B362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13,65</w:t>
            </w:r>
          </w:p>
        </w:tc>
      </w:tr>
      <w:tr w:rsidR="00E164DE" w:rsidRPr="004A3465" w14:paraId="1E31D10D" w14:textId="77777777" w:rsidTr="006C6812">
        <w:trPr>
          <w:trHeight w:hRule="exact" w:val="417"/>
        </w:trPr>
        <w:tc>
          <w:tcPr>
            <w:tcW w:w="3011" w:type="dxa"/>
          </w:tcPr>
          <w:p w14:paraId="1FAB5602" w14:textId="77777777" w:rsidR="00E164DE" w:rsidRPr="004A3465" w:rsidRDefault="00E164DE" w:rsidP="00B36289">
            <w:pPr>
              <w:tabs>
                <w:tab w:val="left" w:pos="567"/>
              </w:tabs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A3465">
              <w:rPr>
                <w:rFonts w:ascii="Times New Roman" w:hAnsi="Times New Roman"/>
                <w:color w:val="231F20"/>
                <w:sz w:val="24"/>
                <w:szCs w:val="24"/>
              </w:rPr>
              <w:t>Tabuľa kovová 40x30 cm</w:t>
            </w:r>
          </w:p>
        </w:tc>
        <w:tc>
          <w:tcPr>
            <w:tcW w:w="1843" w:type="dxa"/>
            <w:shd w:val="clear" w:color="auto" w:fill="auto"/>
          </w:tcPr>
          <w:p w14:paraId="0B0F4F5D" w14:textId="77777777" w:rsidR="00E164DE" w:rsidRPr="004A3465" w:rsidRDefault="00091B27" w:rsidP="00B3628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15</w:t>
            </w:r>
            <w:r w:rsid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</w:tcPr>
          <w:p w14:paraId="656464F2" w14:textId="77777777" w:rsidR="00E164DE" w:rsidRPr="004A3465" w:rsidRDefault="00E164DE" w:rsidP="00B36289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3,24</w:t>
            </w:r>
          </w:p>
        </w:tc>
        <w:tc>
          <w:tcPr>
            <w:tcW w:w="2234" w:type="dxa"/>
          </w:tcPr>
          <w:p w14:paraId="578180AA" w14:textId="77777777" w:rsidR="00E164DE" w:rsidRPr="004A3465" w:rsidRDefault="00091B27" w:rsidP="00B362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48,60</w:t>
            </w:r>
          </w:p>
        </w:tc>
      </w:tr>
      <w:tr w:rsidR="00B36289" w:rsidRPr="004A3465" w14:paraId="6490BCDE" w14:textId="77777777" w:rsidTr="006C6812">
        <w:trPr>
          <w:trHeight w:hRule="exact" w:val="417"/>
        </w:trPr>
        <w:tc>
          <w:tcPr>
            <w:tcW w:w="3011" w:type="dxa"/>
          </w:tcPr>
          <w:p w14:paraId="782DAAA6" w14:textId="77777777" w:rsidR="00B36289" w:rsidRPr="004A3465" w:rsidRDefault="00B36289" w:rsidP="00B3628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hAnsi="Times New Roman"/>
                <w:color w:val="231F20"/>
                <w:sz w:val="24"/>
                <w:szCs w:val="24"/>
              </w:rPr>
              <w:t>Drevený stĺp 10x10x300</w:t>
            </w:r>
          </w:p>
        </w:tc>
        <w:tc>
          <w:tcPr>
            <w:tcW w:w="1843" w:type="dxa"/>
            <w:shd w:val="clear" w:color="auto" w:fill="auto"/>
          </w:tcPr>
          <w:p w14:paraId="0AF894B9" w14:textId="77777777" w:rsidR="00B36289" w:rsidRPr="004A3465" w:rsidRDefault="00E164DE" w:rsidP="00B3628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39</w:t>
            </w:r>
            <w:r w:rsid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</w:tcPr>
          <w:p w14:paraId="7D6E3EC4" w14:textId="77777777" w:rsidR="00B36289" w:rsidRPr="004A3465" w:rsidRDefault="00B36289" w:rsidP="00B36289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2234" w:type="dxa"/>
          </w:tcPr>
          <w:p w14:paraId="096AE2F0" w14:textId="77777777" w:rsidR="00B36289" w:rsidRPr="004A3465" w:rsidRDefault="00E164DE" w:rsidP="00B362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1560</w:t>
            </w:r>
          </w:p>
        </w:tc>
      </w:tr>
      <w:tr w:rsidR="00B36289" w:rsidRPr="004A3465" w14:paraId="33CFB01E" w14:textId="77777777" w:rsidTr="006C6812">
        <w:trPr>
          <w:trHeight w:hRule="exact" w:val="702"/>
        </w:trPr>
        <w:tc>
          <w:tcPr>
            <w:tcW w:w="3011" w:type="dxa"/>
          </w:tcPr>
          <w:p w14:paraId="1FAA8CE2" w14:textId="77777777" w:rsidR="00B36289" w:rsidRPr="004A3465" w:rsidDel="0050465C" w:rsidRDefault="00B36289" w:rsidP="00B3628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hAnsi="Times New Roman"/>
                <w:sz w:val="24"/>
                <w:szCs w:val="24"/>
              </w:rPr>
              <w:t>Samolepiaca fólia – Štátny znak</w:t>
            </w:r>
          </w:p>
        </w:tc>
        <w:tc>
          <w:tcPr>
            <w:tcW w:w="1843" w:type="dxa"/>
            <w:shd w:val="clear" w:color="auto" w:fill="auto"/>
          </w:tcPr>
          <w:p w14:paraId="6CEB73B8" w14:textId="77777777" w:rsidR="00B36289" w:rsidRPr="004A3465" w:rsidDel="0050465C" w:rsidRDefault="00A63CBD" w:rsidP="00B3628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39</w:t>
            </w:r>
            <w:r w:rsid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</w:tcPr>
          <w:p w14:paraId="1FC34DD6" w14:textId="77777777" w:rsidR="00B36289" w:rsidRPr="004A3465" w:rsidDel="0050465C" w:rsidRDefault="00B36289" w:rsidP="00B36289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1,07</w:t>
            </w:r>
          </w:p>
        </w:tc>
        <w:tc>
          <w:tcPr>
            <w:tcW w:w="2234" w:type="dxa"/>
          </w:tcPr>
          <w:p w14:paraId="228DC51D" w14:textId="77777777" w:rsidR="00B36289" w:rsidRPr="004A3465" w:rsidDel="0050465C" w:rsidRDefault="00AE625F" w:rsidP="00B362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41,73</w:t>
            </w:r>
          </w:p>
        </w:tc>
      </w:tr>
      <w:tr w:rsidR="00B746A5" w:rsidRPr="004A3465" w14:paraId="64C529EC" w14:textId="77777777" w:rsidTr="006C6812">
        <w:trPr>
          <w:trHeight w:hRule="exact" w:val="702"/>
        </w:trPr>
        <w:tc>
          <w:tcPr>
            <w:tcW w:w="3011" w:type="dxa"/>
          </w:tcPr>
          <w:p w14:paraId="41A44CC9" w14:textId="77777777" w:rsidR="00B746A5" w:rsidRPr="004A3465" w:rsidRDefault="00B746A5" w:rsidP="00B36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465">
              <w:rPr>
                <w:rFonts w:ascii="Times New Roman" w:hAnsi="Times New Roman"/>
                <w:sz w:val="24"/>
                <w:szCs w:val="24"/>
              </w:rPr>
              <w:t>Samolepiaca fólia – označenie zóny</w:t>
            </w:r>
          </w:p>
        </w:tc>
        <w:tc>
          <w:tcPr>
            <w:tcW w:w="1843" w:type="dxa"/>
            <w:shd w:val="clear" w:color="auto" w:fill="auto"/>
          </w:tcPr>
          <w:p w14:paraId="57228559" w14:textId="77777777" w:rsidR="00B746A5" w:rsidRPr="004A3465" w:rsidRDefault="00B746A5" w:rsidP="00B3628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39</w:t>
            </w:r>
            <w:r w:rsid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</w:tcPr>
          <w:p w14:paraId="6262885D" w14:textId="77777777" w:rsidR="00B746A5" w:rsidRPr="004A3465" w:rsidRDefault="00B746A5" w:rsidP="00B36289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0,30</w:t>
            </w:r>
          </w:p>
        </w:tc>
        <w:tc>
          <w:tcPr>
            <w:tcW w:w="2234" w:type="dxa"/>
          </w:tcPr>
          <w:p w14:paraId="79163A3D" w14:textId="77777777" w:rsidR="00B746A5" w:rsidRPr="004A3465" w:rsidRDefault="00AE625F" w:rsidP="00B362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11,70</w:t>
            </w:r>
          </w:p>
        </w:tc>
      </w:tr>
      <w:tr w:rsidR="00B36289" w:rsidRPr="004A3465" w14:paraId="2065E9E0" w14:textId="77777777" w:rsidTr="006C6812">
        <w:trPr>
          <w:trHeight w:hRule="exact" w:val="693"/>
        </w:trPr>
        <w:tc>
          <w:tcPr>
            <w:tcW w:w="3011" w:type="dxa"/>
          </w:tcPr>
          <w:p w14:paraId="7AE634FF" w14:textId="77777777" w:rsidR="00B36289" w:rsidRPr="004A3465" w:rsidRDefault="00B36289" w:rsidP="00B3628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hAnsi="Times New Roman"/>
                <w:sz w:val="24"/>
                <w:szCs w:val="24"/>
              </w:rPr>
              <w:t>Samolepiaca fólia s označením kategórie CHÚ</w:t>
            </w:r>
          </w:p>
        </w:tc>
        <w:tc>
          <w:tcPr>
            <w:tcW w:w="1843" w:type="dxa"/>
            <w:shd w:val="clear" w:color="auto" w:fill="auto"/>
          </w:tcPr>
          <w:p w14:paraId="6C8C1AE9" w14:textId="77777777" w:rsidR="00B36289" w:rsidRPr="004A3465" w:rsidRDefault="00B36289" w:rsidP="00B3628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27</w:t>
            </w:r>
            <w:r w:rsid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</w:tcPr>
          <w:p w14:paraId="55F15BA6" w14:textId="77777777" w:rsidR="00B36289" w:rsidRPr="004A3465" w:rsidRDefault="00B36289" w:rsidP="00B36289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0,71</w:t>
            </w:r>
          </w:p>
        </w:tc>
        <w:tc>
          <w:tcPr>
            <w:tcW w:w="2234" w:type="dxa"/>
          </w:tcPr>
          <w:p w14:paraId="2755C4A6" w14:textId="77777777" w:rsidR="00B36289" w:rsidRPr="004A3465" w:rsidRDefault="00091B27" w:rsidP="00B362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19,17</w:t>
            </w:r>
          </w:p>
        </w:tc>
      </w:tr>
      <w:tr w:rsidR="00B36289" w:rsidRPr="004A3465" w14:paraId="5BB57FCE" w14:textId="77777777" w:rsidTr="006C6812">
        <w:trPr>
          <w:trHeight w:hRule="exact" w:val="739"/>
        </w:trPr>
        <w:tc>
          <w:tcPr>
            <w:tcW w:w="3011" w:type="dxa"/>
          </w:tcPr>
          <w:p w14:paraId="00C9FA7D" w14:textId="77777777" w:rsidR="00B36289" w:rsidRPr="004A3465" w:rsidRDefault="00B36289" w:rsidP="00B3628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hAnsi="Times New Roman"/>
                <w:sz w:val="24"/>
                <w:szCs w:val="24"/>
              </w:rPr>
              <w:t>Samolepiaca fólia – územie európskeho významu</w:t>
            </w:r>
          </w:p>
        </w:tc>
        <w:tc>
          <w:tcPr>
            <w:tcW w:w="1843" w:type="dxa"/>
            <w:shd w:val="clear" w:color="auto" w:fill="auto"/>
          </w:tcPr>
          <w:p w14:paraId="5F9B4528" w14:textId="77777777" w:rsidR="00B36289" w:rsidRPr="004A3465" w:rsidRDefault="00B36289" w:rsidP="00B3628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27</w:t>
            </w:r>
            <w:r w:rsid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</w:tcPr>
          <w:p w14:paraId="62B8EEC4" w14:textId="77777777" w:rsidR="00B36289" w:rsidRPr="004A3465" w:rsidRDefault="00B36289" w:rsidP="00B36289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0,45</w:t>
            </w:r>
          </w:p>
        </w:tc>
        <w:tc>
          <w:tcPr>
            <w:tcW w:w="2234" w:type="dxa"/>
          </w:tcPr>
          <w:p w14:paraId="6BACB555" w14:textId="77777777" w:rsidR="00B36289" w:rsidRPr="004A3465" w:rsidRDefault="00B36289" w:rsidP="00B362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12,15</w:t>
            </w:r>
          </w:p>
        </w:tc>
      </w:tr>
      <w:tr w:rsidR="00B36289" w:rsidRPr="004A3465" w14:paraId="22B0CC09" w14:textId="77777777" w:rsidTr="006C6812">
        <w:trPr>
          <w:trHeight w:hRule="exact" w:val="693"/>
        </w:trPr>
        <w:tc>
          <w:tcPr>
            <w:tcW w:w="3011" w:type="dxa"/>
          </w:tcPr>
          <w:p w14:paraId="5CF4DA7A" w14:textId="77777777" w:rsidR="00B36289" w:rsidRPr="004A3465" w:rsidRDefault="00B36289" w:rsidP="00B36289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A3465">
              <w:rPr>
                <w:rFonts w:ascii="Times New Roman" w:hAnsi="Times New Roman"/>
                <w:sz w:val="24"/>
                <w:szCs w:val="24"/>
              </w:rPr>
              <w:t>Samolepiaca fólia – text na informačnú tabuľu</w:t>
            </w:r>
          </w:p>
        </w:tc>
        <w:tc>
          <w:tcPr>
            <w:tcW w:w="1843" w:type="dxa"/>
            <w:shd w:val="clear" w:color="auto" w:fill="auto"/>
          </w:tcPr>
          <w:p w14:paraId="386E4F97" w14:textId="77777777" w:rsidR="00B36289" w:rsidRPr="004A3465" w:rsidRDefault="00B36289" w:rsidP="00B3628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3</w:t>
            </w:r>
            <w:r w:rsid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</w:tcPr>
          <w:p w14:paraId="7AF02274" w14:textId="77777777" w:rsidR="00B36289" w:rsidRPr="004A3465" w:rsidRDefault="00B36289" w:rsidP="00B36289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1,45</w:t>
            </w:r>
          </w:p>
        </w:tc>
        <w:tc>
          <w:tcPr>
            <w:tcW w:w="2234" w:type="dxa"/>
          </w:tcPr>
          <w:p w14:paraId="6966AABC" w14:textId="77777777" w:rsidR="00B36289" w:rsidRPr="004A3465" w:rsidRDefault="00B36289" w:rsidP="00B362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4,35</w:t>
            </w:r>
          </w:p>
        </w:tc>
      </w:tr>
      <w:tr w:rsidR="00B36289" w:rsidRPr="004A3465" w14:paraId="5BD7D24D" w14:textId="77777777" w:rsidTr="006C6812">
        <w:trPr>
          <w:trHeight w:hRule="exact" w:val="462"/>
        </w:trPr>
        <w:tc>
          <w:tcPr>
            <w:tcW w:w="3011" w:type="dxa"/>
          </w:tcPr>
          <w:p w14:paraId="739031A9" w14:textId="77777777" w:rsidR="00B36289" w:rsidRPr="004A3465" w:rsidRDefault="00B36289" w:rsidP="00B3628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hAnsi="Times New Roman"/>
                <w:color w:val="231F20"/>
                <w:sz w:val="24"/>
                <w:szCs w:val="24"/>
              </w:rPr>
              <w:t>Farba na obvod</w:t>
            </w:r>
            <w:r w:rsidR="00A63CBD" w:rsidRPr="004A346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ové značenie </w:t>
            </w:r>
          </w:p>
        </w:tc>
        <w:tc>
          <w:tcPr>
            <w:tcW w:w="1843" w:type="dxa"/>
            <w:shd w:val="clear" w:color="auto" w:fill="auto"/>
          </w:tcPr>
          <w:p w14:paraId="7DCE09AA" w14:textId="77777777" w:rsidR="00B36289" w:rsidRPr="004A3465" w:rsidRDefault="00A63CBD" w:rsidP="00B3628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14</w:t>
            </w:r>
            <w:r w:rsid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l</w:t>
            </w:r>
          </w:p>
        </w:tc>
        <w:tc>
          <w:tcPr>
            <w:tcW w:w="1984" w:type="dxa"/>
          </w:tcPr>
          <w:p w14:paraId="6455C6E7" w14:textId="77777777" w:rsidR="00B36289" w:rsidRPr="004A3465" w:rsidRDefault="00B36289" w:rsidP="00B36289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234" w:type="dxa"/>
          </w:tcPr>
          <w:p w14:paraId="49BC6768" w14:textId="77777777" w:rsidR="00B36289" w:rsidRPr="004A3465" w:rsidRDefault="00AE625F" w:rsidP="00B362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14</w:t>
            </w:r>
            <w:r w:rsidR="00B36289" w:rsidRPr="004A3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36289" w:rsidRPr="004A3465" w14:paraId="7EEB93F5" w14:textId="77777777" w:rsidTr="006C6812">
        <w:trPr>
          <w:trHeight w:hRule="exact" w:val="426"/>
        </w:trPr>
        <w:tc>
          <w:tcPr>
            <w:tcW w:w="3011" w:type="dxa"/>
          </w:tcPr>
          <w:p w14:paraId="01ABC5CB" w14:textId="77777777" w:rsidR="00B36289" w:rsidRPr="004A3465" w:rsidRDefault="00B36289" w:rsidP="00B3628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hAnsi="Times New Roman"/>
                <w:color w:val="231F20"/>
                <w:sz w:val="24"/>
                <w:szCs w:val="24"/>
              </w:rPr>
              <w:t>štetce</w:t>
            </w:r>
          </w:p>
        </w:tc>
        <w:tc>
          <w:tcPr>
            <w:tcW w:w="1843" w:type="dxa"/>
            <w:shd w:val="clear" w:color="auto" w:fill="auto"/>
          </w:tcPr>
          <w:p w14:paraId="35CFACDA" w14:textId="77777777" w:rsidR="00B36289" w:rsidRPr="004A3465" w:rsidRDefault="00A63CBD" w:rsidP="00B3628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7</w:t>
            </w:r>
            <w:r w:rsid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</w:tcPr>
          <w:p w14:paraId="7B26F233" w14:textId="77777777" w:rsidR="00B36289" w:rsidRPr="004A3465" w:rsidRDefault="00B36289" w:rsidP="00B36289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2234" w:type="dxa"/>
          </w:tcPr>
          <w:p w14:paraId="2026788E" w14:textId="77777777" w:rsidR="00B36289" w:rsidRPr="004A3465" w:rsidRDefault="00AE625F" w:rsidP="00B362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17</w:t>
            </w:r>
            <w:r w:rsidR="00B36289" w:rsidRPr="004A3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,5</w:t>
            </w:r>
          </w:p>
        </w:tc>
      </w:tr>
      <w:tr w:rsidR="00B36289" w:rsidRPr="004A3465" w14:paraId="71DEF544" w14:textId="77777777" w:rsidTr="006C6812">
        <w:trPr>
          <w:trHeight w:hRule="exact" w:val="418"/>
        </w:trPr>
        <w:tc>
          <w:tcPr>
            <w:tcW w:w="3011" w:type="dxa"/>
          </w:tcPr>
          <w:p w14:paraId="2E981CEF" w14:textId="77777777" w:rsidR="00B36289" w:rsidRPr="004A3465" w:rsidRDefault="00B36289" w:rsidP="00B3628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hAnsi="Times New Roman"/>
                <w:color w:val="231F20"/>
                <w:sz w:val="24"/>
                <w:szCs w:val="24"/>
              </w:rPr>
              <w:t>riedidlo</w:t>
            </w:r>
          </w:p>
        </w:tc>
        <w:tc>
          <w:tcPr>
            <w:tcW w:w="1843" w:type="dxa"/>
            <w:shd w:val="clear" w:color="auto" w:fill="auto"/>
          </w:tcPr>
          <w:p w14:paraId="1C9ACB47" w14:textId="77777777" w:rsidR="00B36289" w:rsidRPr="004A3465" w:rsidRDefault="00A63CBD" w:rsidP="00B3628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4</w:t>
            </w:r>
            <w:r w:rsid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</w:tcPr>
          <w:p w14:paraId="79751D16" w14:textId="77777777" w:rsidR="00B36289" w:rsidRPr="004A3465" w:rsidRDefault="00B36289" w:rsidP="00B36289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34" w:type="dxa"/>
          </w:tcPr>
          <w:p w14:paraId="1CE9BAF9" w14:textId="77777777" w:rsidR="00B36289" w:rsidRPr="004A3465" w:rsidRDefault="00AE625F" w:rsidP="00B362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  <w:p w14:paraId="4DB69E2D" w14:textId="77777777" w:rsidR="00AE625F" w:rsidRPr="004A3465" w:rsidRDefault="00AE625F" w:rsidP="00B362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36289" w:rsidRPr="004A3465" w14:paraId="072970DF" w14:textId="77777777" w:rsidTr="00935ADA">
        <w:trPr>
          <w:trHeight w:val="283"/>
        </w:trPr>
        <w:tc>
          <w:tcPr>
            <w:tcW w:w="3011" w:type="dxa"/>
            <w:shd w:val="clear" w:color="auto" w:fill="auto"/>
          </w:tcPr>
          <w:p w14:paraId="11743881" w14:textId="77777777" w:rsidR="00B36289" w:rsidRPr="004A3465" w:rsidRDefault="00B36289" w:rsidP="00B3628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A3465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6061" w:type="dxa"/>
            <w:gridSpan w:val="3"/>
            <w:shd w:val="clear" w:color="auto" w:fill="auto"/>
          </w:tcPr>
          <w:p w14:paraId="32A857A6" w14:textId="77777777" w:rsidR="00B36289" w:rsidRPr="004A3465" w:rsidRDefault="004A3465" w:rsidP="00B362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000,36</w:t>
            </w:r>
          </w:p>
          <w:p w14:paraId="7F374A47" w14:textId="77777777" w:rsidR="00B36289" w:rsidRPr="004A3465" w:rsidRDefault="004A3465" w:rsidP="00B362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cca 2</w:t>
            </w:r>
            <w:r w:rsid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</w:tr>
    </w:tbl>
    <w:p w14:paraId="5BDBBDDA" w14:textId="77777777" w:rsidR="00EB1629" w:rsidRDefault="00EB1629" w:rsidP="00A47669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180F3FCC" w14:textId="77777777" w:rsidR="000663C2" w:rsidRDefault="000663C2" w:rsidP="00A47669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1C0F224B" w14:textId="77777777" w:rsidR="000663C2" w:rsidRDefault="000663C2" w:rsidP="00A47669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0BA35F08" w14:textId="77777777" w:rsidR="00D87F04" w:rsidRPr="00DB7CB3" w:rsidRDefault="00966466" w:rsidP="00A47669">
      <w:pPr>
        <w:tabs>
          <w:tab w:val="num" w:pos="1080"/>
        </w:tabs>
        <w:spacing w:after="0" w:line="240" w:lineRule="auto"/>
        <w:rPr>
          <w:sz w:val="24"/>
          <w:szCs w:val="20"/>
        </w:rPr>
      </w:pPr>
      <w:r w:rsidRPr="00DB7CB3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</w:t>
      </w:r>
      <w:r w:rsidR="00CA764A">
        <w:rPr>
          <w:rFonts w:ascii="Times New Roman" w:eastAsia="Times New Roman" w:hAnsi="Times New Roman"/>
          <w:sz w:val="24"/>
          <w:szCs w:val="20"/>
          <w:lang w:eastAsia="sk-SK"/>
        </w:rPr>
        <w:t>5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417"/>
      </w:tblGrid>
      <w:tr w:rsidR="00EB1629" w:rsidRPr="00EB1629" w14:paraId="6398BBBB" w14:textId="77777777" w:rsidTr="002C7523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8169D6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C5E580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3022029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B1629" w:rsidRPr="00EB1629" w14:paraId="1123A012" w14:textId="77777777" w:rsidTr="002C7523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D1EB" w14:textId="77777777"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900E2C" w14:textId="77EB5300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95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7C73BF" w14:textId="59F500E1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95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711DFC" w14:textId="15F26592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95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981DD8" w14:textId="2512A7A8" w:rsidR="00EB1629" w:rsidRPr="00EB1629" w:rsidRDefault="00EB1629" w:rsidP="00C8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95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C461" w14:textId="77777777"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B1629" w:rsidRPr="00EB1629" w14:paraId="191A36B6" w14:textId="77777777" w:rsidTr="002C7523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9C6C" w14:textId="77777777"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D9274" w14:textId="77777777" w:rsidR="00EB1629" w:rsidRPr="00EB1629" w:rsidRDefault="00C13349" w:rsidP="00C1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86752" w14:textId="77777777" w:rsidR="00EB1629" w:rsidRPr="00EB1629" w:rsidRDefault="00C13349" w:rsidP="00C1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0A64E" w14:textId="77777777" w:rsidR="00EB1629" w:rsidRPr="00EB1629" w:rsidRDefault="00C13349" w:rsidP="00C1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8DF5F" w14:textId="77777777" w:rsidR="00EB1629" w:rsidRPr="00EB1629" w:rsidRDefault="00C13349" w:rsidP="00C1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DFB9A" w14:textId="77777777" w:rsidR="00EB1629" w:rsidRPr="00C866CC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EB1629" w:rsidRPr="00EB1629" w14:paraId="00A6484B" w14:textId="77777777" w:rsidTr="002C7523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AFF2" w14:textId="77777777"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7A9DC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C39AF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C377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0A4B7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BDD51" w14:textId="77777777"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EB1629" w14:paraId="7D4568DA" w14:textId="77777777" w:rsidTr="002C7523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CE3" w14:textId="77777777"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B174F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A3BE7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8CD6F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DDDDC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52626" w14:textId="77777777"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EB1629" w14:paraId="1E8BFCE3" w14:textId="77777777" w:rsidTr="00935ADA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65C" w14:textId="77777777"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B84D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5CEE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F325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C6BA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FCA2D" w14:textId="77777777"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EB1629" w14:paraId="6A75ABF1" w14:textId="77777777" w:rsidTr="00935ADA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073" w14:textId="77777777"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lastRenderedPageBreak/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50A0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E5EA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090B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A5F7" w14:textId="77777777"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CCCB2" w14:textId="77777777"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EB1629" w14:paraId="39082D74" w14:textId="77777777" w:rsidTr="002C7523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523051" w14:textId="77777777"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145F41" w14:textId="77777777" w:rsidR="00EB1629" w:rsidRPr="00EB1629" w:rsidRDefault="00C13349" w:rsidP="00C1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97138F" w14:textId="77777777" w:rsidR="00EB1629" w:rsidRPr="00EB1629" w:rsidRDefault="00C13349" w:rsidP="00C1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D631B6" w14:textId="77777777" w:rsidR="00EB1629" w:rsidRPr="00EB1629" w:rsidRDefault="00C13349" w:rsidP="00C1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3DE803" w14:textId="77777777" w:rsidR="00EB1629" w:rsidRPr="00EB1629" w:rsidRDefault="00C13349" w:rsidP="00C1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AFA8D36" w14:textId="77777777"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9C49702" w14:textId="77777777" w:rsidR="00D87F04" w:rsidRDefault="00D87F04" w:rsidP="00DB7CB3">
      <w:pPr>
        <w:tabs>
          <w:tab w:val="num" w:pos="1080"/>
        </w:tabs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1 –  príjmy rozpísať až do položiek p</w:t>
      </w:r>
      <w:r>
        <w:rPr>
          <w:rFonts w:ascii="Times New Roman" w:eastAsia="Times New Roman" w:hAnsi="Times New Roman"/>
          <w:bCs/>
          <w:sz w:val="20"/>
          <w:szCs w:val="20"/>
          <w:lang w:eastAsia="sk-SK"/>
        </w:rPr>
        <w:t>latnej ekonomickej klasifikácie</w:t>
      </w:r>
    </w:p>
    <w:p w14:paraId="55E1CF5D" w14:textId="77777777" w:rsidR="002C7523" w:rsidRDefault="007D5748" w:rsidP="002C7523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  <w:r w:rsidR="000811FA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52DCFFFF" w14:textId="77777777" w:rsidR="000663C2" w:rsidRDefault="000663C2" w:rsidP="000663C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0355B1FB" w14:textId="77777777" w:rsidR="007D5748" w:rsidRPr="00DB7CB3" w:rsidRDefault="00966466" w:rsidP="00D360BB">
      <w:pPr>
        <w:tabs>
          <w:tab w:val="num" w:pos="1080"/>
          <w:tab w:val="left" w:pos="5935"/>
        </w:tabs>
        <w:spacing w:after="0" w:line="240" w:lineRule="auto"/>
        <w:ind w:right="-32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 w:rsidRPr="00DB7CB3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</w:t>
      </w:r>
      <w:r w:rsidR="00CA764A">
        <w:rPr>
          <w:rFonts w:ascii="Times New Roman" w:eastAsia="Times New Roman" w:hAnsi="Times New Roman"/>
          <w:sz w:val="24"/>
          <w:szCs w:val="20"/>
          <w:lang w:eastAsia="sk-SK"/>
        </w:rPr>
        <w:t>6</w:t>
      </w:r>
      <w:r w:rsidR="00D360BB">
        <w:rPr>
          <w:rFonts w:ascii="Times New Roman" w:eastAsia="Times New Roman" w:hAnsi="Times New Roman"/>
          <w:sz w:val="24"/>
          <w:szCs w:val="20"/>
          <w:lang w:eastAsia="sk-SK"/>
        </w:rPr>
        <w:tab/>
      </w:r>
    </w:p>
    <w:tbl>
      <w:tblPr>
        <w:tblpPr w:leftFromText="141" w:rightFromText="141" w:vertAnchor="text" w:horzAnchor="page" w:tblpX="1406" w:tblpY="2"/>
        <w:tblW w:w="9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1240"/>
        <w:gridCol w:w="1020"/>
        <w:gridCol w:w="1020"/>
        <w:gridCol w:w="1021"/>
        <w:gridCol w:w="1207"/>
      </w:tblGrid>
      <w:tr w:rsidR="00EB1629" w:rsidRPr="004C0FAD" w14:paraId="6C3117EB" w14:textId="77777777" w:rsidTr="00DB7CB3">
        <w:trPr>
          <w:cantSplit/>
          <w:trHeight w:val="280"/>
        </w:trPr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999A395" w14:textId="77777777" w:rsidR="00EB1629" w:rsidRPr="00CA764A" w:rsidRDefault="00CA764A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MŽP SR v</w:t>
            </w:r>
            <w:r w:rsidR="00EB1629"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ýdavky (v eurách)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2543D9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EA8C8EE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B1629" w:rsidRPr="004C0FAD" w14:paraId="272B479F" w14:textId="77777777" w:rsidTr="00DB7CB3">
        <w:trPr>
          <w:cantSplit/>
          <w:trHeight w:val="280"/>
        </w:trPr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F7AD3" w14:textId="77777777" w:rsidR="00EB1629" w:rsidRPr="00B85A2E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C7AC38" w14:textId="4FFA9080" w:rsidR="00EB1629" w:rsidRPr="00B85A2E" w:rsidRDefault="008F3AD5" w:rsidP="008F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85A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26C9B1" w14:textId="6EBE55DC" w:rsidR="00EB1629" w:rsidRPr="00B85A2E" w:rsidRDefault="008F3AD5" w:rsidP="008F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85A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14741F" w14:textId="318FA952" w:rsidR="00EB1629" w:rsidRPr="00B85A2E" w:rsidRDefault="008F3AD5" w:rsidP="008F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85A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B7CDF5" w14:textId="3D06D14F" w:rsidR="00EB1629" w:rsidRPr="00CA764A" w:rsidRDefault="008F3AD5" w:rsidP="008F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85A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2438" w14:textId="77777777" w:rsidR="00EB1629" w:rsidRPr="00B85A2E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B1629" w:rsidRPr="004C0FAD" w14:paraId="35B82E1B" w14:textId="77777777" w:rsidTr="00DB7CB3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58FB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D7432" w14:textId="4998A5EE" w:rsidR="00EB1629" w:rsidRPr="00CA764A" w:rsidRDefault="008F3AD5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E40F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F61EE" w14:textId="00227A53" w:rsidR="00EB1629" w:rsidRPr="00CA764A" w:rsidRDefault="008F3AD5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CB10B" w14:textId="77777777" w:rsidR="00EB1629" w:rsidRPr="00CA764A" w:rsidRDefault="004F67BC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0B4B5" w14:textId="77777777" w:rsidR="00EB1629" w:rsidRPr="00CA764A" w:rsidRDefault="004F67BC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1690F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4C0FAD" w14:paraId="4DAD0F74" w14:textId="77777777" w:rsidTr="00DB7CB3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A7C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BE97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A9752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C1747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5ED9C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96C51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4C0FAD" w14:paraId="0C2DFF04" w14:textId="77777777" w:rsidTr="00DB7CB3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BF8B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EE846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1A8C9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51250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C8B76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F0635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4C0FAD" w14:paraId="73F73514" w14:textId="77777777" w:rsidTr="00DB7CB3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F52C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CA764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68615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9916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7C972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7D5FC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8E789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4C0FAD" w14:paraId="71E5F8EB" w14:textId="77777777" w:rsidTr="005879F5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6F3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CA764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 xml:space="preserve">2 </w:t>
            </w:r>
          </w:p>
          <w:p w14:paraId="6894FDB0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641001 – príspevkovej organizácii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53B0E" w14:textId="435D3602" w:rsidR="00EB1629" w:rsidRPr="00CA764A" w:rsidRDefault="008F3AD5" w:rsidP="008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75411" w14:textId="69EDBA13" w:rsidR="00EB1629" w:rsidRPr="00CA764A" w:rsidRDefault="008F3AD5" w:rsidP="0058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0CAB2" w14:textId="77777777" w:rsidR="00EB1629" w:rsidRPr="00CA764A" w:rsidRDefault="004F67BC" w:rsidP="0058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CE330" w14:textId="77777777" w:rsidR="00EB1629" w:rsidRPr="00CA764A" w:rsidRDefault="004F67BC" w:rsidP="0058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457B7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EB1629" w:rsidRPr="004C0FAD" w14:paraId="082D8121" w14:textId="77777777" w:rsidTr="00DB7CB3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4FE0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CA7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CA764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40BA1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F15BA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14C2C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41864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87718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EB1629" w:rsidRPr="004C0FAD" w14:paraId="6D6EFBBC" w14:textId="77777777" w:rsidTr="00DB7CB3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54F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A1BFD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08F27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0A7A1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BAAE0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70F9F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4C0FAD" w14:paraId="64C98FC2" w14:textId="77777777" w:rsidTr="00DB7CB3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53F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CA764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955BC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ACA97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ACCAA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A4602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CBA07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4C0FAD" w14:paraId="28BDCB32" w14:textId="77777777" w:rsidTr="00DB7CB3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0ED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CA764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379B4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0E4C8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57FD4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5EA8B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39A28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4C0FAD" w14:paraId="63246639" w14:textId="77777777" w:rsidTr="00935ADA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EC4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2144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D9B0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0050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F2ED" w14:textId="77777777" w:rsidR="00EB1629" w:rsidRPr="00CA764A" w:rsidRDefault="00EB1629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83D4B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4C0FAD" w14:paraId="7FE2075A" w14:textId="77777777" w:rsidTr="00DB7CB3">
        <w:trPr>
          <w:trHeight w:val="280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727BD7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05A67E" w14:textId="60085274" w:rsidR="00EB1629" w:rsidRPr="00CA764A" w:rsidRDefault="008F3AD5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D1233E" w14:textId="3A500708" w:rsidR="00EB1629" w:rsidRPr="00CA764A" w:rsidRDefault="008F3AD5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41B18D" w14:textId="77777777" w:rsidR="00EB1629" w:rsidRPr="00CA764A" w:rsidRDefault="004F67BC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45589F" w14:textId="77777777" w:rsidR="00EB1629" w:rsidRPr="00CA764A" w:rsidRDefault="004F67BC" w:rsidP="00DB7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865AE71" w14:textId="77777777" w:rsidR="00EB1629" w:rsidRPr="00CA764A" w:rsidRDefault="00EB1629" w:rsidP="00DB7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D4113E3" w14:textId="77777777" w:rsidR="007D5748" w:rsidRDefault="007D5748" w:rsidP="00DB7CB3">
      <w:pPr>
        <w:tabs>
          <w:tab w:val="num" w:pos="1080"/>
        </w:tabs>
        <w:spacing w:after="120" w:line="240" w:lineRule="auto"/>
        <w:ind w:left="-900" w:firstLine="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64A4BF9B" w14:textId="77777777" w:rsidR="008D49D1" w:rsidRDefault="008D49D1" w:rsidP="00C866CC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/>
          <w:sz w:val="24"/>
          <w:szCs w:val="20"/>
          <w:lang w:eastAsia="sk-SK"/>
        </w:rPr>
      </w:pPr>
    </w:p>
    <w:p w14:paraId="1F579CD7" w14:textId="77777777" w:rsidR="00935ADA" w:rsidRDefault="00935ADA" w:rsidP="00C866CC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/>
          <w:sz w:val="24"/>
          <w:szCs w:val="20"/>
          <w:lang w:eastAsia="sk-SK"/>
        </w:rPr>
        <w:t>Tabuľka č. 7</w:t>
      </w:r>
    </w:p>
    <w:tbl>
      <w:tblPr>
        <w:tblpPr w:leftFromText="141" w:rightFromText="141" w:vertAnchor="text" w:horzAnchor="page" w:tblpX="1406" w:tblpY="2"/>
        <w:tblW w:w="9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1240"/>
        <w:gridCol w:w="1020"/>
        <w:gridCol w:w="1020"/>
        <w:gridCol w:w="1021"/>
        <w:gridCol w:w="1207"/>
      </w:tblGrid>
      <w:tr w:rsidR="00490C4D" w:rsidRPr="004C0FAD" w14:paraId="75740953" w14:textId="77777777" w:rsidTr="00DF1B8C">
        <w:trPr>
          <w:cantSplit/>
          <w:trHeight w:val="280"/>
        </w:trPr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F289D6C" w14:textId="77777777" w:rsidR="00490C4D" w:rsidRPr="00CA764A" w:rsidRDefault="005B5651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MV SR</w:t>
            </w:r>
            <w:r w:rsidR="0049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v</w:t>
            </w:r>
            <w:r w:rsidR="00490C4D"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ýdavky (v eurách)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2C36B6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F3BD556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90C4D" w:rsidRPr="004C0FAD" w14:paraId="50501EB4" w14:textId="77777777" w:rsidTr="00DF1B8C">
        <w:trPr>
          <w:cantSplit/>
          <w:trHeight w:val="280"/>
        </w:trPr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6A11F" w14:textId="77777777" w:rsidR="00490C4D" w:rsidRPr="00E05F04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B018B9" w14:textId="2B2A7E0C" w:rsidR="00490C4D" w:rsidRPr="00E05F04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05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F3A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B151CB" w14:textId="1832586C" w:rsidR="00490C4D" w:rsidRPr="00E05F04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05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F3A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9B9164" w14:textId="5E76D457" w:rsidR="00490C4D" w:rsidRPr="00E05F04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05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F3A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258F75" w14:textId="0FBCF4C9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05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F3A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4516" w14:textId="77777777" w:rsidR="00490C4D" w:rsidRPr="00E05F04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490C4D" w:rsidRPr="004C0FAD" w14:paraId="55D1870B" w14:textId="77777777" w:rsidTr="00DF1B8C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C4B2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4AA51" w14:textId="5F077B10" w:rsidR="00490C4D" w:rsidRPr="00CA764A" w:rsidRDefault="008F3AD5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6D479" w14:textId="2C5F6F5E" w:rsidR="00490C4D" w:rsidRPr="00CA764A" w:rsidRDefault="008F3AD5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1E0ED" w14:textId="042CB3C8" w:rsidR="00490C4D" w:rsidRPr="00CA764A" w:rsidRDefault="008F3AD5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EBC10" w14:textId="1FB494EC" w:rsidR="00490C4D" w:rsidRPr="00CA764A" w:rsidRDefault="008138BE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19517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90C4D" w:rsidRPr="004C0FAD" w14:paraId="47F09AFA" w14:textId="77777777" w:rsidTr="00DF1B8C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C37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3E769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18387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FD0D2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AEF05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0476B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90C4D" w:rsidRPr="004C0FAD" w14:paraId="43E7E022" w14:textId="77777777" w:rsidTr="00DF1B8C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11E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2E61A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27D8A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6E7FB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E61A6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4F280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90C4D" w:rsidRPr="004C0FAD" w14:paraId="5A5EC33A" w14:textId="77777777" w:rsidTr="00DF1B8C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4B4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CA764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E8AC1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DCE08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5BA0F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FB149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0FD36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90C4D" w:rsidRPr="004C0FAD" w14:paraId="0D0C19EA" w14:textId="77777777" w:rsidTr="00DF1B8C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445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CA764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 xml:space="preserve">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D39A3" w14:textId="2A21C971" w:rsidR="00490C4D" w:rsidRPr="00CA764A" w:rsidRDefault="00677814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="008F3AD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C907" w14:textId="2D3E05CD" w:rsidR="00490C4D" w:rsidRPr="00CA764A" w:rsidRDefault="005B5651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4FA55" w14:textId="77777777" w:rsidR="00490C4D" w:rsidRPr="00CA764A" w:rsidRDefault="005B5651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45683" w14:textId="41CC76E4" w:rsidR="00490C4D" w:rsidRPr="00CA764A" w:rsidRDefault="008138BE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7ABF1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B5651" w:rsidRPr="004C0FAD" w14:paraId="29A6BD24" w14:textId="77777777" w:rsidTr="00935ADA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5EC" w14:textId="77777777" w:rsidR="005B5651" w:rsidRPr="00D208B0" w:rsidRDefault="005B5651" w:rsidP="005B5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 toho: </w:t>
            </w:r>
          </w:p>
          <w:p w14:paraId="68636640" w14:textId="77777777" w:rsidR="005B5651" w:rsidRPr="00D208B0" w:rsidRDefault="005B5651" w:rsidP="005B5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Transfery v rámci verejnej správy (641), transfery jednotlivcom a neziskovým PO</w:t>
            </w:r>
          </w:p>
          <w:p w14:paraId="48568515" w14:textId="77777777" w:rsidR="005B5651" w:rsidRPr="00D208B0" w:rsidRDefault="005B5651" w:rsidP="005B5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(642)</w:t>
            </w:r>
          </w:p>
          <w:p w14:paraId="3A3C5CAF" w14:textId="77777777" w:rsidR="005B5651" w:rsidRPr="00CA764A" w:rsidRDefault="00875EDD" w:rsidP="005B5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(642 029</w:t>
            </w:r>
            <w:r w:rsidR="005B5651"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 – na náhrady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C6830" w14:textId="70D57E30" w:rsidR="005B5651" w:rsidRDefault="00677814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0</w:t>
            </w:r>
            <w:r w:rsidR="008F3AD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5BF46" w14:textId="77777777" w:rsidR="005B5651" w:rsidRDefault="005B5651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79EFF" w14:textId="77777777" w:rsidR="005B5651" w:rsidRDefault="005B5651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B69D0" w14:textId="1BC19413" w:rsidR="005B5651" w:rsidRDefault="008138BE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72DD9" w14:textId="77777777" w:rsidR="005B5651" w:rsidRPr="00CA764A" w:rsidRDefault="005B5651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90C4D" w:rsidRPr="004C0FAD" w14:paraId="1151A0D8" w14:textId="77777777" w:rsidTr="00DF1B8C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9B6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CA7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CA764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CF0F0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410E9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99FE0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7170F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C8D9D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90C4D" w:rsidRPr="004C0FAD" w14:paraId="7A6278B8" w14:textId="77777777" w:rsidTr="00DF1B8C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4C06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53594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55FD4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A4BF7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117A1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4273F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90C4D" w:rsidRPr="004C0FAD" w14:paraId="3897C667" w14:textId="77777777" w:rsidTr="00DF1B8C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2D12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CA764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3D9B0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32015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2BC18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69EDE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95C53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90C4D" w:rsidRPr="004C0FAD" w14:paraId="32F46B67" w14:textId="77777777" w:rsidTr="00DF1B8C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6A0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CA764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D8D5B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D5F8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152E1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535AA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88FE1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90C4D" w:rsidRPr="004C0FAD" w14:paraId="7655C361" w14:textId="77777777" w:rsidTr="00935ADA">
        <w:trPr>
          <w:trHeight w:val="2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EE4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EDD0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2E5D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6B8C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9175" w14:textId="77777777" w:rsidR="00490C4D" w:rsidRPr="00CA764A" w:rsidRDefault="00490C4D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406CE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90C4D" w:rsidRPr="004C0FAD" w14:paraId="3983E27C" w14:textId="77777777" w:rsidTr="00DF1B8C">
        <w:trPr>
          <w:trHeight w:val="280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35696E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1A9147" w14:textId="6C5A4B21" w:rsidR="00490C4D" w:rsidRPr="00CA764A" w:rsidRDefault="008F3AD5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443558" w14:textId="77777777" w:rsidR="00490C4D" w:rsidRPr="00CA764A" w:rsidRDefault="005B5651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BF6807" w14:textId="77777777" w:rsidR="00490C4D" w:rsidRPr="00CA764A" w:rsidRDefault="005B5651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06C683" w14:textId="4C3351B0" w:rsidR="00490C4D" w:rsidRPr="00CA764A" w:rsidRDefault="008138BE" w:rsidP="00DF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CFA4DB4" w14:textId="77777777" w:rsidR="00490C4D" w:rsidRPr="00CA764A" w:rsidRDefault="00490C4D" w:rsidP="00DF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764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3947EB3" w14:textId="77777777" w:rsidR="00490C4D" w:rsidRPr="00B85A2E" w:rsidRDefault="005B5651" w:rsidP="00B85A2E">
      <w:pPr>
        <w:tabs>
          <w:tab w:val="num" w:pos="1080"/>
        </w:tabs>
        <w:spacing w:after="120" w:line="240" w:lineRule="auto"/>
        <w:ind w:left="-900" w:firstLine="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42CD4FBA" w14:textId="77777777" w:rsidR="00D360BB" w:rsidRDefault="00D360BB" w:rsidP="000811F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14:paraId="59785CF9" w14:textId="77777777" w:rsidR="00FE23E4" w:rsidRPr="00DB7CB3" w:rsidRDefault="00DB7CB3" w:rsidP="00DB7CB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DB7CB3">
        <w:rPr>
          <w:rFonts w:ascii="Times New Roman" w:eastAsia="Times New Roman" w:hAnsi="Times New Roman"/>
          <w:bCs/>
          <w:sz w:val="24"/>
          <w:szCs w:val="20"/>
          <w:lang w:eastAsia="sk-SK"/>
        </w:rPr>
        <w:t xml:space="preserve">Tabuľka </w:t>
      </w:r>
      <w:r>
        <w:rPr>
          <w:rFonts w:ascii="Times New Roman" w:eastAsia="Times New Roman" w:hAnsi="Times New Roman"/>
          <w:bCs/>
          <w:sz w:val="24"/>
          <w:szCs w:val="20"/>
          <w:lang w:eastAsia="sk-SK"/>
        </w:rPr>
        <w:t xml:space="preserve">č. </w:t>
      </w:r>
      <w:r w:rsidR="00810F24">
        <w:rPr>
          <w:rFonts w:ascii="Times New Roman" w:eastAsia="Times New Roman" w:hAnsi="Times New Roman"/>
          <w:bCs/>
          <w:sz w:val="24"/>
          <w:szCs w:val="20"/>
          <w:lang w:eastAsia="sk-SK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          </w:t>
      </w:r>
    </w:p>
    <w:tbl>
      <w:tblPr>
        <w:tblW w:w="928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1095"/>
        <w:gridCol w:w="1152"/>
        <w:gridCol w:w="1189"/>
        <w:gridCol w:w="1329"/>
        <w:gridCol w:w="1344"/>
      </w:tblGrid>
      <w:tr w:rsidR="007D5748" w:rsidRPr="004C0FAD" w14:paraId="6378A147" w14:textId="77777777" w:rsidTr="00F9589A">
        <w:trPr>
          <w:cantSplit/>
          <w:trHeight w:val="195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93A474" w14:textId="77777777" w:rsidR="007D5748" w:rsidRPr="007D5748" w:rsidRDefault="007D5748" w:rsidP="00A47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18FAD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95BD7F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4C0FAD" w14:paraId="48C883C0" w14:textId="77777777" w:rsidTr="00F9589A">
        <w:trPr>
          <w:cantSplit/>
          <w:trHeight w:val="195"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D0016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D19EE3" w14:textId="710C110F" w:rsidR="007D5748" w:rsidRPr="007D5748" w:rsidRDefault="008F3AD5" w:rsidP="008F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C92A3A" w14:textId="08AC26E9" w:rsidR="007D5748" w:rsidRPr="007D5748" w:rsidRDefault="008F3AD5" w:rsidP="008F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65E303" w14:textId="4DFE3373" w:rsidR="007D5748" w:rsidRPr="007D5748" w:rsidRDefault="008F3AD5" w:rsidP="008F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C2D250" w14:textId="63D44F65" w:rsidR="007D5748" w:rsidRPr="007D5748" w:rsidRDefault="008F3AD5" w:rsidP="008F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0B3A4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4C0FAD" w14:paraId="7020AB3D" w14:textId="77777777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62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C8CD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44E6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A82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2632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3264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14:paraId="00746FCC" w14:textId="77777777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28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C55B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0C83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E8AB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CCEB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452A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4C0FAD" w14:paraId="6E92C0CB" w14:textId="77777777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9A6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C811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0118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D278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2EA3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F4CD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14:paraId="0B9076EB" w14:textId="77777777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27E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6B8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197D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C00D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8B56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4424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14:paraId="416AB8F6" w14:textId="77777777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2EBB0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CB164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23586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020A8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5ACAF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7292B3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14:paraId="1CBC733C" w14:textId="77777777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E1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CBC3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C6EB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0C7F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4F66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D777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14:paraId="323FCCE1" w14:textId="77777777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35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9A6C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0E38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5C92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384F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195E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14:paraId="09C3978F" w14:textId="77777777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C0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636B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D4FA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F00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6B42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B2EE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14:paraId="5AFCEBFC" w14:textId="77777777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068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9C1D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D0EB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9D1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CD18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E115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3F5FC3D" w14:textId="77777777" w:rsidR="00CB3623" w:rsidRPr="005476F0" w:rsidRDefault="00CB3623" w:rsidP="003353F5"/>
    <w:sectPr w:rsidR="00CB3623" w:rsidRPr="005476F0" w:rsidSect="00B849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3042" w16cex:dateUtc="2021-01-13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4D0901" w16cid:durableId="23A930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DFC19" w14:textId="77777777" w:rsidR="00C338FC" w:rsidRDefault="00C338FC">
      <w:pPr>
        <w:spacing w:after="0" w:line="240" w:lineRule="auto"/>
      </w:pPr>
      <w:r>
        <w:separator/>
      </w:r>
    </w:p>
  </w:endnote>
  <w:endnote w:type="continuationSeparator" w:id="0">
    <w:p w14:paraId="5B4BA3ED" w14:textId="77777777" w:rsidR="00C338FC" w:rsidRDefault="00C3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7459" w14:textId="77777777" w:rsidR="00D829AC" w:rsidRDefault="00D829A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06056F99" w14:textId="77777777" w:rsidR="00D829AC" w:rsidRDefault="00D829A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A6346" w14:textId="17E2CBB3" w:rsidR="00D829AC" w:rsidRDefault="00D829A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220BB">
      <w:rPr>
        <w:noProof/>
      </w:rPr>
      <w:t>6</w:t>
    </w:r>
    <w:r>
      <w:fldChar w:fldCharType="end"/>
    </w:r>
  </w:p>
  <w:p w14:paraId="33AF5490" w14:textId="77777777" w:rsidR="00D829AC" w:rsidRDefault="00D829AC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7A306" w14:textId="77777777" w:rsidR="00D829AC" w:rsidRDefault="00D829A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6D960B06" w14:textId="77777777" w:rsidR="00D829AC" w:rsidRDefault="00D829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A9FD0" w14:textId="77777777" w:rsidR="00C338FC" w:rsidRDefault="00C338FC">
      <w:pPr>
        <w:spacing w:after="0" w:line="240" w:lineRule="auto"/>
      </w:pPr>
      <w:r>
        <w:separator/>
      </w:r>
    </w:p>
  </w:footnote>
  <w:footnote w:type="continuationSeparator" w:id="0">
    <w:p w14:paraId="189A7E4D" w14:textId="77777777" w:rsidR="00C338FC" w:rsidRDefault="00C3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FD06C" w14:textId="77777777" w:rsidR="00D829AC" w:rsidRDefault="00D829AC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4E2BB1B9" w14:textId="77777777" w:rsidR="00D829AC" w:rsidRPr="00EB59C8" w:rsidRDefault="00D829AC" w:rsidP="007719C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D9D2" w14:textId="77777777" w:rsidR="00D829AC" w:rsidRPr="0024067A" w:rsidRDefault="00D829AC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7B0DE" w14:textId="77777777" w:rsidR="00D829AC" w:rsidRPr="000A15AE" w:rsidRDefault="00D829AC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2518"/>
    <w:rsid w:val="00013209"/>
    <w:rsid w:val="00025E9A"/>
    <w:rsid w:val="00031649"/>
    <w:rsid w:val="00035350"/>
    <w:rsid w:val="00035EB6"/>
    <w:rsid w:val="00042122"/>
    <w:rsid w:val="0004608C"/>
    <w:rsid w:val="00057135"/>
    <w:rsid w:val="000663C2"/>
    <w:rsid w:val="00073636"/>
    <w:rsid w:val="000811FA"/>
    <w:rsid w:val="00083AEB"/>
    <w:rsid w:val="00090CD1"/>
    <w:rsid w:val="00091B27"/>
    <w:rsid w:val="000937D4"/>
    <w:rsid w:val="000A46C8"/>
    <w:rsid w:val="000D238B"/>
    <w:rsid w:val="000D579C"/>
    <w:rsid w:val="000D7B7C"/>
    <w:rsid w:val="000F01BE"/>
    <w:rsid w:val="001127A8"/>
    <w:rsid w:val="00114348"/>
    <w:rsid w:val="00115C5C"/>
    <w:rsid w:val="00122D50"/>
    <w:rsid w:val="00123CE7"/>
    <w:rsid w:val="001247BB"/>
    <w:rsid w:val="00137696"/>
    <w:rsid w:val="00140022"/>
    <w:rsid w:val="00170D2B"/>
    <w:rsid w:val="00170FD9"/>
    <w:rsid w:val="00172471"/>
    <w:rsid w:val="00183350"/>
    <w:rsid w:val="0019111E"/>
    <w:rsid w:val="00192404"/>
    <w:rsid w:val="00194BB2"/>
    <w:rsid w:val="001A4C02"/>
    <w:rsid w:val="001A65E8"/>
    <w:rsid w:val="001B0135"/>
    <w:rsid w:val="001B2DB6"/>
    <w:rsid w:val="001C597E"/>
    <w:rsid w:val="001D476C"/>
    <w:rsid w:val="001E36BC"/>
    <w:rsid w:val="001F5DB3"/>
    <w:rsid w:val="001F62C5"/>
    <w:rsid w:val="00200898"/>
    <w:rsid w:val="00212894"/>
    <w:rsid w:val="00215036"/>
    <w:rsid w:val="00295A06"/>
    <w:rsid w:val="002B184E"/>
    <w:rsid w:val="002C7523"/>
    <w:rsid w:val="002D714B"/>
    <w:rsid w:val="002E2D86"/>
    <w:rsid w:val="002F715A"/>
    <w:rsid w:val="00317B90"/>
    <w:rsid w:val="00326B71"/>
    <w:rsid w:val="003353F5"/>
    <w:rsid w:val="0034417A"/>
    <w:rsid w:val="00352CFE"/>
    <w:rsid w:val="00354BFA"/>
    <w:rsid w:val="00357988"/>
    <w:rsid w:val="00364979"/>
    <w:rsid w:val="003704A7"/>
    <w:rsid w:val="00384117"/>
    <w:rsid w:val="00384A5B"/>
    <w:rsid w:val="003853BC"/>
    <w:rsid w:val="00391637"/>
    <w:rsid w:val="003B0006"/>
    <w:rsid w:val="003B7F7C"/>
    <w:rsid w:val="003C4633"/>
    <w:rsid w:val="003C4F41"/>
    <w:rsid w:val="003D0513"/>
    <w:rsid w:val="003F13FE"/>
    <w:rsid w:val="00401E38"/>
    <w:rsid w:val="00415C1E"/>
    <w:rsid w:val="0043020B"/>
    <w:rsid w:val="004343EF"/>
    <w:rsid w:val="00435B52"/>
    <w:rsid w:val="00441C43"/>
    <w:rsid w:val="004430B8"/>
    <w:rsid w:val="00456B0D"/>
    <w:rsid w:val="004604E7"/>
    <w:rsid w:val="0046723B"/>
    <w:rsid w:val="0048159A"/>
    <w:rsid w:val="00484A45"/>
    <w:rsid w:val="00487203"/>
    <w:rsid w:val="00490C4D"/>
    <w:rsid w:val="00495177"/>
    <w:rsid w:val="004A1C92"/>
    <w:rsid w:val="004A3465"/>
    <w:rsid w:val="004B0C1E"/>
    <w:rsid w:val="004B3EB0"/>
    <w:rsid w:val="004B479F"/>
    <w:rsid w:val="004C0FAD"/>
    <w:rsid w:val="004C2D15"/>
    <w:rsid w:val="004C729C"/>
    <w:rsid w:val="004D21D9"/>
    <w:rsid w:val="004E393D"/>
    <w:rsid w:val="004F67BC"/>
    <w:rsid w:val="005005EC"/>
    <w:rsid w:val="0050465C"/>
    <w:rsid w:val="00510ECE"/>
    <w:rsid w:val="00512A4B"/>
    <w:rsid w:val="00537D9A"/>
    <w:rsid w:val="00545772"/>
    <w:rsid w:val="0054687B"/>
    <w:rsid w:val="005476F0"/>
    <w:rsid w:val="00562C04"/>
    <w:rsid w:val="00563C18"/>
    <w:rsid w:val="005705F3"/>
    <w:rsid w:val="005879F5"/>
    <w:rsid w:val="005A49F3"/>
    <w:rsid w:val="005B053F"/>
    <w:rsid w:val="005B5651"/>
    <w:rsid w:val="005C60BD"/>
    <w:rsid w:val="005E1B15"/>
    <w:rsid w:val="00602619"/>
    <w:rsid w:val="00642987"/>
    <w:rsid w:val="006501F2"/>
    <w:rsid w:val="00651548"/>
    <w:rsid w:val="00651726"/>
    <w:rsid w:val="006570ED"/>
    <w:rsid w:val="00660F26"/>
    <w:rsid w:val="0067371E"/>
    <w:rsid w:val="00677814"/>
    <w:rsid w:val="00693348"/>
    <w:rsid w:val="006C6812"/>
    <w:rsid w:val="006D57EC"/>
    <w:rsid w:val="007108D5"/>
    <w:rsid w:val="00710FC0"/>
    <w:rsid w:val="00723196"/>
    <w:rsid w:val="007246BD"/>
    <w:rsid w:val="007255E2"/>
    <w:rsid w:val="00726CB9"/>
    <w:rsid w:val="007719C9"/>
    <w:rsid w:val="00784666"/>
    <w:rsid w:val="007A42CA"/>
    <w:rsid w:val="007B1C0C"/>
    <w:rsid w:val="007B44BD"/>
    <w:rsid w:val="007C3B99"/>
    <w:rsid w:val="007D5748"/>
    <w:rsid w:val="007F0713"/>
    <w:rsid w:val="00803C5A"/>
    <w:rsid w:val="00810F24"/>
    <w:rsid w:val="008138BE"/>
    <w:rsid w:val="008250CD"/>
    <w:rsid w:val="00853A20"/>
    <w:rsid w:val="00857D1D"/>
    <w:rsid w:val="00875B0B"/>
    <w:rsid w:val="00875BCF"/>
    <w:rsid w:val="00875EDD"/>
    <w:rsid w:val="00876512"/>
    <w:rsid w:val="008830DC"/>
    <w:rsid w:val="00897DD7"/>
    <w:rsid w:val="008B1A74"/>
    <w:rsid w:val="008D339D"/>
    <w:rsid w:val="008D49D1"/>
    <w:rsid w:val="008D6755"/>
    <w:rsid w:val="008E2736"/>
    <w:rsid w:val="008F09E8"/>
    <w:rsid w:val="008F3AD5"/>
    <w:rsid w:val="008F5262"/>
    <w:rsid w:val="009132CF"/>
    <w:rsid w:val="00915D30"/>
    <w:rsid w:val="00917DE5"/>
    <w:rsid w:val="009255D3"/>
    <w:rsid w:val="00931CA5"/>
    <w:rsid w:val="00935ADA"/>
    <w:rsid w:val="009371EC"/>
    <w:rsid w:val="00943D80"/>
    <w:rsid w:val="00944E74"/>
    <w:rsid w:val="009451EF"/>
    <w:rsid w:val="0094602F"/>
    <w:rsid w:val="00956B56"/>
    <w:rsid w:val="00966466"/>
    <w:rsid w:val="009706B7"/>
    <w:rsid w:val="00975599"/>
    <w:rsid w:val="009B07AE"/>
    <w:rsid w:val="009F3FFE"/>
    <w:rsid w:val="00A14988"/>
    <w:rsid w:val="00A36DB9"/>
    <w:rsid w:val="00A41271"/>
    <w:rsid w:val="00A47669"/>
    <w:rsid w:val="00A4772D"/>
    <w:rsid w:val="00A5267E"/>
    <w:rsid w:val="00A56DF1"/>
    <w:rsid w:val="00A57F89"/>
    <w:rsid w:val="00A63CBD"/>
    <w:rsid w:val="00A63D64"/>
    <w:rsid w:val="00A97C00"/>
    <w:rsid w:val="00AD4DB1"/>
    <w:rsid w:val="00AE106A"/>
    <w:rsid w:val="00AE32DA"/>
    <w:rsid w:val="00AE625F"/>
    <w:rsid w:val="00AF3B0C"/>
    <w:rsid w:val="00AF6F1A"/>
    <w:rsid w:val="00B02A94"/>
    <w:rsid w:val="00B36289"/>
    <w:rsid w:val="00B53F74"/>
    <w:rsid w:val="00B5535C"/>
    <w:rsid w:val="00B746A5"/>
    <w:rsid w:val="00B80F72"/>
    <w:rsid w:val="00B8490E"/>
    <w:rsid w:val="00B85A2E"/>
    <w:rsid w:val="00BA20E7"/>
    <w:rsid w:val="00BA604B"/>
    <w:rsid w:val="00BA7A3F"/>
    <w:rsid w:val="00BB6B48"/>
    <w:rsid w:val="00BB6F67"/>
    <w:rsid w:val="00BD75B5"/>
    <w:rsid w:val="00BF0E8B"/>
    <w:rsid w:val="00C10C77"/>
    <w:rsid w:val="00C13349"/>
    <w:rsid w:val="00C13899"/>
    <w:rsid w:val="00C15212"/>
    <w:rsid w:val="00C1568E"/>
    <w:rsid w:val="00C32392"/>
    <w:rsid w:val="00C338FC"/>
    <w:rsid w:val="00C34F70"/>
    <w:rsid w:val="00C3766F"/>
    <w:rsid w:val="00C4175A"/>
    <w:rsid w:val="00C434FB"/>
    <w:rsid w:val="00C51FD4"/>
    <w:rsid w:val="00C532C9"/>
    <w:rsid w:val="00C55F55"/>
    <w:rsid w:val="00C84899"/>
    <w:rsid w:val="00C866CC"/>
    <w:rsid w:val="00C97C75"/>
    <w:rsid w:val="00CA03F8"/>
    <w:rsid w:val="00CA2343"/>
    <w:rsid w:val="00CA764A"/>
    <w:rsid w:val="00CB3623"/>
    <w:rsid w:val="00CC5083"/>
    <w:rsid w:val="00CD407F"/>
    <w:rsid w:val="00CE299A"/>
    <w:rsid w:val="00CE5364"/>
    <w:rsid w:val="00D13C0E"/>
    <w:rsid w:val="00D22C42"/>
    <w:rsid w:val="00D235FE"/>
    <w:rsid w:val="00D360BB"/>
    <w:rsid w:val="00D43C79"/>
    <w:rsid w:val="00D54FFB"/>
    <w:rsid w:val="00D777D3"/>
    <w:rsid w:val="00D829AC"/>
    <w:rsid w:val="00D82BCF"/>
    <w:rsid w:val="00D87F04"/>
    <w:rsid w:val="00D9313D"/>
    <w:rsid w:val="00D97B87"/>
    <w:rsid w:val="00DB7CB3"/>
    <w:rsid w:val="00DC28B3"/>
    <w:rsid w:val="00DC5525"/>
    <w:rsid w:val="00DE153D"/>
    <w:rsid w:val="00DE5BF1"/>
    <w:rsid w:val="00DF1B8C"/>
    <w:rsid w:val="00E0160A"/>
    <w:rsid w:val="00E07CE9"/>
    <w:rsid w:val="00E164DE"/>
    <w:rsid w:val="00E220BB"/>
    <w:rsid w:val="00E40D31"/>
    <w:rsid w:val="00E40F38"/>
    <w:rsid w:val="00E632FD"/>
    <w:rsid w:val="00E65AD2"/>
    <w:rsid w:val="00E67E32"/>
    <w:rsid w:val="00E737AC"/>
    <w:rsid w:val="00E84681"/>
    <w:rsid w:val="00E91AB2"/>
    <w:rsid w:val="00E963A3"/>
    <w:rsid w:val="00E97594"/>
    <w:rsid w:val="00EA1E90"/>
    <w:rsid w:val="00EA603C"/>
    <w:rsid w:val="00EB1629"/>
    <w:rsid w:val="00EB333E"/>
    <w:rsid w:val="00EC0AF4"/>
    <w:rsid w:val="00ED18D5"/>
    <w:rsid w:val="00ED5189"/>
    <w:rsid w:val="00ED735B"/>
    <w:rsid w:val="00F274CE"/>
    <w:rsid w:val="00F3263E"/>
    <w:rsid w:val="00F40136"/>
    <w:rsid w:val="00F42836"/>
    <w:rsid w:val="00F43F6D"/>
    <w:rsid w:val="00F50594"/>
    <w:rsid w:val="00F57F7A"/>
    <w:rsid w:val="00F639FE"/>
    <w:rsid w:val="00F652E7"/>
    <w:rsid w:val="00F9589A"/>
    <w:rsid w:val="00FA113B"/>
    <w:rsid w:val="00FA4A7F"/>
    <w:rsid w:val="00FB48D1"/>
    <w:rsid w:val="00FD3AEE"/>
    <w:rsid w:val="00FD7DB2"/>
    <w:rsid w:val="00FE23E4"/>
    <w:rsid w:val="00FE2A5D"/>
    <w:rsid w:val="00FE663A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A69A"/>
  <w15:chartTrackingRefBased/>
  <w15:docId w15:val="{A88FB979-6A95-4A02-9569-74134BEF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565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4B4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7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B47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7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B479F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A46C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0A46C8"/>
    <w:rPr>
      <w:rFonts w:ascii="Calibri" w:eastAsia="Calibri" w:hAnsi="Calibri" w:cs="Times New Roman"/>
    </w:rPr>
  </w:style>
  <w:style w:type="paragraph" w:styleId="Popis">
    <w:name w:val="caption"/>
    <w:basedOn w:val="Normlny"/>
    <w:next w:val="Normlny"/>
    <w:uiPriority w:val="35"/>
    <w:unhideWhenUsed/>
    <w:qFormat/>
    <w:rsid w:val="00E91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vplyvy-rozpocet-verejnej-spravy"/>
    <f:field ref="objsubject" par="" edit="true" text=""/>
    <f:field ref="objcreatedby" par="" text="Kozlíková, Barbora, Mgr."/>
    <f:field ref="objcreatedat" par="" text="31.7.2017 12:50:08"/>
    <f:field ref="objchangedby" par="" text="Administrator, System"/>
    <f:field ref="objmodifiedat" par="" text="31.7.2017 12:50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D62F-3112-4E0F-BECD-387F4AB1A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A164984-3131-42D5-B523-BF7DFC81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Lojková Silvia</cp:lastModifiedBy>
  <cp:revision>2</cp:revision>
  <cp:lastPrinted>2020-11-03T09:12:00Z</cp:lastPrinted>
  <dcterms:created xsi:type="dcterms:W3CDTF">2021-01-13T10:21:00Z</dcterms:created>
  <dcterms:modified xsi:type="dcterms:W3CDTF">2021-01-13T10:21:00Z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Bradlo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Bradlo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7149/2017-9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LP/2017/573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17. 7. 2017</vt:lpwstr>
  </property>
  <property fmtid="{D5CDD505-2E9C-101B-9397-08002B2CF9AE}" pid="59" name="FSC#SKEDITIONSLOVLEX@103.510:AttrDateDocPropUkonceniePKK">
    <vt:lpwstr>19. 7. 2017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6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6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50" name="FSC#SKEDITIONSLOVLEX@103.510:vytvorenedna">
    <vt:lpwstr>31. 7. 2017</vt:lpwstr>
  </property>
  <property fmtid="{D5CDD505-2E9C-101B-9397-08002B2CF9AE}" pid="151" name="FSC#COOSYSTEM@1.1:Container">
    <vt:lpwstr>COO.2145.1000.3.2102898</vt:lpwstr>
  </property>
  <property fmtid="{D5CDD505-2E9C-101B-9397-08002B2CF9AE}" pid="152" name="FSC#FSCFOLIO@1.1001:docpropproject">
    <vt:lpwstr/>
  </property>
</Properties>
</file>